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485D" w14:textId="77777777" w:rsidR="00F16314" w:rsidRPr="00F16314" w:rsidRDefault="00F16314" w:rsidP="002A7771">
      <w:pPr>
        <w:spacing w:after="0" w:line="360" w:lineRule="auto"/>
        <w:jc w:val="center"/>
        <w:rPr>
          <w:b/>
          <w:sz w:val="24"/>
          <w:szCs w:val="24"/>
        </w:rPr>
      </w:pPr>
      <w:r w:rsidRPr="00F16314">
        <w:rPr>
          <w:b/>
          <w:noProof/>
          <w:sz w:val="24"/>
          <w:szCs w:val="24"/>
          <w:lang w:val="en-US"/>
        </w:rPr>
        <w:drawing>
          <wp:inline distT="0" distB="0" distL="0" distR="0" wp14:anchorId="6B35DC28" wp14:editId="0C4BE14C">
            <wp:extent cx="1276350" cy="1329024"/>
            <wp:effectExtent l="19050" t="0" r="0" b="0"/>
            <wp:docPr id="3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1EF4D" w14:textId="77777777" w:rsidR="00F16314" w:rsidRPr="00F16314" w:rsidRDefault="007056DC" w:rsidP="00A55590">
      <w:pPr>
        <w:spacing w:after="0" w:line="240" w:lineRule="auto"/>
        <w:ind w:right="-18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 </w:t>
      </w:r>
      <w:r w:rsidR="00F16314" w:rsidRPr="00F16314">
        <w:rPr>
          <w:rFonts w:ascii="Arial" w:hAnsi="Arial" w:cs="Arial"/>
          <w:b/>
          <w:sz w:val="24"/>
          <w:szCs w:val="24"/>
        </w:rPr>
        <w:t>REPORTABLE</w:t>
      </w:r>
    </w:p>
    <w:p w14:paraId="49863CCE" w14:textId="77777777" w:rsidR="00F16314" w:rsidRPr="00F16314" w:rsidRDefault="00F16314" w:rsidP="00F163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DD790E4" w14:textId="77777777" w:rsidR="00F16314" w:rsidRPr="00F16314" w:rsidRDefault="00F16314" w:rsidP="00A55590">
      <w:pPr>
        <w:spacing w:after="0" w:line="240" w:lineRule="auto"/>
        <w:ind w:right="-188"/>
        <w:jc w:val="right"/>
        <w:rPr>
          <w:rFonts w:ascii="Arial" w:hAnsi="Arial" w:cs="Arial"/>
          <w:sz w:val="24"/>
          <w:szCs w:val="24"/>
        </w:rPr>
      </w:pPr>
      <w:r w:rsidRPr="00F16314">
        <w:rPr>
          <w:rFonts w:ascii="Arial" w:hAnsi="Arial" w:cs="Arial"/>
          <w:sz w:val="24"/>
          <w:szCs w:val="24"/>
        </w:rPr>
        <w:t xml:space="preserve">CASE NO: SA </w:t>
      </w:r>
      <w:r w:rsidR="00483A80">
        <w:rPr>
          <w:rFonts w:ascii="Arial" w:hAnsi="Arial" w:cs="Arial"/>
          <w:sz w:val="24"/>
          <w:szCs w:val="24"/>
        </w:rPr>
        <w:t>99</w:t>
      </w:r>
      <w:r w:rsidR="00B6276F">
        <w:rPr>
          <w:rFonts w:ascii="Arial" w:hAnsi="Arial" w:cs="Arial"/>
          <w:sz w:val="24"/>
          <w:szCs w:val="24"/>
        </w:rPr>
        <w:t>/2020</w:t>
      </w:r>
    </w:p>
    <w:p w14:paraId="11DE3D71" w14:textId="77777777" w:rsidR="00F16314" w:rsidRPr="00F16314" w:rsidRDefault="00F16314" w:rsidP="00F16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7DDE3" w14:textId="77777777" w:rsidR="00F16314" w:rsidRPr="00F16314" w:rsidRDefault="00F16314" w:rsidP="00F16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80C07" w14:textId="77777777" w:rsidR="00F16314" w:rsidRPr="00F16314" w:rsidRDefault="00F16314" w:rsidP="00F163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6314">
        <w:rPr>
          <w:rFonts w:ascii="Arial" w:hAnsi="Arial" w:cs="Arial"/>
          <w:b/>
          <w:sz w:val="24"/>
          <w:szCs w:val="24"/>
        </w:rPr>
        <w:t>IN THE SUPREME COURT OF NAMIBIA</w:t>
      </w:r>
    </w:p>
    <w:p w14:paraId="30325C15" w14:textId="77777777" w:rsidR="00F16314" w:rsidRPr="00F16314" w:rsidRDefault="00F16314" w:rsidP="00F16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36F11" w14:textId="77777777" w:rsidR="00F16314" w:rsidRPr="00F16314" w:rsidRDefault="00F16314" w:rsidP="00F16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8A60E" w14:textId="77777777" w:rsidR="00F16314" w:rsidRDefault="00F16314" w:rsidP="00F163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6314">
        <w:rPr>
          <w:rFonts w:ascii="Arial" w:hAnsi="Arial" w:cs="Arial"/>
          <w:sz w:val="24"/>
          <w:szCs w:val="24"/>
        </w:rPr>
        <w:t>In the matter between:</w:t>
      </w:r>
    </w:p>
    <w:p w14:paraId="219760D9" w14:textId="77777777" w:rsidR="002A7771" w:rsidRDefault="002A7771" w:rsidP="00F16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B1EC0" w14:textId="77777777" w:rsidR="007A55BB" w:rsidRPr="00F16314" w:rsidRDefault="007A55BB" w:rsidP="00F163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08" w:type="dxa"/>
        <w:tblLook w:val="04A0" w:firstRow="1" w:lastRow="0" w:firstColumn="1" w:lastColumn="0" w:noHBand="0" w:noVBand="1"/>
      </w:tblPr>
      <w:tblGrid>
        <w:gridCol w:w="6219"/>
        <w:gridCol w:w="3089"/>
      </w:tblGrid>
      <w:tr w:rsidR="00D9658A" w:rsidRPr="00F16314" w14:paraId="3F025EA8" w14:textId="77777777" w:rsidTr="002A7771">
        <w:trPr>
          <w:trHeight w:val="397"/>
        </w:trPr>
        <w:tc>
          <w:tcPr>
            <w:tcW w:w="6219" w:type="dxa"/>
          </w:tcPr>
          <w:p w14:paraId="7387953F" w14:textId="77777777" w:rsidR="00D9658A" w:rsidRPr="002A7771" w:rsidRDefault="00B41AB8" w:rsidP="007A55BB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NAMIBIA PROTECTION SERVICES (PTY) LTD</w:t>
            </w:r>
          </w:p>
        </w:tc>
        <w:tc>
          <w:tcPr>
            <w:tcW w:w="3089" w:type="dxa"/>
          </w:tcPr>
          <w:p w14:paraId="33758880" w14:textId="77777777" w:rsidR="00D9658A" w:rsidRPr="00F16314" w:rsidRDefault="00D9658A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16314">
              <w:rPr>
                <w:rFonts w:ascii="Arial" w:hAnsi="Arial" w:cs="Arial"/>
                <w:b/>
                <w:sz w:val="24"/>
                <w:szCs w:val="24"/>
              </w:rPr>
              <w:t xml:space="preserve"> Appellant</w:t>
            </w:r>
          </w:p>
        </w:tc>
      </w:tr>
      <w:tr w:rsidR="007A55BB" w:rsidRPr="00F16314" w14:paraId="1A587573" w14:textId="77777777" w:rsidTr="007A55BB">
        <w:trPr>
          <w:trHeight w:val="279"/>
        </w:trPr>
        <w:tc>
          <w:tcPr>
            <w:tcW w:w="6219" w:type="dxa"/>
          </w:tcPr>
          <w:p w14:paraId="58F629CC" w14:textId="77777777" w:rsidR="007A55BB" w:rsidRDefault="007A55BB" w:rsidP="007A55BB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6AE5DFC" w14:textId="77777777" w:rsidR="007A55BB" w:rsidRPr="00F16314" w:rsidRDefault="007A55BB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771" w:rsidRPr="00F16314" w14:paraId="08688C4B" w14:textId="77777777" w:rsidTr="007A55BB">
        <w:trPr>
          <w:trHeight w:val="282"/>
        </w:trPr>
        <w:tc>
          <w:tcPr>
            <w:tcW w:w="6219" w:type="dxa"/>
          </w:tcPr>
          <w:p w14:paraId="4E9E7BA4" w14:textId="77777777" w:rsidR="002A7771" w:rsidRPr="002A7771" w:rsidRDefault="002A7771" w:rsidP="007A55B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3089" w:type="dxa"/>
          </w:tcPr>
          <w:p w14:paraId="30FA2BA1" w14:textId="77777777" w:rsidR="002A7771" w:rsidRPr="00F16314" w:rsidRDefault="002A7771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5BB" w:rsidRPr="00F16314" w14:paraId="4A5F56F6" w14:textId="77777777" w:rsidTr="007A55BB">
        <w:trPr>
          <w:trHeight w:val="287"/>
        </w:trPr>
        <w:tc>
          <w:tcPr>
            <w:tcW w:w="6219" w:type="dxa"/>
          </w:tcPr>
          <w:p w14:paraId="2DDAD3B1" w14:textId="77777777" w:rsidR="007A55BB" w:rsidRDefault="007A55BB" w:rsidP="007A55B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EF7FADA" w14:textId="77777777" w:rsidR="007A55BB" w:rsidRPr="00F16314" w:rsidRDefault="007A55BB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771" w:rsidRPr="00F16314" w14:paraId="6B27A692" w14:textId="77777777" w:rsidTr="007A55BB">
        <w:trPr>
          <w:trHeight w:val="432"/>
        </w:trPr>
        <w:tc>
          <w:tcPr>
            <w:tcW w:w="6219" w:type="dxa"/>
          </w:tcPr>
          <w:p w14:paraId="4697E612" w14:textId="77777777" w:rsidR="002A7771" w:rsidRDefault="002A7771" w:rsidP="007A55BB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PIS SECURITY SERVICES CLOSE CORPORATION </w:t>
            </w:r>
          </w:p>
        </w:tc>
        <w:tc>
          <w:tcPr>
            <w:tcW w:w="3089" w:type="dxa"/>
          </w:tcPr>
          <w:p w14:paraId="4C621E0D" w14:textId="77777777" w:rsidR="002A7771" w:rsidRPr="00F16314" w:rsidRDefault="002A7771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Respondent</w:t>
            </w:r>
          </w:p>
        </w:tc>
      </w:tr>
      <w:tr w:rsidR="002A7771" w:rsidRPr="00F16314" w14:paraId="669E1EDF" w14:textId="77777777" w:rsidTr="007A55BB">
        <w:trPr>
          <w:trHeight w:val="708"/>
        </w:trPr>
        <w:tc>
          <w:tcPr>
            <w:tcW w:w="6219" w:type="dxa"/>
          </w:tcPr>
          <w:p w14:paraId="6B2E24AD" w14:textId="77777777" w:rsidR="002A7771" w:rsidRDefault="002A7771" w:rsidP="007A55BB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CHAIRPERSON OF THE CENTRAL PROCUREMENT BOARD OF NAMIBIA</w:t>
            </w:r>
          </w:p>
        </w:tc>
        <w:tc>
          <w:tcPr>
            <w:tcW w:w="3089" w:type="dxa"/>
          </w:tcPr>
          <w:p w14:paraId="6441E194" w14:textId="77777777" w:rsidR="007A55BB" w:rsidRDefault="007A55BB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7D7C9" w14:textId="77777777" w:rsidR="002A7771" w:rsidRPr="00F16314" w:rsidRDefault="002A7771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 Respondent</w:t>
            </w:r>
          </w:p>
        </w:tc>
      </w:tr>
      <w:tr w:rsidR="002A7771" w:rsidRPr="00F16314" w14:paraId="69ED8CB4" w14:textId="77777777" w:rsidTr="007A55BB">
        <w:trPr>
          <w:trHeight w:val="434"/>
        </w:trPr>
        <w:tc>
          <w:tcPr>
            <w:tcW w:w="6219" w:type="dxa"/>
          </w:tcPr>
          <w:p w14:paraId="5B133D95" w14:textId="77777777" w:rsidR="002A7771" w:rsidRDefault="002A7771" w:rsidP="007A55BB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PROCUREMENT BOARD OF NAMIBIA</w:t>
            </w:r>
          </w:p>
        </w:tc>
        <w:tc>
          <w:tcPr>
            <w:tcW w:w="3089" w:type="dxa"/>
          </w:tcPr>
          <w:p w14:paraId="0C2E5E8A" w14:textId="77777777" w:rsidR="002A7771" w:rsidRPr="00F16314" w:rsidRDefault="002A7771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Third Respondent</w:t>
            </w:r>
          </w:p>
        </w:tc>
      </w:tr>
      <w:tr w:rsidR="002A7771" w:rsidRPr="00F16314" w14:paraId="6F9C0F6F" w14:textId="77777777" w:rsidTr="007A55BB">
        <w:trPr>
          <w:trHeight w:val="426"/>
        </w:trPr>
        <w:tc>
          <w:tcPr>
            <w:tcW w:w="6219" w:type="dxa"/>
          </w:tcPr>
          <w:p w14:paraId="593BB48C" w14:textId="77777777" w:rsidR="002A7771" w:rsidRDefault="002A7771" w:rsidP="007A55BB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PANEL</w:t>
            </w:r>
          </w:p>
        </w:tc>
        <w:tc>
          <w:tcPr>
            <w:tcW w:w="3089" w:type="dxa"/>
          </w:tcPr>
          <w:p w14:paraId="628A52EC" w14:textId="77777777" w:rsidR="002A7771" w:rsidRPr="00F16314" w:rsidRDefault="002A7771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Forth Respondent</w:t>
            </w:r>
          </w:p>
        </w:tc>
      </w:tr>
      <w:tr w:rsidR="002A7771" w:rsidRPr="00F16314" w14:paraId="7FB5C9DC" w14:textId="77777777" w:rsidTr="007A55BB">
        <w:trPr>
          <w:trHeight w:val="509"/>
        </w:trPr>
        <w:tc>
          <w:tcPr>
            <w:tcW w:w="6219" w:type="dxa"/>
          </w:tcPr>
          <w:p w14:paraId="5108FE26" w14:textId="77777777" w:rsidR="002A7771" w:rsidRDefault="002A7771" w:rsidP="007A55BB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NAMIBIA UNIVERSITY OF SCIENCE AND TECHNOLOGY</w:t>
            </w:r>
          </w:p>
        </w:tc>
        <w:tc>
          <w:tcPr>
            <w:tcW w:w="3089" w:type="dxa"/>
          </w:tcPr>
          <w:p w14:paraId="610AD623" w14:textId="77777777" w:rsidR="007A55BB" w:rsidRDefault="007A55BB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5F0DA" w14:textId="77777777" w:rsidR="002A7771" w:rsidRPr="00F16314" w:rsidRDefault="002A7771" w:rsidP="007A55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Fifth Respondent</w:t>
            </w:r>
          </w:p>
        </w:tc>
      </w:tr>
    </w:tbl>
    <w:p w14:paraId="7C0E080F" w14:textId="77777777" w:rsidR="002A7771" w:rsidRDefault="002A7771" w:rsidP="00800867">
      <w:pPr>
        <w:tabs>
          <w:tab w:val="left" w:pos="57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58337E" w14:textId="77777777" w:rsidR="00DA381F" w:rsidRDefault="00DA381F" w:rsidP="00800867">
      <w:pPr>
        <w:tabs>
          <w:tab w:val="left" w:pos="57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BC2EFB" w14:textId="77777777" w:rsidR="007A55BB" w:rsidRDefault="007A55BB" w:rsidP="00800867">
      <w:pPr>
        <w:tabs>
          <w:tab w:val="left" w:pos="57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633498" w14:textId="77777777" w:rsidR="00F16314" w:rsidRDefault="00F16314" w:rsidP="007A55BB">
      <w:pPr>
        <w:tabs>
          <w:tab w:val="left" w:pos="1701"/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6314">
        <w:rPr>
          <w:rFonts w:ascii="Arial" w:hAnsi="Arial" w:cs="Arial"/>
          <w:b/>
          <w:sz w:val="24"/>
          <w:szCs w:val="24"/>
        </w:rPr>
        <w:t>Coram:</w:t>
      </w:r>
      <w:r w:rsidR="007A55BB">
        <w:rPr>
          <w:rFonts w:ascii="Arial" w:hAnsi="Arial" w:cs="Arial"/>
          <w:b/>
          <w:sz w:val="24"/>
          <w:szCs w:val="24"/>
        </w:rPr>
        <w:tab/>
      </w:r>
      <w:r w:rsidR="006E7A0D">
        <w:rPr>
          <w:rFonts w:ascii="Arial" w:hAnsi="Arial" w:cs="Arial"/>
          <w:sz w:val="24"/>
          <w:szCs w:val="24"/>
        </w:rPr>
        <w:t>SMUTS</w:t>
      </w:r>
      <w:r w:rsidR="009261C2">
        <w:rPr>
          <w:rFonts w:ascii="Arial" w:hAnsi="Arial" w:cs="Arial"/>
          <w:sz w:val="24"/>
          <w:szCs w:val="24"/>
        </w:rPr>
        <w:t xml:space="preserve"> JA, </w:t>
      </w:r>
      <w:r w:rsidR="00E22721">
        <w:rPr>
          <w:rFonts w:ascii="Arial" w:hAnsi="Arial" w:cs="Arial"/>
          <w:sz w:val="24"/>
          <w:szCs w:val="24"/>
        </w:rPr>
        <w:t xml:space="preserve">FRANK </w:t>
      </w:r>
      <w:proofErr w:type="gramStart"/>
      <w:r w:rsidR="00E22721">
        <w:rPr>
          <w:rFonts w:ascii="Arial" w:hAnsi="Arial" w:cs="Arial"/>
          <w:sz w:val="24"/>
          <w:szCs w:val="24"/>
        </w:rPr>
        <w:t>AJA</w:t>
      </w:r>
      <w:proofErr w:type="gramEnd"/>
      <w:r w:rsidR="00E22721">
        <w:rPr>
          <w:rFonts w:ascii="Arial" w:hAnsi="Arial" w:cs="Arial"/>
          <w:sz w:val="24"/>
          <w:szCs w:val="24"/>
        </w:rPr>
        <w:t xml:space="preserve"> and</w:t>
      </w:r>
      <w:r w:rsidR="00BE79E7">
        <w:rPr>
          <w:rFonts w:ascii="Arial" w:hAnsi="Arial" w:cs="Arial"/>
          <w:sz w:val="24"/>
          <w:szCs w:val="24"/>
        </w:rPr>
        <w:t xml:space="preserve"> ANGULA </w:t>
      </w:r>
      <w:r w:rsidR="009E1890">
        <w:rPr>
          <w:rFonts w:ascii="Arial" w:hAnsi="Arial" w:cs="Arial"/>
          <w:sz w:val="24"/>
          <w:szCs w:val="24"/>
        </w:rPr>
        <w:t>AJA</w:t>
      </w:r>
      <w:r w:rsidRPr="00F16314">
        <w:rPr>
          <w:rFonts w:ascii="Arial" w:hAnsi="Arial" w:cs="Arial"/>
          <w:sz w:val="24"/>
          <w:szCs w:val="24"/>
        </w:rPr>
        <w:t xml:space="preserve"> </w:t>
      </w:r>
    </w:p>
    <w:p w14:paraId="75E563C9" w14:textId="77777777" w:rsidR="00D672D7" w:rsidRPr="00F16314" w:rsidRDefault="00D672D7" w:rsidP="00F163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321B8A" w14:textId="77777777" w:rsidR="00F16314" w:rsidRPr="00F16314" w:rsidRDefault="00F16314" w:rsidP="007A55BB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6314">
        <w:rPr>
          <w:rFonts w:ascii="Arial" w:hAnsi="Arial" w:cs="Arial"/>
          <w:b/>
          <w:sz w:val="24"/>
          <w:szCs w:val="24"/>
        </w:rPr>
        <w:t>Heard:</w:t>
      </w:r>
      <w:r w:rsidRPr="00F16314">
        <w:rPr>
          <w:rFonts w:ascii="Arial" w:hAnsi="Arial" w:cs="Arial"/>
          <w:b/>
          <w:sz w:val="24"/>
          <w:szCs w:val="24"/>
        </w:rPr>
        <w:tab/>
        <w:t>2</w:t>
      </w:r>
      <w:r w:rsidR="00D672D7">
        <w:rPr>
          <w:rFonts w:ascii="Arial" w:hAnsi="Arial" w:cs="Arial"/>
          <w:b/>
          <w:sz w:val="24"/>
          <w:szCs w:val="24"/>
        </w:rPr>
        <w:t xml:space="preserve">0 March </w:t>
      </w:r>
      <w:r w:rsidR="001170BA">
        <w:rPr>
          <w:rFonts w:ascii="Arial" w:hAnsi="Arial" w:cs="Arial"/>
          <w:b/>
          <w:sz w:val="24"/>
          <w:szCs w:val="24"/>
        </w:rPr>
        <w:t>2023</w:t>
      </w:r>
    </w:p>
    <w:p w14:paraId="29577159" w14:textId="77777777" w:rsidR="00F16314" w:rsidRPr="00F16314" w:rsidRDefault="00F16314" w:rsidP="00F163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A432AF" w14:textId="77777777" w:rsidR="00F16314" w:rsidRPr="00F16314" w:rsidRDefault="001170BA" w:rsidP="007A55BB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Delivered:</w:t>
      </w:r>
      <w:r>
        <w:rPr>
          <w:rFonts w:ascii="Arial" w:hAnsi="Arial" w:cs="Arial"/>
          <w:b/>
          <w:sz w:val="24"/>
          <w:szCs w:val="24"/>
        </w:rPr>
        <w:tab/>
        <w:t>5</w:t>
      </w:r>
      <w:r w:rsidR="007A55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April</w:t>
      </w:r>
      <w:r w:rsidR="00B642C1">
        <w:rPr>
          <w:rFonts w:ascii="Arial" w:hAnsi="Arial" w:cs="Arial"/>
          <w:b/>
          <w:sz w:val="24"/>
          <w:szCs w:val="24"/>
        </w:rPr>
        <w:t xml:space="preserve"> 2023</w:t>
      </w:r>
    </w:p>
    <w:p w14:paraId="283924C3" w14:textId="77777777" w:rsidR="00F16314" w:rsidRPr="00F16314" w:rsidRDefault="00F16314" w:rsidP="00F16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427BB" w14:textId="77777777" w:rsidR="00C44336" w:rsidRDefault="00C44336" w:rsidP="007A55B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B4F112" w14:textId="77777777" w:rsidR="00DA381F" w:rsidRDefault="00DA381F" w:rsidP="007A55B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912BF6" w14:textId="77777777" w:rsidR="005F3F39" w:rsidRDefault="00EC0668" w:rsidP="005F3F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753B">
        <w:rPr>
          <w:rFonts w:ascii="Arial" w:hAnsi="Arial" w:cs="Arial"/>
          <w:b/>
          <w:sz w:val="24"/>
          <w:szCs w:val="24"/>
        </w:rPr>
        <w:t>Summary:</w:t>
      </w:r>
      <w:r w:rsidRPr="005A753B">
        <w:rPr>
          <w:rFonts w:ascii="Arial" w:hAnsi="Arial" w:cs="Arial"/>
          <w:sz w:val="24"/>
          <w:szCs w:val="24"/>
        </w:rPr>
        <w:tab/>
        <w:t xml:space="preserve">The Central Procurement Board of Namibia (the board) invited tenders </w:t>
      </w:r>
      <w:r w:rsidR="00C0581D">
        <w:rPr>
          <w:rFonts w:ascii="Arial" w:hAnsi="Arial" w:cs="Arial"/>
          <w:sz w:val="24"/>
          <w:szCs w:val="24"/>
        </w:rPr>
        <w:t xml:space="preserve">on behalf of and </w:t>
      </w:r>
      <w:r w:rsidRPr="005A753B">
        <w:rPr>
          <w:rFonts w:ascii="Arial" w:hAnsi="Arial" w:cs="Arial"/>
          <w:sz w:val="24"/>
          <w:szCs w:val="24"/>
        </w:rPr>
        <w:t xml:space="preserve">for the provision of security services </w:t>
      </w:r>
      <w:r w:rsidR="00CA4E0D">
        <w:rPr>
          <w:rFonts w:ascii="Arial" w:hAnsi="Arial" w:cs="Arial"/>
          <w:sz w:val="24"/>
          <w:szCs w:val="24"/>
        </w:rPr>
        <w:t>for to</w:t>
      </w:r>
      <w:r w:rsidR="00C0581D">
        <w:rPr>
          <w:rFonts w:ascii="Arial" w:hAnsi="Arial" w:cs="Arial"/>
          <w:sz w:val="24"/>
          <w:szCs w:val="24"/>
        </w:rPr>
        <w:t xml:space="preserve"> </w:t>
      </w:r>
      <w:r w:rsidRPr="005A753B">
        <w:rPr>
          <w:rFonts w:ascii="Arial" w:hAnsi="Arial" w:cs="Arial"/>
          <w:sz w:val="24"/>
          <w:szCs w:val="24"/>
        </w:rPr>
        <w:t xml:space="preserve">Namibia University of Science and Technology (NUST). Nineteen bidders responded. PIS Security Services Close Corporation (PIS) was identified as the successful bidder. Namibia Protection </w:t>
      </w:r>
      <w:r w:rsidRPr="005A753B">
        <w:rPr>
          <w:rFonts w:ascii="Arial" w:hAnsi="Arial" w:cs="Arial"/>
          <w:sz w:val="24"/>
          <w:szCs w:val="24"/>
        </w:rPr>
        <w:lastRenderedPageBreak/>
        <w:t>Security Services (Pty) Ltd (NPS), being one of the unsuccessful bidders, was dissatisfied with the selection and took the board’s decision on review. The Review Panel found the bid</w:t>
      </w:r>
      <w:r w:rsidR="00C0581D">
        <w:rPr>
          <w:rFonts w:ascii="Arial" w:hAnsi="Arial" w:cs="Arial"/>
          <w:sz w:val="24"/>
          <w:szCs w:val="24"/>
        </w:rPr>
        <w:t>ding process and evaluation to be</w:t>
      </w:r>
      <w:r w:rsidRPr="005A753B">
        <w:rPr>
          <w:rFonts w:ascii="Arial" w:hAnsi="Arial" w:cs="Arial"/>
          <w:sz w:val="24"/>
          <w:szCs w:val="24"/>
        </w:rPr>
        <w:t xml:space="preserve"> flawed and recommended </w:t>
      </w:r>
      <w:r w:rsidR="00C0581D">
        <w:rPr>
          <w:rFonts w:ascii="Arial" w:hAnsi="Arial" w:cs="Arial"/>
          <w:sz w:val="24"/>
          <w:szCs w:val="24"/>
        </w:rPr>
        <w:t xml:space="preserve">that </w:t>
      </w:r>
      <w:r w:rsidRPr="005A753B">
        <w:rPr>
          <w:rFonts w:ascii="Arial" w:hAnsi="Arial" w:cs="Arial"/>
          <w:sz w:val="24"/>
          <w:szCs w:val="24"/>
        </w:rPr>
        <w:t xml:space="preserve">the procurement proceedings start afresh. PIS took this decision on review to the High Court. NPS brought a </w:t>
      </w:r>
      <w:proofErr w:type="gramStart"/>
      <w:r w:rsidRPr="005A753B">
        <w:rPr>
          <w:rFonts w:ascii="Arial" w:hAnsi="Arial" w:cs="Arial"/>
          <w:sz w:val="24"/>
          <w:szCs w:val="24"/>
        </w:rPr>
        <w:t>counter-application</w:t>
      </w:r>
      <w:proofErr w:type="gramEnd"/>
      <w:r w:rsidRPr="005A753B">
        <w:rPr>
          <w:rFonts w:ascii="Arial" w:hAnsi="Arial" w:cs="Arial"/>
          <w:sz w:val="24"/>
          <w:szCs w:val="24"/>
        </w:rPr>
        <w:t xml:space="preserve"> to declare the procurement proceedings under Bid No.: NCS-ONB-CPBN-02/2019 null and void and to compel the board to start the procurement proceedings afresh based on the non-compliance of ss 47 and 55(4)</w:t>
      </w:r>
      <w:r w:rsidRPr="005A753B">
        <w:rPr>
          <w:rFonts w:ascii="Arial" w:hAnsi="Arial" w:cs="Arial"/>
          <w:i/>
          <w:sz w:val="24"/>
          <w:szCs w:val="24"/>
        </w:rPr>
        <w:t>(a)</w:t>
      </w:r>
      <w:r w:rsidRPr="005A753B">
        <w:rPr>
          <w:rFonts w:ascii="Arial" w:hAnsi="Arial" w:cs="Arial"/>
          <w:sz w:val="24"/>
          <w:szCs w:val="24"/>
        </w:rPr>
        <w:t xml:space="preserve"> of the Public Procurement Act 15 of 2015 (the Act). The Review Panel did not participate in the review application before the court </w:t>
      </w:r>
      <w:r w:rsidRPr="005A753B">
        <w:rPr>
          <w:rFonts w:ascii="Arial" w:hAnsi="Arial" w:cs="Arial"/>
          <w:i/>
          <w:sz w:val="24"/>
          <w:szCs w:val="24"/>
        </w:rPr>
        <w:t>a quo</w:t>
      </w:r>
      <w:r w:rsidRPr="005A753B">
        <w:rPr>
          <w:rFonts w:ascii="Arial" w:hAnsi="Arial" w:cs="Arial"/>
          <w:sz w:val="24"/>
          <w:szCs w:val="24"/>
        </w:rPr>
        <w:t xml:space="preserve"> despite being cited as a party. Furthermore, </w:t>
      </w:r>
      <w:r>
        <w:rPr>
          <w:rFonts w:ascii="Arial" w:hAnsi="Arial" w:cs="Arial"/>
          <w:sz w:val="24"/>
          <w:szCs w:val="24"/>
        </w:rPr>
        <w:t xml:space="preserve">even </w:t>
      </w:r>
      <w:r w:rsidRPr="005A753B">
        <w:rPr>
          <w:rFonts w:ascii="Arial" w:hAnsi="Arial" w:cs="Arial"/>
          <w:sz w:val="24"/>
          <w:szCs w:val="24"/>
        </w:rPr>
        <w:t>when the reasons for its findings were requested</w:t>
      </w:r>
      <w:r>
        <w:rPr>
          <w:rFonts w:ascii="Arial" w:hAnsi="Arial" w:cs="Arial"/>
          <w:sz w:val="24"/>
          <w:szCs w:val="24"/>
        </w:rPr>
        <w:t xml:space="preserve"> by P</w:t>
      </w:r>
      <w:r w:rsidR="00B6276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 w:rsidRPr="005A753B">
        <w:rPr>
          <w:rFonts w:ascii="Arial" w:hAnsi="Arial" w:cs="Arial"/>
          <w:sz w:val="24"/>
          <w:szCs w:val="24"/>
        </w:rPr>
        <w:t xml:space="preserve">, the Review Panel was not forthcoming, and the factual underpinnings for the conclusions reached </w:t>
      </w:r>
      <w:proofErr w:type="gramStart"/>
      <w:r w:rsidRPr="005A753B">
        <w:rPr>
          <w:rFonts w:ascii="Arial" w:hAnsi="Arial" w:cs="Arial"/>
          <w:sz w:val="24"/>
          <w:szCs w:val="24"/>
        </w:rPr>
        <w:t>in regard to</w:t>
      </w:r>
      <w:proofErr w:type="gramEnd"/>
      <w:r w:rsidRPr="005A753B">
        <w:rPr>
          <w:rFonts w:ascii="Arial" w:hAnsi="Arial" w:cs="Arial"/>
          <w:sz w:val="24"/>
          <w:szCs w:val="24"/>
        </w:rPr>
        <w:t xml:space="preserve"> s 52 of the Act were not disclosed. </w:t>
      </w:r>
      <w:r>
        <w:rPr>
          <w:rFonts w:ascii="Arial" w:hAnsi="Arial" w:cs="Arial"/>
          <w:sz w:val="24"/>
          <w:szCs w:val="24"/>
        </w:rPr>
        <w:t>(</w:t>
      </w:r>
      <w:r w:rsidRPr="005A753B">
        <w:rPr>
          <w:rFonts w:ascii="Arial" w:hAnsi="Arial" w:cs="Arial"/>
          <w:sz w:val="24"/>
          <w:szCs w:val="24"/>
        </w:rPr>
        <w:t>The reasons for the</w:t>
      </w:r>
      <w:r>
        <w:rPr>
          <w:rFonts w:ascii="Arial" w:hAnsi="Arial" w:cs="Arial"/>
          <w:sz w:val="24"/>
          <w:szCs w:val="24"/>
        </w:rPr>
        <w:t xml:space="preserve"> first decision </w:t>
      </w:r>
      <w:r w:rsidRPr="005A753B">
        <w:rPr>
          <w:rFonts w:ascii="Arial" w:hAnsi="Arial" w:cs="Arial"/>
          <w:sz w:val="24"/>
          <w:szCs w:val="24"/>
        </w:rPr>
        <w:t xml:space="preserve">that the </w:t>
      </w:r>
      <w:proofErr w:type="gramStart"/>
      <w:r w:rsidRPr="005A753B">
        <w:rPr>
          <w:rFonts w:ascii="Arial" w:hAnsi="Arial" w:cs="Arial"/>
          <w:sz w:val="24"/>
          <w:szCs w:val="24"/>
        </w:rPr>
        <w:t xml:space="preserve">29 </w:t>
      </w:r>
      <w:r w:rsidRPr="00BE79E7">
        <w:rPr>
          <w:rFonts w:ascii="Arial" w:hAnsi="Arial" w:cs="Arial"/>
          <w:sz w:val="24"/>
          <w:szCs w:val="24"/>
        </w:rPr>
        <w:t>day</w:t>
      </w:r>
      <w:proofErr w:type="gramEnd"/>
      <w:r w:rsidRPr="00BE79E7">
        <w:rPr>
          <w:rFonts w:ascii="Arial" w:hAnsi="Arial" w:cs="Arial"/>
          <w:sz w:val="24"/>
          <w:szCs w:val="24"/>
        </w:rPr>
        <w:t xml:space="preserve"> period was </w:t>
      </w:r>
      <w:r w:rsidR="00BE79E7" w:rsidRPr="00BE79E7">
        <w:rPr>
          <w:rFonts w:ascii="Arial" w:hAnsi="Arial" w:cs="Arial"/>
          <w:sz w:val="24"/>
          <w:szCs w:val="24"/>
        </w:rPr>
        <w:t>in</w:t>
      </w:r>
      <w:r w:rsidRPr="00BE79E7">
        <w:rPr>
          <w:rFonts w:ascii="Arial" w:hAnsi="Arial" w:cs="Arial"/>
          <w:sz w:val="24"/>
          <w:szCs w:val="24"/>
        </w:rPr>
        <w:t>sufficient is self-evident from the finding.) The reasons for the second</w:t>
      </w:r>
      <w:r w:rsidRPr="005A753B">
        <w:rPr>
          <w:rFonts w:ascii="Arial" w:hAnsi="Arial" w:cs="Arial"/>
          <w:sz w:val="24"/>
          <w:szCs w:val="24"/>
        </w:rPr>
        <w:t xml:space="preserve"> finding with reference to s 52 of the Act </w:t>
      </w:r>
      <w:r w:rsidR="00C0581D">
        <w:rPr>
          <w:rFonts w:ascii="Arial" w:hAnsi="Arial" w:cs="Arial"/>
          <w:sz w:val="24"/>
          <w:szCs w:val="24"/>
        </w:rPr>
        <w:t>remained</w:t>
      </w:r>
      <w:r w:rsidRPr="005A753B">
        <w:rPr>
          <w:rFonts w:ascii="Arial" w:hAnsi="Arial" w:cs="Arial"/>
          <w:sz w:val="24"/>
          <w:szCs w:val="24"/>
        </w:rPr>
        <w:t xml:space="preserve"> a mystery</w:t>
      </w:r>
      <w:r w:rsidR="00C0581D">
        <w:rPr>
          <w:rFonts w:ascii="Arial" w:hAnsi="Arial" w:cs="Arial"/>
          <w:sz w:val="24"/>
          <w:szCs w:val="24"/>
        </w:rPr>
        <w:t xml:space="preserve"> as the </w:t>
      </w:r>
      <w:r w:rsidRPr="005A753B">
        <w:rPr>
          <w:rFonts w:ascii="Arial" w:hAnsi="Arial" w:cs="Arial"/>
          <w:sz w:val="24"/>
          <w:szCs w:val="24"/>
        </w:rPr>
        <w:t>Review Panel</w:t>
      </w:r>
      <w:r w:rsidR="00C0581D">
        <w:rPr>
          <w:rFonts w:ascii="Arial" w:hAnsi="Arial" w:cs="Arial"/>
          <w:sz w:val="24"/>
          <w:szCs w:val="24"/>
        </w:rPr>
        <w:t xml:space="preserve"> failed to disclose them</w:t>
      </w:r>
      <w:r w:rsidRPr="005A753B">
        <w:rPr>
          <w:rFonts w:ascii="Arial" w:hAnsi="Arial" w:cs="Arial"/>
          <w:sz w:val="24"/>
          <w:szCs w:val="24"/>
        </w:rPr>
        <w:t>.</w:t>
      </w:r>
      <w:r w:rsidR="005F3F39">
        <w:rPr>
          <w:rFonts w:ascii="Arial" w:hAnsi="Arial" w:cs="Arial"/>
          <w:sz w:val="24"/>
          <w:szCs w:val="24"/>
        </w:rPr>
        <w:t xml:space="preserve"> </w:t>
      </w:r>
    </w:p>
    <w:p w14:paraId="4C504FD6" w14:textId="77777777" w:rsidR="005F3F39" w:rsidRDefault="005F3F39" w:rsidP="005F3F3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3ABEB" w14:textId="77777777" w:rsidR="00EC0668" w:rsidRPr="00C0581D" w:rsidRDefault="00BE79E7" w:rsidP="00EC066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C0668">
        <w:rPr>
          <w:rFonts w:ascii="Arial" w:hAnsi="Arial" w:cs="Arial"/>
          <w:sz w:val="24"/>
          <w:szCs w:val="24"/>
        </w:rPr>
        <w:t>s t</w:t>
      </w:r>
      <w:r w:rsidR="00EC0668" w:rsidRPr="009069C9">
        <w:rPr>
          <w:rFonts w:ascii="Arial" w:eastAsia="Times New Roman" w:hAnsi="Arial" w:cs="Arial"/>
          <w:color w:val="000000"/>
          <w:sz w:val="24"/>
          <w:szCs w:val="24"/>
        </w:rPr>
        <w:t>he interpretation of s 60(c) of the Act</w:t>
      </w:r>
      <w:r w:rsidR="00EC06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EC0668" w:rsidRPr="009069C9">
        <w:rPr>
          <w:rFonts w:ascii="Arial" w:eastAsia="Times New Roman" w:hAnsi="Arial" w:cs="Arial"/>
          <w:color w:val="000000"/>
          <w:sz w:val="24"/>
          <w:szCs w:val="24"/>
        </w:rPr>
        <w:t xml:space="preserve"> be material to the reso</w:t>
      </w:r>
      <w:r w:rsidR="00EC0668">
        <w:rPr>
          <w:rFonts w:ascii="Arial" w:eastAsia="Times New Roman" w:hAnsi="Arial" w:cs="Arial"/>
          <w:color w:val="000000"/>
          <w:sz w:val="24"/>
          <w:szCs w:val="24"/>
        </w:rPr>
        <w:t>lution of the appeal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this issue was addressed by both parties</w:t>
      </w:r>
      <w:r w:rsidR="00EC0668">
        <w:rPr>
          <w:rFonts w:ascii="Arial" w:eastAsia="Times New Roman" w:hAnsi="Arial" w:cs="Arial"/>
          <w:color w:val="000000"/>
          <w:sz w:val="24"/>
          <w:szCs w:val="24"/>
        </w:rPr>
        <w:t>. PIS argued</w:t>
      </w:r>
      <w:r w:rsidR="00EC0668" w:rsidRPr="009069C9">
        <w:rPr>
          <w:rFonts w:ascii="Arial" w:eastAsia="Times New Roman" w:hAnsi="Arial" w:cs="Arial"/>
          <w:color w:val="000000"/>
          <w:sz w:val="24"/>
          <w:szCs w:val="24"/>
        </w:rPr>
        <w:t xml:space="preserve"> that the relevant sections of the Act have been amended </w:t>
      </w:r>
      <w:r w:rsidR="00EC0668">
        <w:rPr>
          <w:rFonts w:ascii="Arial" w:eastAsia="Times New Roman" w:hAnsi="Arial" w:cs="Arial"/>
          <w:color w:val="000000"/>
          <w:sz w:val="24"/>
          <w:szCs w:val="24"/>
        </w:rPr>
        <w:t xml:space="preserve">since the award </w:t>
      </w:r>
      <w:r w:rsidR="00EC0668" w:rsidRPr="009069C9">
        <w:rPr>
          <w:rFonts w:ascii="Arial" w:eastAsia="Times New Roman" w:hAnsi="Arial" w:cs="Arial"/>
          <w:color w:val="000000"/>
          <w:sz w:val="24"/>
          <w:szCs w:val="24"/>
        </w:rPr>
        <w:t xml:space="preserve">and that interpreting the Act as it was when </w:t>
      </w:r>
      <w:r w:rsidR="00EC0668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="00EC0668" w:rsidRPr="009069C9">
        <w:rPr>
          <w:rFonts w:ascii="Arial" w:eastAsia="Times New Roman" w:hAnsi="Arial" w:cs="Arial"/>
          <w:color w:val="000000"/>
          <w:sz w:val="24"/>
          <w:szCs w:val="24"/>
        </w:rPr>
        <w:t>was awarded the contract is of no benefit. The second and third respondents argue</w:t>
      </w:r>
      <w:r w:rsidR="005F3F39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EC0668" w:rsidRPr="009069C9">
        <w:rPr>
          <w:rFonts w:ascii="Arial" w:eastAsia="Times New Roman" w:hAnsi="Arial" w:cs="Arial"/>
          <w:color w:val="000000"/>
          <w:sz w:val="24"/>
          <w:szCs w:val="24"/>
        </w:rPr>
        <w:t xml:space="preserve"> that the appeal is moot because PIS was granted an order to execute </w:t>
      </w:r>
      <w:r w:rsidR="00EC0668">
        <w:rPr>
          <w:rFonts w:ascii="Arial" w:eastAsia="Times New Roman" w:hAnsi="Arial" w:cs="Arial"/>
          <w:color w:val="000000"/>
          <w:sz w:val="24"/>
          <w:szCs w:val="24"/>
        </w:rPr>
        <w:t xml:space="preserve">its order </w:t>
      </w:r>
      <w:r w:rsidR="00EC0668" w:rsidRPr="009069C9">
        <w:rPr>
          <w:rFonts w:ascii="Arial" w:eastAsia="Times New Roman" w:hAnsi="Arial" w:cs="Arial"/>
          <w:color w:val="000000"/>
          <w:sz w:val="24"/>
          <w:szCs w:val="24"/>
        </w:rPr>
        <w:t>pending the appeal</w:t>
      </w:r>
      <w:r w:rsidR="00EC066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C0668" w:rsidRPr="00CA2EBE">
        <w:rPr>
          <w:rFonts w:ascii="Arial" w:hAnsi="Arial" w:cs="Arial"/>
          <w:color w:val="000000"/>
          <w:sz w:val="24"/>
          <w:szCs w:val="24"/>
        </w:rPr>
        <w:t xml:space="preserve">NPS argued that PIS should not be able to seek relief as it approached the court with unclean hands due to </w:t>
      </w:r>
      <w:r w:rsidR="00EC0668">
        <w:rPr>
          <w:rFonts w:ascii="Arial" w:hAnsi="Arial" w:cs="Arial"/>
          <w:color w:val="000000"/>
          <w:sz w:val="24"/>
          <w:szCs w:val="24"/>
        </w:rPr>
        <w:t xml:space="preserve">its </w:t>
      </w:r>
      <w:r w:rsidR="00EC0668" w:rsidRPr="00CA2EBE">
        <w:rPr>
          <w:rFonts w:ascii="Arial" w:hAnsi="Arial" w:cs="Arial"/>
          <w:color w:val="000000"/>
          <w:sz w:val="24"/>
          <w:szCs w:val="24"/>
        </w:rPr>
        <w:t>non-compliance with</w:t>
      </w:r>
      <w:r w:rsidR="00EC0668">
        <w:rPr>
          <w:rFonts w:ascii="Arial" w:hAnsi="Arial" w:cs="Arial"/>
          <w:color w:val="000000"/>
          <w:sz w:val="24"/>
          <w:szCs w:val="24"/>
        </w:rPr>
        <w:t xml:space="preserve"> </w:t>
      </w:r>
      <w:r w:rsidR="00CA4E0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EC0668">
        <w:rPr>
          <w:rFonts w:ascii="Arial" w:hAnsi="Arial" w:cs="Arial"/>
          <w:color w:val="000000"/>
          <w:sz w:val="24"/>
          <w:szCs w:val="24"/>
        </w:rPr>
        <w:t xml:space="preserve">Labour Act 11 of 2007 </w:t>
      </w:r>
      <w:r w:rsidR="00EC0668" w:rsidRPr="00CA2EBE">
        <w:rPr>
          <w:rFonts w:ascii="Arial" w:hAnsi="Arial" w:cs="Arial"/>
          <w:color w:val="000000"/>
          <w:sz w:val="24"/>
          <w:szCs w:val="24"/>
        </w:rPr>
        <w:t xml:space="preserve">and </w:t>
      </w:r>
      <w:r w:rsidR="00E22721">
        <w:rPr>
          <w:rFonts w:ascii="Arial" w:hAnsi="Arial" w:cs="Arial"/>
          <w:color w:val="000000"/>
          <w:sz w:val="24"/>
          <w:szCs w:val="24"/>
        </w:rPr>
        <w:t>its</w:t>
      </w:r>
      <w:r w:rsidR="00EC0668">
        <w:rPr>
          <w:rFonts w:ascii="Arial" w:hAnsi="Arial" w:cs="Arial"/>
          <w:color w:val="000000"/>
          <w:sz w:val="24"/>
          <w:szCs w:val="24"/>
        </w:rPr>
        <w:t xml:space="preserve"> </w:t>
      </w:r>
      <w:r w:rsidR="00EC0668" w:rsidRPr="00CA2EBE">
        <w:rPr>
          <w:rFonts w:ascii="Arial" w:hAnsi="Arial" w:cs="Arial"/>
          <w:color w:val="000000"/>
          <w:sz w:val="24"/>
          <w:szCs w:val="24"/>
        </w:rPr>
        <w:t xml:space="preserve">failure to adhere to minimum </w:t>
      </w:r>
      <w:r w:rsidR="00EC0668" w:rsidRPr="003C4679">
        <w:rPr>
          <w:rFonts w:ascii="Arial" w:hAnsi="Arial" w:cs="Arial"/>
          <w:color w:val="000000"/>
          <w:sz w:val="24"/>
          <w:szCs w:val="24"/>
        </w:rPr>
        <w:t xml:space="preserve">wages. </w:t>
      </w:r>
      <w:r w:rsidR="00EC0668">
        <w:rPr>
          <w:rFonts w:ascii="Arial" w:hAnsi="Arial" w:cs="Arial"/>
          <w:color w:val="000000"/>
          <w:sz w:val="24"/>
          <w:szCs w:val="24"/>
        </w:rPr>
        <w:t xml:space="preserve">Additionally, </w:t>
      </w:r>
      <w:r w:rsidR="00EC0668" w:rsidRPr="003C4679">
        <w:rPr>
          <w:rFonts w:ascii="Arial" w:hAnsi="Arial" w:cs="Arial"/>
          <w:sz w:val="24"/>
          <w:szCs w:val="24"/>
        </w:rPr>
        <w:t xml:space="preserve">PIS lodged an application </w:t>
      </w:r>
      <w:r w:rsidR="00EC0668">
        <w:rPr>
          <w:rFonts w:ascii="Arial" w:hAnsi="Arial" w:cs="Arial"/>
          <w:sz w:val="24"/>
          <w:szCs w:val="24"/>
        </w:rPr>
        <w:t xml:space="preserve">(on 6 March 2023) </w:t>
      </w:r>
      <w:r w:rsidR="00EC0668" w:rsidRPr="003C4679">
        <w:rPr>
          <w:rFonts w:ascii="Arial" w:hAnsi="Arial" w:cs="Arial"/>
          <w:sz w:val="24"/>
          <w:szCs w:val="24"/>
        </w:rPr>
        <w:t xml:space="preserve">to adduce further evidence </w:t>
      </w:r>
      <w:r w:rsidR="005F3F39">
        <w:rPr>
          <w:rFonts w:ascii="Arial" w:hAnsi="Arial" w:cs="Arial"/>
          <w:sz w:val="24"/>
          <w:szCs w:val="24"/>
        </w:rPr>
        <w:t xml:space="preserve">on appeal </w:t>
      </w:r>
      <w:r w:rsidR="00EC0668" w:rsidRPr="003C4679">
        <w:rPr>
          <w:rFonts w:ascii="Arial" w:hAnsi="Arial" w:cs="Arial"/>
          <w:sz w:val="24"/>
          <w:szCs w:val="24"/>
        </w:rPr>
        <w:t xml:space="preserve">to show that it obtained an order in the High Court allowing it to execute the judgment </w:t>
      </w:r>
      <w:r w:rsidR="00EC0668" w:rsidRPr="003C4679">
        <w:rPr>
          <w:rFonts w:ascii="Arial" w:hAnsi="Arial" w:cs="Arial"/>
          <w:i/>
          <w:sz w:val="24"/>
          <w:szCs w:val="24"/>
        </w:rPr>
        <w:t>a quo</w:t>
      </w:r>
      <w:r w:rsidR="00EC0668" w:rsidRPr="003C4679">
        <w:rPr>
          <w:rFonts w:ascii="Arial" w:hAnsi="Arial" w:cs="Arial"/>
          <w:sz w:val="24"/>
          <w:szCs w:val="24"/>
        </w:rPr>
        <w:t xml:space="preserve"> pending the appeal. PIS intended to adduce evidence to show the extent of services rendered and payments received for such services during the appeal.</w:t>
      </w:r>
      <w:r w:rsidR="00C0581D">
        <w:rPr>
          <w:rFonts w:ascii="Arial" w:hAnsi="Arial" w:cs="Arial"/>
          <w:sz w:val="24"/>
          <w:szCs w:val="24"/>
        </w:rPr>
        <w:t xml:space="preserve"> Additionally,</w:t>
      </w:r>
      <w:r w:rsidR="005F3F39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</w:t>
      </w:r>
      <w:r w:rsidR="005F3F39">
        <w:rPr>
          <w:rFonts w:ascii="Arial" w:hAnsi="Arial" w:cs="Arial"/>
          <w:sz w:val="24"/>
          <w:szCs w:val="24"/>
        </w:rPr>
        <w:t xml:space="preserve"> court determine</w:t>
      </w:r>
      <w:r>
        <w:rPr>
          <w:rFonts w:ascii="Arial" w:hAnsi="Arial" w:cs="Arial"/>
          <w:sz w:val="24"/>
          <w:szCs w:val="24"/>
        </w:rPr>
        <w:t>d</w:t>
      </w:r>
      <w:r w:rsidR="005F3F39">
        <w:rPr>
          <w:rFonts w:ascii="Arial" w:hAnsi="Arial" w:cs="Arial"/>
          <w:sz w:val="24"/>
          <w:szCs w:val="24"/>
        </w:rPr>
        <w:t xml:space="preserve"> whether</w:t>
      </w:r>
      <w:r w:rsidR="00C0581D">
        <w:rPr>
          <w:rFonts w:ascii="Arial" w:hAnsi="Arial" w:cs="Arial"/>
          <w:sz w:val="24"/>
          <w:szCs w:val="24"/>
        </w:rPr>
        <w:t xml:space="preserve"> </w:t>
      </w:r>
      <w:r w:rsidR="005F3F39">
        <w:rPr>
          <w:rFonts w:ascii="Arial" w:hAnsi="Arial" w:cs="Arial"/>
          <w:sz w:val="24"/>
          <w:szCs w:val="24"/>
        </w:rPr>
        <w:t xml:space="preserve">the citation of </w:t>
      </w:r>
      <w:r w:rsidR="00C0581D">
        <w:rPr>
          <w:rFonts w:ascii="Arial" w:hAnsi="Arial" w:cs="Arial"/>
          <w:sz w:val="24"/>
          <w:szCs w:val="24"/>
        </w:rPr>
        <w:t>t</w:t>
      </w:r>
      <w:r w:rsidR="00C0581D" w:rsidRPr="005A753B">
        <w:rPr>
          <w:rFonts w:ascii="Arial" w:hAnsi="Arial" w:cs="Arial"/>
          <w:sz w:val="24"/>
          <w:szCs w:val="24"/>
        </w:rPr>
        <w:t>he chairperson of the board and the board in the review application</w:t>
      </w:r>
      <w:r w:rsidR="005F3F39">
        <w:rPr>
          <w:rFonts w:ascii="Arial" w:hAnsi="Arial" w:cs="Arial"/>
          <w:sz w:val="24"/>
          <w:szCs w:val="24"/>
        </w:rPr>
        <w:t xml:space="preserve"> amounted to a misjoinder</w:t>
      </w:r>
      <w:r>
        <w:rPr>
          <w:rFonts w:ascii="Arial" w:hAnsi="Arial" w:cs="Arial"/>
          <w:sz w:val="24"/>
          <w:szCs w:val="24"/>
        </w:rPr>
        <w:t>/double citation</w:t>
      </w:r>
      <w:r w:rsidR="005F3F39">
        <w:rPr>
          <w:rFonts w:ascii="Arial" w:hAnsi="Arial" w:cs="Arial"/>
          <w:sz w:val="24"/>
          <w:szCs w:val="24"/>
        </w:rPr>
        <w:t>.</w:t>
      </w:r>
    </w:p>
    <w:p w14:paraId="4DB734C8" w14:textId="77777777" w:rsidR="00EC0668" w:rsidRDefault="00EC0668" w:rsidP="00EC06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0870B167" w14:textId="77777777" w:rsidR="00EC0668" w:rsidRDefault="00EC0668" w:rsidP="00EC066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6F94">
        <w:rPr>
          <w:rFonts w:ascii="Arial" w:eastAsia="Times New Roman" w:hAnsi="Arial" w:cs="Arial"/>
          <w:i/>
          <w:color w:val="000000"/>
          <w:sz w:val="24"/>
          <w:szCs w:val="24"/>
        </w:rPr>
        <w:t>Held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the </w:t>
      </w:r>
      <w:r w:rsidRPr="009069C9">
        <w:rPr>
          <w:rFonts w:ascii="Arial" w:eastAsia="Times New Roman" w:hAnsi="Arial" w:cs="Arial"/>
          <w:color w:val="000000"/>
          <w:sz w:val="24"/>
          <w:szCs w:val="24"/>
        </w:rPr>
        <w:t xml:space="preserve">mootness point taken by the </w:t>
      </w:r>
      <w:r w:rsidR="005F3F39">
        <w:rPr>
          <w:rFonts w:ascii="Arial" w:eastAsia="Times New Roman" w:hAnsi="Arial" w:cs="Arial"/>
          <w:color w:val="000000"/>
          <w:sz w:val="24"/>
          <w:szCs w:val="24"/>
        </w:rPr>
        <w:t xml:space="preserve">second and third </w:t>
      </w:r>
      <w:r w:rsidRPr="009069C9">
        <w:rPr>
          <w:rFonts w:ascii="Arial" w:eastAsia="Times New Roman" w:hAnsi="Arial" w:cs="Arial"/>
          <w:color w:val="000000"/>
          <w:sz w:val="24"/>
          <w:szCs w:val="24"/>
        </w:rPr>
        <w:t xml:space="preserve">respondents is </w:t>
      </w:r>
      <w:r>
        <w:rPr>
          <w:rFonts w:ascii="Arial" w:eastAsia="Times New Roman" w:hAnsi="Arial" w:cs="Arial"/>
          <w:color w:val="000000"/>
          <w:sz w:val="24"/>
          <w:szCs w:val="24"/>
        </w:rPr>
        <w:t>rejected</w:t>
      </w:r>
      <w:r w:rsidRPr="009069C9">
        <w:rPr>
          <w:rFonts w:ascii="Arial" w:eastAsia="Times New Roman" w:hAnsi="Arial" w:cs="Arial"/>
          <w:color w:val="000000"/>
          <w:sz w:val="24"/>
          <w:szCs w:val="24"/>
        </w:rPr>
        <w:t xml:space="preserve"> as the lawfulness of the award of the tender to PIS 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 its </w:t>
      </w:r>
      <w:r w:rsidRPr="009069C9">
        <w:rPr>
          <w:rFonts w:ascii="Arial" w:eastAsia="Times New Roman" w:hAnsi="Arial" w:cs="Arial"/>
          <w:color w:val="000000"/>
          <w:sz w:val="24"/>
          <w:szCs w:val="24"/>
        </w:rPr>
        <w:t>consequences are still live issues between the parties.</w:t>
      </w:r>
    </w:p>
    <w:p w14:paraId="6652809A" w14:textId="77777777" w:rsidR="00EC0668" w:rsidRDefault="00EC0668" w:rsidP="00EC06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A753B">
        <w:rPr>
          <w:rFonts w:ascii="Arial" w:hAnsi="Arial" w:cs="Arial"/>
          <w:i/>
        </w:rPr>
        <w:lastRenderedPageBreak/>
        <w:t>Held that</w:t>
      </w:r>
      <w:r w:rsidRPr="005A753B">
        <w:rPr>
          <w:rFonts w:ascii="Arial" w:hAnsi="Arial" w:cs="Arial"/>
        </w:rPr>
        <w:t>, the citation of the chairperson</w:t>
      </w:r>
      <w:r w:rsidR="005F3F39">
        <w:rPr>
          <w:rFonts w:ascii="Arial" w:hAnsi="Arial" w:cs="Arial"/>
        </w:rPr>
        <w:t xml:space="preserve"> of the board</w:t>
      </w:r>
      <w:r w:rsidRPr="005A753B">
        <w:rPr>
          <w:rFonts w:ascii="Arial" w:hAnsi="Arial" w:cs="Arial"/>
        </w:rPr>
        <w:t xml:space="preserve"> and the board amounted to a misjoinder. Rule 76(1) of the</w:t>
      </w:r>
      <w:r>
        <w:rPr>
          <w:rFonts w:ascii="Arial" w:hAnsi="Arial" w:cs="Arial"/>
        </w:rPr>
        <w:t xml:space="preserve"> Rules of the</w:t>
      </w:r>
      <w:r w:rsidR="005F3F39">
        <w:rPr>
          <w:rFonts w:ascii="Arial" w:hAnsi="Arial" w:cs="Arial"/>
        </w:rPr>
        <w:t xml:space="preserve"> High Court states that an</w:t>
      </w:r>
      <w:r w:rsidRPr="005A753B">
        <w:rPr>
          <w:rFonts w:ascii="Arial" w:hAnsi="Arial" w:cs="Arial"/>
        </w:rPr>
        <w:t xml:space="preserve"> application should be directe</w:t>
      </w:r>
      <w:r w:rsidRPr="009069C9">
        <w:rPr>
          <w:rFonts w:ascii="Arial" w:hAnsi="Arial" w:cs="Arial"/>
        </w:rPr>
        <w:t xml:space="preserve">d at the chairperson of the tribunal whose decision is </w:t>
      </w:r>
      <w:r w:rsidR="00CA4E0D">
        <w:rPr>
          <w:rFonts w:ascii="Arial" w:hAnsi="Arial" w:cs="Arial"/>
        </w:rPr>
        <w:t xml:space="preserve">sought </w:t>
      </w:r>
      <w:r w:rsidRPr="009069C9">
        <w:rPr>
          <w:rFonts w:ascii="Arial" w:hAnsi="Arial" w:cs="Arial"/>
        </w:rPr>
        <w:t>to be set aside. The sep</w:t>
      </w:r>
      <w:r>
        <w:rPr>
          <w:rFonts w:ascii="Arial" w:hAnsi="Arial" w:cs="Arial"/>
        </w:rPr>
        <w:t>arate citation of the tribunal was</w:t>
      </w:r>
      <w:r w:rsidRPr="009069C9">
        <w:rPr>
          <w:rFonts w:ascii="Arial" w:hAnsi="Arial" w:cs="Arial"/>
        </w:rPr>
        <w:t xml:space="preserve"> not necessary. </w:t>
      </w:r>
      <w:r>
        <w:rPr>
          <w:rFonts w:ascii="Arial" w:hAnsi="Arial" w:cs="Arial"/>
        </w:rPr>
        <w:t>Seeing that t</w:t>
      </w:r>
      <w:r w:rsidRPr="009069C9">
        <w:rPr>
          <w:rFonts w:ascii="Arial" w:hAnsi="Arial" w:cs="Arial"/>
        </w:rPr>
        <w:t xml:space="preserve">he issue was not raised in this </w:t>
      </w:r>
      <w:r>
        <w:rPr>
          <w:rFonts w:ascii="Arial" w:hAnsi="Arial" w:cs="Arial"/>
        </w:rPr>
        <w:t xml:space="preserve">matter, </w:t>
      </w:r>
      <w:r w:rsidRPr="00F713FB">
        <w:rPr>
          <w:rFonts w:ascii="Arial" w:hAnsi="Arial" w:cs="Arial"/>
        </w:rPr>
        <w:t xml:space="preserve">courts should not tolerate these misjoinders and </w:t>
      </w:r>
      <w:r>
        <w:rPr>
          <w:rFonts w:ascii="Arial" w:hAnsi="Arial" w:cs="Arial"/>
        </w:rPr>
        <w:t xml:space="preserve">should grant </w:t>
      </w:r>
      <w:r w:rsidRPr="00F713FB">
        <w:rPr>
          <w:rFonts w:ascii="Arial" w:hAnsi="Arial" w:cs="Arial"/>
        </w:rPr>
        <w:t>adverse cost order</w:t>
      </w:r>
      <w:r>
        <w:rPr>
          <w:rFonts w:ascii="Arial" w:hAnsi="Arial" w:cs="Arial"/>
        </w:rPr>
        <w:t>s</w:t>
      </w:r>
      <w:r w:rsidRPr="00F713FB">
        <w:rPr>
          <w:rFonts w:ascii="Arial" w:hAnsi="Arial" w:cs="Arial"/>
        </w:rPr>
        <w:t xml:space="preserve"> whenever a party is guilty of double citation in the future.</w:t>
      </w:r>
    </w:p>
    <w:p w14:paraId="061C7907" w14:textId="77777777" w:rsidR="00EC0668" w:rsidRPr="00F713FB" w:rsidRDefault="00EC0668" w:rsidP="00EC06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D5BB64C" w14:textId="77777777" w:rsidR="00EC0668" w:rsidRDefault="00EC0668" w:rsidP="00EC06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A2EBE">
        <w:rPr>
          <w:rFonts w:ascii="Arial" w:hAnsi="Arial" w:cs="Arial"/>
          <w:i/>
          <w:color w:val="000000"/>
        </w:rPr>
        <w:t>Held that</w:t>
      </w:r>
      <w:r>
        <w:rPr>
          <w:rFonts w:ascii="Arial" w:hAnsi="Arial" w:cs="Arial"/>
          <w:color w:val="000000"/>
        </w:rPr>
        <w:t>, this</w:t>
      </w:r>
      <w:r w:rsidRPr="005F5AB5">
        <w:rPr>
          <w:rFonts w:ascii="Arial" w:hAnsi="Arial" w:cs="Arial"/>
          <w:color w:val="000000"/>
        </w:rPr>
        <w:t xml:space="preserve"> court </w:t>
      </w:r>
      <w:r w:rsidR="006C193B">
        <w:rPr>
          <w:rFonts w:ascii="Arial" w:hAnsi="Arial" w:cs="Arial"/>
          <w:color w:val="000000"/>
        </w:rPr>
        <w:t xml:space="preserve">cannot </w:t>
      </w:r>
      <w:r w:rsidRPr="005F5AB5">
        <w:rPr>
          <w:rFonts w:ascii="Arial" w:hAnsi="Arial" w:cs="Arial"/>
          <w:color w:val="000000"/>
        </w:rPr>
        <w:t xml:space="preserve">fault the court </w:t>
      </w:r>
      <w:r w:rsidRPr="008953D3">
        <w:rPr>
          <w:rFonts w:ascii="Arial" w:hAnsi="Arial" w:cs="Arial"/>
          <w:i/>
          <w:color w:val="000000"/>
        </w:rPr>
        <w:t>a quo</w:t>
      </w:r>
      <w:r w:rsidRPr="005F5AB5">
        <w:rPr>
          <w:rFonts w:ascii="Arial" w:hAnsi="Arial" w:cs="Arial"/>
          <w:color w:val="000000"/>
        </w:rPr>
        <w:t xml:space="preserve"> for deciding not to apply the doctrine of </w:t>
      </w:r>
      <w:r w:rsidR="006C193B">
        <w:rPr>
          <w:rFonts w:ascii="Arial" w:hAnsi="Arial" w:cs="Arial"/>
          <w:color w:val="000000"/>
        </w:rPr>
        <w:t>un</w:t>
      </w:r>
      <w:r w:rsidRPr="005F5AB5">
        <w:rPr>
          <w:rFonts w:ascii="Arial" w:hAnsi="Arial" w:cs="Arial"/>
          <w:color w:val="000000"/>
        </w:rPr>
        <w:t>clean hands against PIS.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It is not for the court to police PIS’s compliance with </w:t>
      </w:r>
      <w:r w:rsidR="006C193B">
        <w:rPr>
          <w:rFonts w:ascii="Arial" w:hAnsi="Arial" w:cs="Arial"/>
        </w:rPr>
        <w:t>the L</w:t>
      </w:r>
      <w:r>
        <w:rPr>
          <w:rFonts w:ascii="Arial" w:hAnsi="Arial" w:cs="Arial"/>
        </w:rPr>
        <w:t xml:space="preserve">abour </w:t>
      </w:r>
      <w:r w:rsidR="006C193B">
        <w:rPr>
          <w:rFonts w:ascii="Arial" w:hAnsi="Arial" w:cs="Arial"/>
        </w:rPr>
        <w:t>Act 11 of 2007</w:t>
      </w:r>
      <w:r>
        <w:rPr>
          <w:rFonts w:ascii="Arial" w:hAnsi="Arial" w:cs="Arial"/>
        </w:rPr>
        <w:t xml:space="preserve">. Firstly, it is implied that they employ people to render the services for which they tendered that they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comply with the labour law in respect of their employees. Secondly, they</w:t>
      </w:r>
      <w:r w:rsidR="006C193B">
        <w:rPr>
          <w:rFonts w:ascii="Arial" w:hAnsi="Arial" w:cs="Arial"/>
        </w:rPr>
        <w:t xml:space="preserve"> (PIS)</w:t>
      </w:r>
      <w:r>
        <w:rPr>
          <w:rFonts w:ascii="Arial" w:hAnsi="Arial" w:cs="Arial"/>
        </w:rPr>
        <w:t xml:space="preserve"> gave such an undertaking. Thirdly, compliance can be enforced via the labour legislation and the office of the Labour Commissioner. Fourthly, the possible consequences of non-compliance on service delivery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been set out. Lastly, non-compliance may lead to the cancellation of the contract awarded to</w:t>
      </w:r>
      <w:r w:rsidR="00E7062C">
        <w:rPr>
          <w:rFonts w:ascii="Arial" w:hAnsi="Arial" w:cs="Arial"/>
        </w:rPr>
        <w:t xml:space="preserve"> PIS. It could thus not be </w:t>
      </w:r>
      <w:r w:rsidR="00BE79E7">
        <w:rPr>
          <w:rFonts w:ascii="Arial" w:hAnsi="Arial" w:cs="Arial"/>
        </w:rPr>
        <w:t xml:space="preserve">said that the bid by PIS was so contaminated by dishonesty that they </w:t>
      </w:r>
      <w:r w:rsidR="00E7062C">
        <w:rPr>
          <w:rFonts w:ascii="Arial" w:hAnsi="Arial" w:cs="Arial"/>
        </w:rPr>
        <w:t>could not protect the award of the bid to it in a court of law.</w:t>
      </w:r>
    </w:p>
    <w:p w14:paraId="126D304B" w14:textId="77777777" w:rsidR="00EC0668" w:rsidRDefault="00EC0668" w:rsidP="00EC06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1E266F2" w14:textId="77777777" w:rsidR="00EC0668" w:rsidRDefault="00EC0668" w:rsidP="00EC06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E6F94">
        <w:rPr>
          <w:rFonts w:ascii="Arial" w:hAnsi="Arial" w:cs="Arial"/>
          <w:i/>
        </w:rPr>
        <w:t>Held that</w:t>
      </w:r>
      <w:r w:rsidRPr="00BE6F94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Review Panel’s failure to provide reasons for its decision</w:t>
      </w:r>
      <w:r w:rsidR="006C193B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unacceptable and a breach of its legal duty as an administrative body (see </w:t>
      </w:r>
      <w:r w:rsidRPr="00BE4D1E">
        <w:rPr>
          <w:rFonts w:ascii="Arial" w:hAnsi="Arial" w:cs="Arial"/>
          <w:i/>
        </w:rPr>
        <w:t xml:space="preserve">Chairperson of the Immigration Selection Board </w:t>
      </w:r>
      <w:proofErr w:type="gramStart"/>
      <w:r w:rsidRPr="00BE4D1E">
        <w:rPr>
          <w:rFonts w:ascii="Arial" w:hAnsi="Arial" w:cs="Arial"/>
          <w:i/>
        </w:rPr>
        <w:t>v</w:t>
      </w:r>
      <w:proofErr w:type="gramEnd"/>
      <w:r w:rsidRPr="00BE4D1E">
        <w:rPr>
          <w:rFonts w:ascii="Arial" w:hAnsi="Arial" w:cs="Arial"/>
          <w:i/>
        </w:rPr>
        <w:t xml:space="preserve"> Frank &amp; </w:t>
      </w:r>
      <w:r w:rsidR="00CA4E0D">
        <w:rPr>
          <w:rFonts w:ascii="Arial" w:hAnsi="Arial" w:cs="Arial"/>
          <w:i/>
        </w:rPr>
        <w:t>a</w:t>
      </w:r>
      <w:r w:rsidRPr="00BE4D1E">
        <w:rPr>
          <w:rFonts w:ascii="Arial" w:hAnsi="Arial" w:cs="Arial"/>
          <w:i/>
        </w:rPr>
        <w:t>nother</w:t>
      </w:r>
      <w:r>
        <w:rPr>
          <w:rFonts w:ascii="Arial" w:hAnsi="Arial" w:cs="Arial"/>
        </w:rPr>
        <w:t xml:space="preserve"> 2001 NR 107 (SC) at 174I</w:t>
      </w:r>
      <w:r w:rsidR="00E2272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BE4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circumstances one can only work from the premise that they had no reasons</w:t>
      </w:r>
      <w:r w:rsidR="006C193B">
        <w:rPr>
          <w:rFonts w:ascii="Arial" w:hAnsi="Arial" w:cs="Arial"/>
        </w:rPr>
        <w:t xml:space="preserve"> especially</w:t>
      </w:r>
      <w:r>
        <w:rPr>
          <w:rFonts w:ascii="Arial" w:hAnsi="Arial" w:cs="Arial"/>
        </w:rPr>
        <w:t xml:space="preserve"> for their second decision and hence it was an arbitrary </w:t>
      </w:r>
      <w:r w:rsidR="006C193B">
        <w:rPr>
          <w:rFonts w:ascii="Arial" w:hAnsi="Arial" w:cs="Arial"/>
        </w:rPr>
        <w:t xml:space="preserve">decision. This is sufficient cause </w:t>
      </w:r>
      <w:r>
        <w:rPr>
          <w:rFonts w:ascii="Arial" w:hAnsi="Arial" w:cs="Arial"/>
        </w:rPr>
        <w:t xml:space="preserve">to review and set aside the second </w:t>
      </w:r>
      <w:r w:rsidR="006C193B">
        <w:rPr>
          <w:rFonts w:ascii="Arial" w:hAnsi="Arial" w:cs="Arial"/>
        </w:rPr>
        <w:t>decision</w:t>
      </w:r>
      <w:r>
        <w:rPr>
          <w:rFonts w:ascii="Arial" w:hAnsi="Arial" w:cs="Arial"/>
        </w:rPr>
        <w:t xml:space="preserve"> of the Review Panel. Consequently, it is not necessary to deal with the proper interpretation of the Act and the disputes surrounding such interpretation between the parties.</w:t>
      </w:r>
    </w:p>
    <w:p w14:paraId="65940025" w14:textId="77777777" w:rsidR="00EC0668" w:rsidRDefault="00EC0668" w:rsidP="00E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D6680D" w14:textId="77777777" w:rsidR="00EC0668" w:rsidRPr="00A96CE4" w:rsidRDefault="00EC0668" w:rsidP="00EC06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4013E">
        <w:rPr>
          <w:rFonts w:ascii="Arial" w:hAnsi="Arial" w:cs="Arial"/>
          <w:i/>
        </w:rPr>
        <w:t>Held that</w:t>
      </w:r>
      <w:r>
        <w:rPr>
          <w:rFonts w:ascii="Arial" w:hAnsi="Arial" w:cs="Arial"/>
        </w:rPr>
        <w:t>,</w:t>
      </w:r>
      <w:r w:rsidRPr="00A96CE4">
        <w:rPr>
          <w:rFonts w:ascii="Arial" w:hAnsi="Arial" w:cs="Arial"/>
        </w:rPr>
        <w:t xml:space="preserve"> the </w:t>
      </w:r>
      <w:proofErr w:type="gramStart"/>
      <w:r>
        <w:rPr>
          <w:rFonts w:ascii="Arial" w:hAnsi="Arial" w:cs="Arial"/>
        </w:rPr>
        <w:t>one day</w:t>
      </w:r>
      <w:proofErr w:type="gramEnd"/>
      <w:r>
        <w:rPr>
          <w:rFonts w:ascii="Arial" w:hAnsi="Arial" w:cs="Arial"/>
        </w:rPr>
        <w:t xml:space="preserve"> </w:t>
      </w:r>
      <w:r w:rsidRPr="00A96CE4">
        <w:rPr>
          <w:rFonts w:ascii="Arial" w:hAnsi="Arial" w:cs="Arial"/>
        </w:rPr>
        <w:t xml:space="preserve">short notice </w:t>
      </w:r>
      <w:r>
        <w:rPr>
          <w:rFonts w:ascii="Arial" w:hAnsi="Arial" w:cs="Arial"/>
        </w:rPr>
        <w:t>to prospective bidder</w:t>
      </w:r>
      <w:r w:rsidR="00E227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A96CE4">
        <w:rPr>
          <w:rFonts w:ascii="Arial" w:hAnsi="Arial" w:cs="Arial"/>
        </w:rPr>
        <w:t>was not fatal to the bidding process</w:t>
      </w:r>
      <w:r>
        <w:rPr>
          <w:rFonts w:ascii="Arial" w:hAnsi="Arial" w:cs="Arial"/>
        </w:rPr>
        <w:t>. The</w:t>
      </w:r>
      <w:r w:rsidRPr="00A96CE4">
        <w:rPr>
          <w:rFonts w:ascii="Arial" w:hAnsi="Arial" w:cs="Arial"/>
        </w:rPr>
        <w:t xml:space="preserve"> court </w:t>
      </w:r>
      <w:r w:rsidRPr="0094013E">
        <w:rPr>
          <w:rFonts w:ascii="Arial" w:hAnsi="Arial" w:cs="Arial"/>
          <w:i/>
        </w:rPr>
        <w:t>a quo</w:t>
      </w:r>
      <w:r w:rsidRPr="00A96C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</w:t>
      </w:r>
      <w:r w:rsidRPr="00A96CE4">
        <w:rPr>
          <w:rFonts w:ascii="Arial" w:hAnsi="Arial" w:cs="Arial"/>
        </w:rPr>
        <w:t>correct</w:t>
      </w:r>
      <w:r>
        <w:rPr>
          <w:rFonts w:ascii="Arial" w:hAnsi="Arial" w:cs="Arial"/>
        </w:rPr>
        <w:t xml:space="preserve"> to dismiss</w:t>
      </w:r>
      <w:r w:rsidRPr="00A96CE4">
        <w:rPr>
          <w:rFonts w:ascii="Arial" w:hAnsi="Arial" w:cs="Arial"/>
        </w:rPr>
        <w:t xml:space="preserve"> the </w:t>
      </w:r>
      <w:proofErr w:type="gramStart"/>
      <w:r w:rsidRPr="00A96CE4">
        <w:rPr>
          <w:rFonts w:ascii="Arial" w:hAnsi="Arial" w:cs="Arial"/>
        </w:rPr>
        <w:t>counter-application</w:t>
      </w:r>
      <w:proofErr w:type="gramEnd"/>
      <w:r>
        <w:rPr>
          <w:rFonts w:ascii="Arial" w:hAnsi="Arial" w:cs="Arial"/>
        </w:rPr>
        <w:t>.</w:t>
      </w:r>
    </w:p>
    <w:p w14:paraId="3162BF0C" w14:textId="77777777" w:rsidR="00EC0668" w:rsidRPr="00A96CE4" w:rsidRDefault="00EC0668" w:rsidP="00E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4800CF" w14:textId="77777777" w:rsidR="00CA4E0D" w:rsidRDefault="00EC0668" w:rsidP="00EC06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4013E">
        <w:rPr>
          <w:rFonts w:ascii="Arial" w:hAnsi="Arial" w:cs="Arial"/>
          <w:i/>
        </w:rPr>
        <w:t>Held that</w:t>
      </w:r>
      <w:r w:rsidRPr="00A96CE4">
        <w:rPr>
          <w:rFonts w:ascii="Arial" w:hAnsi="Arial" w:cs="Arial"/>
        </w:rPr>
        <w:t>, there was no</w:t>
      </w:r>
      <w:r>
        <w:rPr>
          <w:rFonts w:ascii="Arial" w:hAnsi="Arial" w:cs="Arial"/>
        </w:rPr>
        <w:t xml:space="preserve"> need for PIS to bring an application to adduce further evidence</w:t>
      </w:r>
      <w:r w:rsidRPr="00A96CE4">
        <w:rPr>
          <w:rFonts w:ascii="Arial" w:hAnsi="Arial" w:cs="Arial"/>
        </w:rPr>
        <w:t xml:space="preserve"> as the existence of the order to execute would normally infer that the party in whose favour it was give</w:t>
      </w:r>
      <w:r>
        <w:rPr>
          <w:rFonts w:ascii="Arial" w:hAnsi="Arial" w:cs="Arial"/>
        </w:rPr>
        <w:t>n has been enforcing the order.</w:t>
      </w:r>
    </w:p>
    <w:p w14:paraId="4953C9AF" w14:textId="77777777" w:rsidR="00EC0668" w:rsidRPr="00A96CE4" w:rsidRDefault="00EC0668" w:rsidP="00EC06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96CE4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>application to adduce further evidence on appeal is dismissed with costs. Similarly, the appeal is</w:t>
      </w:r>
      <w:r w:rsidRPr="00A96CE4">
        <w:rPr>
          <w:rFonts w:ascii="Arial" w:hAnsi="Arial" w:cs="Arial"/>
        </w:rPr>
        <w:t xml:space="preserve"> dismissed</w:t>
      </w:r>
      <w:r>
        <w:rPr>
          <w:rFonts w:ascii="Arial" w:hAnsi="Arial" w:cs="Arial"/>
        </w:rPr>
        <w:t xml:space="preserve"> with costs.</w:t>
      </w:r>
    </w:p>
    <w:p w14:paraId="2E6D192A" w14:textId="77777777" w:rsidR="007A55BB" w:rsidRPr="00F16314" w:rsidRDefault="007A55BB" w:rsidP="00F1631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A6B2AE3" w14:textId="77777777" w:rsidR="00F16314" w:rsidRPr="00F16314" w:rsidRDefault="00F16314" w:rsidP="00F163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6314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6C591D01" w14:textId="77777777" w:rsidR="00F16314" w:rsidRPr="00F16314" w:rsidRDefault="00F16314" w:rsidP="00F16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AA7B3" w14:textId="77777777" w:rsidR="00F16314" w:rsidRPr="00F16314" w:rsidRDefault="00F16314" w:rsidP="00F163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6314">
        <w:rPr>
          <w:rFonts w:ascii="Arial" w:hAnsi="Arial" w:cs="Arial"/>
          <w:b/>
          <w:sz w:val="24"/>
          <w:szCs w:val="24"/>
        </w:rPr>
        <w:t>APPEAL JUDGMENT</w:t>
      </w:r>
    </w:p>
    <w:p w14:paraId="60C04D13" w14:textId="77777777" w:rsidR="005C6006" w:rsidRDefault="00F16314" w:rsidP="00947D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631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C59C3F1" w14:textId="77777777" w:rsidR="008133A7" w:rsidRPr="008133A7" w:rsidRDefault="008133A7" w:rsidP="005C600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AJA</w:t>
      </w:r>
      <w:r w:rsidR="00F44750">
        <w:rPr>
          <w:rFonts w:ascii="Arial" w:hAnsi="Arial" w:cs="Arial"/>
          <w:sz w:val="24"/>
          <w:szCs w:val="24"/>
        </w:rPr>
        <w:t xml:space="preserve"> (</w:t>
      </w:r>
      <w:r w:rsidR="00367DA8">
        <w:rPr>
          <w:rFonts w:ascii="Arial" w:hAnsi="Arial" w:cs="Arial"/>
          <w:sz w:val="24"/>
          <w:szCs w:val="24"/>
        </w:rPr>
        <w:t>SMUTS</w:t>
      </w:r>
      <w:r w:rsidR="00B223B6">
        <w:rPr>
          <w:rFonts w:ascii="Arial" w:hAnsi="Arial" w:cs="Arial"/>
          <w:sz w:val="24"/>
          <w:szCs w:val="24"/>
        </w:rPr>
        <w:t xml:space="preserve"> JA </w:t>
      </w:r>
      <w:r w:rsidR="00367DA8">
        <w:rPr>
          <w:rFonts w:ascii="Arial" w:hAnsi="Arial" w:cs="Arial"/>
          <w:sz w:val="24"/>
          <w:szCs w:val="24"/>
        </w:rPr>
        <w:t>and ANGULA</w:t>
      </w:r>
      <w:r w:rsidR="00F44750">
        <w:rPr>
          <w:rFonts w:ascii="Arial" w:hAnsi="Arial" w:cs="Arial"/>
          <w:sz w:val="24"/>
          <w:szCs w:val="24"/>
        </w:rPr>
        <w:t xml:space="preserve"> AJA </w:t>
      </w:r>
      <w:r w:rsidR="00B223B6">
        <w:rPr>
          <w:rFonts w:ascii="Arial" w:hAnsi="Arial" w:cs="Arial"/>
          <w:sz w:val="24"/>
          <w:szCs w:val="24"/>
        </w:rPr>
        <w:t>concurring)</w:t>
      </w:r>
      <w:r w:rsidR="009469AC">
        <w:rPr>
          <w:rFonts w:ascii="Arial" w:hAnsi="Arial" w:cs="Arial"/>
          <w:sz w:val="24"/>
          <w:szCs w:val="24"/>
        </w:rPr>
        <w:t>:</w:t>
      </w:r>
    </w:p>
    <w:p w14:paraId="2ABEDFED" w14:textId="77777777" w:rsidR="005C6006" w:rsidRPr="005C6006" w:rsidRDefault="005C6006" w:rsidP="005C6006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Introduction</w:t>
      </w:r>
    </w:p>
    <w:p w14:paraId="77A145BC" w14:textId="1D2A57FC" w:rsidR="00584BE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3D5EEB">
        <w:rPr>
          <w:rFonts w:ascii="Arial" w:hAnsi="Arial" w:cs="Arial"/>
          <w:sz w:val="24"/>
          <w:szCs w:val="24"/>
        </w:rPr>
        <w:t xml:space="preserve">The Central Procurement Board (the </w:t>
      </w:r>
      <w:r w:rsidR="00DD5588">
        <w:rPr>
          <w:rFonts w:ascii="Arial" w:hAnsi="Arial" w:cs="Arial"/>
          <w:sz w:val="24"/>
          <w:szCs w:val="24"/>
        </w:rPr>
        <w:t>b</w:t>
      </w:r>
      <w:r w:rsidR="003D5EEB">
        <w:rPr>
          <w:rFonts w:ascii="Arial" w:hAnsi="Arial" w:cs="Arial"/>
          <w:sz w:val="24"/>
          <w:szCs w:val="24"/>
        </w:rPr>
        <w:t xml:space="preserve">oard) </w:t>
      </w:r>
      <w:r w:rsidR="009849DE">
        <w:rPr>
          <w:rFonts w:ascii="Arial" w:hAnsi="Arial" w:cs="Arial"/>
          <w:sz w:val="24"/>
          <w:szCs w:val="24"/>
        </w:rPr>
        <w:t xml:space="preserve">on behalf of the Namibia University of Science and Technology (NUST) </w:t>
      </w:r>
      <w:r w:rsidR="009469AC">
        <w:rPr>
          <w:rFonts w:ascii="Arial" w:hAnsi="Arial" w:cs="Arial"/>
          <w:sz w:val="24"/>
          <w:szCs w:val="24"/>
        </w:rPr>
        <w:t xml:space="preserve">invited tenders for the provision of </w:t>
      </w:r>
      <w:r w:rsidR="00940ED9">
        <w:rPr>
          <w:rFonts w:ascii="Arial" w:hAnsi="Arial" w:cs="Arial"/>
          <w:sz w:val="24"/>
          <w:szCs w:val="24"/>
        </w:rPr>
        <w:t>security services to it. Nineteen</w:t>
      </w:r>
      <w:r w:rsidR="00E22721">
        <w:rPr>
          <w:rFonts w:ascii="Arial" w:hAnsi="Arial" w:cs="Arial"/>
          <w:sz w:val="24"/>
          <w:szCs w:val="24"/>
        </w:rPr>
        <w:t xml:space="preserve"> (19) </w:t>
      </w:r>
      <w:r w:rsidR="001E4DD8">
        <w:rPr>
          <w:rFonts w:ascii="Arial" w:hAnsi="Arial" w:cs="Arial"/>
          <w:sz w:val="24"/>
          <w:szCs w:val="24"/>
        </w:rPr>
        <w:t xml:space="preserve">bidders </w:t>
      </w:r>
      <w:r w:rsidR="00940ED9">
        <w:rPr>
          <w:rFonts w:ascii="Arial" w:hAnsi="Arial" w:cs="Arial"/>
          <w:sz w:val="24"/>
          <w:szCs w:val="24"/>
        </w:rPr>
        <w:t>reacted to this</w:t>
      </w:r>
      <w:r w:rsidR="001E4DD8">
        <w:rPr>
          <w:rFonts w:ascii="Arial" w:hAnsi="Arial" w:cs="Arial"/>
          <w:sz w:val="24"/>
          <w:szCs w:val="24"/>
        </w:rPr>
        <w:t xml:space="preserve"> invitation.</w:t>
      </w:r>
      <w:r w:rsidR="00A06583">
        <w:rPr>
          <w:rFonts w:ascii="Arial" w:hAnsi="Arial" w:cs="Arial"/>
          <w:sz w:val="24"/>
          <w:szCs w:val="24"/>
        </w:rPr>
        <w:t xml:space="preserve"> </w:t>
      </w:r>
      <w:r w:rsidR="00DD5588">
        <w:rPr>
          <w:rFonts w:ascii="Arial" w:hAnsi="Arial" w:cs="Arial"/>
          <w:sz w:val="24"/>
          <w:szCs w:val="24"/>
        </w:rPr>
        <w:t>Appellant, the Namibia Protection Security (Pty) Ltd</w:t>
      </w:r>
      <w:r w:rsidR="001E4DD8">
        <w:rPr>
          <w:rFonts w:ascii="Arial" w:hAnsi="Arial" w:cs="Arial"/>
          <w:sz w:val="24"/>
          <w:szCs w:val="24"/>
        </w:rPr>
        <w:t xml:space="preserve"> (</w:t>
      </w:r>
      <w:r w:rsidR="00701612">
        <w:rPr>
          <w:rFonts w:ascii="Arial" w:hAnsi="Arial" w:cs="Arial"/>
          <w:sz w:val="24"/>
          <w:szCs w:val="24"/>
        </w:rPr>
        <w:t xml:space="preserve">NPS) and </w:t>
      </w:r>
      <w:r w:rsidR="00DD5588">
        <w:rPr>
          <w:rFonts w:ascii="Arial" w:hAnsi="Arial" w:cs="Arial"/>
          <w:sz w:val="24"/>
          <w:szCs w:val="24"/>
        </w:rPr>
        <w:t xml:space="preserve">the </w:t>
      </w:r>
      <w:r w:rsidR="00701612">
        <w:rPr>
          <w:rFonts w:ascii="Arial" w:hAnsi="Arial" w:cs="Arial"/>
          <w:sz w:val="24"/>
          <w:szCs w:val="24"/>
        </w:rPr>
        <w:t>first respondent</w:t>
      </w:r>
      <w:r w:rsidR="00DD5588">
        <w:rPr>
          <w:rFonts w:ascii="Arial" w:hAnsi="Arial" w:cs="Arial"/>
          <w:sz w:val="24"/>
          <w:szCs w:val="24"/>
        </w:rPr>
        <w:t>, PIS Security Services Close Corporation</w:t>
      </w:r>
      <w:r w:rsidR="00701612">
        <w:rPr>
          <w:rFonts w:ascii="Arial" w:hAnsi="Arial" w:cs="Arial"/>
          <w:sz w:val="24"/>
          <w:szCs w:val="24"/>
        </w:rPr>
        <w:t xml:space="preserve"> (PIS</w:t>
      </w:r>
      <w:r w:rsidR="00A06583">
        <w:rPr>
          <w:rFonts w:ascii="Arial" w:hAnsi="Arial" w:cs="Arial"/>
          <w:sz w:val="24"/>
          <w:szCs w:val="24"/>
        </w:rPr>
        <w:t>) w</w:t>
      </w:r>
      <w:r w:rsidR="00F44750">
        <w:rPr>
          <w:rFonts w:ascii="Arial" w:hAnsi="Arial" w:cs="Arial"/>
          <w:sz w:val="24"/>
          <w:szCs w:val="24"/>
        </w:rPr>
        <w:t>ere</w:t>
      </w:r>
      <w:r w:rsidR="00A06583">
        <w:rPr>
          <w:rFonts w:ascii="Arial" w:hAnsi="Arial" w:cs="Arial"/>
          <w:sz w:val="24"/>
          <w:szCs w:val="24"/>
        </w:rPr>
        <w:t xml:space="preserve"> two of the bidders.</w:t>
      </w:r>
      <w:r w:rsidR="00610F2F">
        <w:rPr>
          <w:rFonts w:ascii="Arial" w:hAnsi="Arial" w:cs="Arial"/>
          <w:sz w:val="24"/>
          <w:szCs w:val="24"/>
        </w:rPr>
        <w:t xml:space="preserve"> </w:t>
      </w:r>
      <w:r w:rsidR="00A06583">
        <w:rPr>
          <w:rFonts w:ascii="Arial" w:hAnsi="Arial" w:cs="Arial"/>
          <w:sz w:val="24"/>
          <w:szCs w:val="24"/>
        </w:rPr>
        <w:t xml:space="preserve">PIS </w:t>
      </w:r>
      <w:r w:rsidR="00043839">
        <w:rPr>
          <w:rFonts w:ascii="Arial" w:hAnsi="Arial" w:cs="Arial"/>
          <w:sz w:val="24"/>
          <w:szCs w:val="24"/>
        </w:rPr>
        <w:t>was identified as the successful bidder.</w:t>
      </w:r>
      <w:r w:rsidR="00610F2F">
        <w:rPr>
          <w:rFonts w:ascii="Arial" w:hAnsi="Arial" w:cs="Arial"/>
          <w:sz w:val="24"/>
          <w:szCs w:val="24"/>
        </w:rPr>
        <w:t xml:space="preserve"> </w:t>
      </w:r>
      <w:r w:rsidR="00043839">
        <w:rPr>
          <w:rFonts w:ascii="Arial" w:hAnsi="Arial" w:cs="Arial"/>
          <w:sz w:val="24"/>
          <w:szCs w:val="24"/>
        </w:rPr>
        <w:t>NPS was dissatisfied with the selection</w:t>
      </w:r>
      <w:r w:rsidR="005C560B">
        <w:rPr>
          <w:rFonts w:ascii="Arial" w:hAnsi="Arial" w:cs="Arial"/>
          <w:sz w:val="24"/>
          <w:szCs w:val="24"/>
        </w:rPr>
        <w:t xml:space="preserve"> of PIS as the successful bidder and</w:t>
      </w:r>
      <w:r w:rsidR="00DD5588">
        <w:rPr>
          <w:rFonts w:ascii="Arial" w:hAnsi="Arial" w:cs="Arial"/>
          <w:sz w:val="24"/>
          <w:szCs w:val="24"/>
        </w:rPr>
        <w:t xml:space="preserve"> took the selection on review before the Review P</w:t>
      </w:r>
      <w:r w:rsidR="005C560B">
        <w:rPr>
          <w:rFonts w:ascii="Arial" w:hAnsi="Arial" w:cs="Arial"/>
          <w:sz w:val="24"/>
          <w:szCs w:val="24"/>
        </w:rPr>
        <w:t xml:space="preserve">anel </w:t>
      </w:r>
      <w:r w:rsidR="00230AD1">
        <w:rPr>
          <w:rFonts w:ascii="Arial" w:hAnsi="Arial" w:cs="Arial"/>
          <w:sz w:val="24"/>
          <w:szCs w:val="24"/>
        </w:rPr>
        <w:t>which found that the bidding process and the evaluation of the</w:t>
      </w:r>
      <w:r w:rsidR="00CC12F5">
        <w:rPr>
          <w:rFonts w:ascii="Arial" w:hAnsi="Arial" w:cs="Arial"/>
          <w:sz w:val="24"/>
          <w:szCs w:val="24"/>
        </w:rPr>
        <w:t xml:space="preserve"> bids </w:t>
      </w:r>
      <w:r w:rsidR="00E620FE">
        <w:rPr>
          <w:rFonts w:ascii="Arial" w:hAnsi="Arial" w:cs="Arial"/>
          <w:sz w:val="24"/>
          <w:szCs w:val="24"/>
        </w:rPr>
        <w:t xml:space="preserve">were flawed </w:t>
      </w:r>
      <w:r w:rsidR="00BD1216">
        <w:rPr>
          <w:rFonts w:ascii="Arial" w:hAnsi="Arial" w:cs="Arial"/>
          <w:sz w:val="24"/>
          <w:szCs w:val="24"/>
        </w:rPr>
        <w:t xml:space="preserve">and </w:t>
      </w:r>
      <w:r w:rsidR="00644A25">
        <w:rPr>
          <w:rFonts w:ascii="Arial" w:hAnsi="Arial" w:cs="Arial"/>
          <w:sz w:val="24"/>
          <w:szCs w:val="24"/>
        </w:rPr>
        <w:t>hence</w:t>
      </w:r>
      <w:r w:rsidR="00F76CB4">
        <w:rPr>
          <w:rFonts w:ascii="Arial" w:hAnsi="Arial" w:cs="Arial"/>
          <w:sz w:val="24"/>
          <w:szCs w:val="24"/>
        </w:rPr>
        <w:t xml:space="preserve"> determined </w:t>
      </w:r>
      <w:r w:rsidR="00610F2F">
        <w:rPr>
          <w:rFonts w:ascii="Arial" w:hAnsi="Arial" w:cs="Arial"/>
          <w:sz w:val="24"/>
          <w:szCs w:val="24"/>
        </w:rPr>
        <w:t>that the ‘procurement proceedings be terminated and start afresh’.</w:t>
      </w:r>
    </w:p>
    <w:p w14:paraId="00FD37CF" w14:textId="77777777" w:rsidR="002E6149" w:rsidRDefault="002E6149" w:rsidP="00584BE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D52B314" w14:textId="22DD4199" w:rsidR="002E614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BC503C">
        <w:rPr>
          <w:rFonts w:ascii="Arial" w:hAnsi="Arial" w:cs="Arial"/>
          <w:sz w:val="24"/>
          <w:szCs w:val="24"/>
        </w:rPr>
        <w:t>PIS, ag</w:t>
      </w:r>
      <w:r w:rsidR="00E620FE">
        <w:rPr>
          <w:rFonts w:ascii="Arial" w:hAnsi="Arial" w:cs="Arial"/>
          <w:sz w:val="24"/>
          <w:szCs w:val="24"/>
        </w:rPr>
        <w:t>g</w:t>
      </w:r>
      <w:r w:rsidR="00BC503C">
        <w:rPr>
          <w:rFonts w:ascii="Arial" w:hAnsi="Arial" w:cs="Arial"/>
          <w:sz w:val="24"/>
          <w:szCs w:val="24"/>
        </w:rPr>
        <w:t>r</w:t>
      </w:r>
      <w:r w:rsidR="00E620FE">
        <w:rPr>
          <w:rFonts w:ascii="Arial" w:hAnsi="Arial" w:cs="Arial"/>
          <w:sz w:val="24"/>
          <w:szCs w:val="24"/>
        </w:rPr>
        <w:t>ieved b</w:t>
      </w:r>
      <w:r w:rsidR="00BC503C">
        <w:rPr>
          <w:rFonts w:ascii="Arial" w:hAnsi="Arial" w:cs="Arial"/>
          <w:sz w:val="24"/>
          <w:szCs w:val="24"/>
        </w:rPr>
        <w:t>y th</w:t>
      </w:r>
      <w:r w:rsidR="00E620FE">
        <w:rPr>
          <w:rFonts w:ascii="Arial" w:hAnsi="Arial" w:cs="Arial"/>
          <w:sz w:val="24"/>
          <w:szCs w:val="24"/>
        </w:rPr>
        <w:t>is</w:t>
      </w:r>
      <w:r w:rsidR="00BC503C">
        <w:rPr>
          <w:rFonts w:ascii="Arial" w:hAnsi="Arial" w:cs="Arial"/>
          <w:sz w:val="24"/>
          <w:szCs w:val="24"/>
        </w:rPr>
        <w:t xml:space="preserve"> decision of the </w:t>
      </w:r>
      <w:r w:rsidR="00DD5588">
        <w:rPr>
          <w:rFonts w:ascii="Arial" w:hAnsi="Arial" w:cs="Arial"/>
          <w:sz w:val="24"/>
          <w:szCs w:val="24"/>
        </w:rPr>
        <w:t>R</w:t>
      </w:r>
      <w:r w:rsidR="00BC503C">
        <w:rPr>
          <w:rFonts w:ascii="Arial" w:hAnsi="Arial" w:cs="Arial"/>
          <w:sz w:val="24"/>
          <w:szCs w:val="24"/>
        </w:rPr>
        <w:t xml:space="preserve">eview </w:t>
      </w:r>
      <w:r w:rsidR="00DD5588">
        <w:rPr>
          <w:rFonts w:ascii="Arial" w:hAnsi="Arial" w:cs="Arial"/>
          <w:sz w:val="24"/>
          <w:szCs w:val="24"/>
        </w:rPr>
        <w:t>P</w:t>
      </w:r>
      <w:r w:rsidR="00BC503C">
        <w:rPr>
          <w:rFonts w:ascii="Arial" w:hAnsi="Arial" w:cs="Arial"/>
          <w:sz w:val="24"/>
          <w:szCs w:val="24"/>
        </w:rPr>
        <w:t>anel, to</w:t>
      </w:r>
      <w:r w:rsidR="0058406B">
        <w:rPr>
          <w:rFonts w:ascii="Arial" w:hAnsi="Arial" w:cs="Arial"/>
          <w:sz w:val="24"/>
          <w:szCs w:val="24"/>
        </w:rPr>
        <w:t xml:space="preserve">ok </w:t>
      </w:r>
      <w:r w:rsidR="001F6370">
        <w:rPr>
          <w:rFonts w:ascii="Arial" w:hAnsi="Arial" w:cs="Arial"/>
          <w:sz w:val="24"/>
          <w:szCs w:val="24"/>
        </w:rPr>
        <w:t xml:space="preserve">this decision </w:t>
      </w:r>
      <w:r w:rsidR="005843EA">
        <w:rPr>
          <w:rFonts w:ascii="Arial" w:hAnsi="Arial" w:cs="Arial"/>
          <w:sz w:val="24"/>
          <w:szCs w:val="24"/>
        </w:rPr>
        <w:t xml:space="preserve">on review </w:t>
      </w:r>
      <w:r w:rsidR="001F6370">
        <w:rPr>
          <w:rFonts w:ascii="Arial" w:hAnsi="Arial" w:cs="Arial"/>
          <w:sz w:val="24"/>
          <w:szCs w:val="24"/>
        </w:rPr>
        <w:t>to the High Court</w:t>
      </w:r>
      <w:r w:rsidR="005843EA">
        <w:rPr>
          <w:rFonts w:ascii="Arial" w:hAnsi="Arial" w:cs="Arial"/>
          <w:sz w:val="24"/>
          <w:szCs w:val="24"/>
        </w:rPr>
        <w:t xml:space="preserve"> </w:t>
      </w:r>
      <w:r w:rsidR="00FD38FE">
        <w:rPr>
          <w:rFonts w:ascii="Arial" w:hAnsi="Arial" w:cs="Arial"/>
          <w:sz w:val="24"/>
          <w:szCs w:val="24"/>
        </w:rPr>
        <w:t>which</w:t>
      </w:r>
      <w:r w:rsidR="00DD5588">
        <w:rPr>
          <w:rFonts w:ascii="Arial" w:hAnsi="Arial" w:cs="Arial"/>
          <w:sz w:val="24"/>
          <w:szCs w:val="24"/>
        </w:rPr>
        <w:t xml:space="preserve"> set aside the decision of the R</w:t>
      </w:r>
      <w:r w:rsidR="00FD38FE">
        <w:rPr>
          <w:rFonts w:ascii="Arial" w:hAnsi="Arial" w:cs="Arial"/>
          <w:sz w:val="24"/>
          <w:szCs w:val="24"/>
        </w:rPr>
        <w:t xml:space="preserve">eview </w:t>
      </w:r>
      <w:r w:rsidR="00DD5588">
        <w:rPr>
          <w:rFonts w:ascii="Arial" w:hAnsi="Arial" w:cs="Arial"/>
          <w:sz w:val="24"/>
          <w:szCs w:val="24"/>
        </w:rPr>
        <w:t>P</w:t>
      </w:r>
      <w:r w:rsidR="00FD38FE">
        <w:rPr>
          <w:rFonts w:ascii="Arial" w:hAnsi="Arial" w:cs="Arial"/>
          <w:sz w:val="24"/>
          <w:szCs w:val="24"/>
        </w:rPr>
        <w:t xml:space="preserve">anel. The High Court also dismissed a conditional </w:t>
      </w:r>
      <w:proofErr w:type="gramStart"/>
      <w:r w:rsidR="00FD38FE">
        <w:rPr>
          <w:rFonts w:ascii="Arial" w:hAnsi="Arial" w:cs="Arial"/>
          <w:sz w:val="24"/>
          <w:szCs w:val="24"/>
        </w:rPr>
        <w:t>counter</w:t>
      </w:r>
      <w:r w:rsidR="00DD5588">
        <w:rPr>
          <w:rFonts w:ascii="Arial" w:hAnsi="Arial" w:cs="Arial"/>
          <w:sz w:val="24"/>
          <w:szCs w:val="24"/>
        </w:rPr>
        <w:t>-</w:t>
      </w:r>
      <w:r w:rsidR="0058406B">
        <w:rPr>
          <w:rFonts w:ascii="Arial" w:hAnsi="Arial" w:cs="Arial"/>
          <w:sz w:val="24"/>
          <w:szCs w:val="24"/>
        </w:rPr>
        <w:t>application</w:t>
      </w:r>
      <w:proofErr w:type="gramEnd"/>
      <w:r w:rsidR="0058406B">
        <w:rPr>
          <w:rFonts w:ascii="Arial" w:hAnsi="Arial" w:cs="Arial"/>
          <w:sz w:val="24"/>
          <w:szCs w:val="24"/>
        </w:rPr>
        <w:t xml:space="preserve"> </w:t>
      </w:r>
      <w:r w:rsidR="00FD38FE">
        <w:rPr>
          <w:rFonts w:ascii="Arial" w:hAnsi="Arial" w:cs="Arial"/>
          <w:sz w:val="24"/>
          <w:szCs w:val="24"/>
        </w:rPr>
        <w:t xml:space="preserve">by </w:t>
      </w:r>
      <w:r w:rsidR="009770F0">
        <w:rPr>
          <w:rFonts w:ascii="Arial" w:hAnsi="Arial" w:cs="Arial"/>
          <w:sz w:val="24"/>
          <w:szCs w:val="24"/>
        </w:rPr>
        <w:t xml:space="preserve">NPS </w:t>
      </w:r>
      <w:r w:rsidR="00DD5588">
        <w:rPr>
          <w:rFonts w:ascii="Arial" w:hAnsi="Arial" w:cs="Arial"/>
          <w:sz w:val="24"/>
          <w:szCs w:val="24"/>
        </w:rPr>
        <w:t xml:space="preserve">to declare the decision of the </w:t>
      </w:r>
      <w:r w:rsidR="00075ED0">
        <w:rPr>
          <w:rFonts w:ascii="Arial" w:hAnsi="Arial" w:cs="Arial"/>
          <w:sz w:val="24"/>
          <w:szCs w:val="24"/>
        </w:rPr>
        <w:t>board</w:t>
      </w:r>
      <w:r w:rsidR="009770F0">
        <w:rPr>
          <w:rFonts w:ascii="Arial" w:hAnsi="Arial" w:cs="Arial"/>
          <w:sz w:val="24"/>
          <w:szCs w:val="24"/>
        </w:rPr>
        <w:t xml:space="preserve"> null and void based on </w:t>
      </w:r>
      <w:r w:rsidR="005C1F39">
        <w:rPr>
          <w:rFonts w:ascii="Arial" w:hAnsi="Arial" w:cs="Arial"/>
          <w:sz w:val="24"/>
          <w:szCs w:val="24"/>
        </w:rPr>
        <w:t xml:space="preserve">the non-compliance </w:t>
      </w:r>
      <w:r w:rsidR="00E22721">
        <w:rPr>
          <w:rFonts w:ascii="Arial" w:hAnsi="Arial" w:cs="Arial"/>
          <w:sz w:val="24"/>
          <w:szCs w:val="24"/>
        </w:rPr>
        <w:t>with</w:t>
      </w:r>
      <w:r w:rsidR="005C1F39">
        <w:rPr>
          <w:rFonts w:ascii="Arial" w:hAnsi="Arial" w:cs="Arial"/>
          <w:sz w:val="24"/>
          <w:szCs w:val="24"/>
        </w:rPr>
        <w:t xml:space="preserve"> s</w:t>
      </w:r>
      <w:r w:rsidR="00DC2AF0">
        <w:rPr>
          <w:rFonts w:ascii="Arial" w:hAnsi="Arial" w:cs="Arial"/>
          <w:sz w:val="24"/>
          <w:szCs w:val="24"/>
        </w:rPr>
        <w:t>s 47 and 55(4)</w:t>
      </w:r>
      <w:r w:rsidR="003118F5" w:rsidRPr="00DD5588">
        <w:rPr>
          <w:rFonts w:ascii="Arial" w:hAnsi="Arial" w:cs="Arial"/>
          <w:i/>
          <w:sz w:val="24"/>
          <w:szCs w:val="24"/>
        </w:rPr>
        <w:t>(</w:t>
      </w:r>
      <w:r w:rsidR="00DC2AF0" w:rsidRPr="00DD5588">
        <w:rPr>
          <w:rFonts w:ascii="Arial" w:hAnsi="Arial" w:cs="Arial"/>
          <w:i/>
          <w:sz w:val="24"/>
          <w:szCs w:val="24"/>
        </w:rPr>
        <w:t>a)</w:t>
      </w:r>
      <w:r w:rsidR="00DD5588">
        <w:rPr>
          <w:rFonts w:ascii="Arial" w:hAnsi="Arial" w:cs="Arial"/>
          <w:sz w:val="24"/>
          <w:szCs w:val="24"/>
        </w:rPr>
        <w:t xml:space="preserve"> of the Public Procurement Act</w:t>
      </w:r>
      <w:r w:rsidR="003118F5">
        <w:rPr>
          <w:rFonts w:ascii="Arial" w:hAnsi="Arial" w:cs="Arial"/>
          <w:sz w:val="24"/>
          <w:szCs w:val="24"/>
        </w:rPr>
        <w:t xml:space="preserve"> 15 of 2015 (the Act).</w:t>
      </w:r>
      <w:r w:rsidR="00DC2AF0">
        <w:rPr>
          <w:rFonts w:ascii="Arial" w:hAnsi="Arial" w:cs="Arial"/>
          <w:sz w:val="24"/>
          <w:szCs w:val="24"/>
        </w:rPr>
        <w:t xml:space="preserve"> </w:t>
      </w:r>
      <w:r w:rsidR="00072F8A">
        <w:rPr>
          <w:rFonts w:ascii="Arial" w:hAnsi="Arial" w:cs="Arial"/>
          <w:sz w:val="24"/>
          <w:szCs w:val="24"/>
        </w:rPr>
        <w:t xml:space="preserve">This </w:t>
      </w:r>
      <w:proofErr w:type="gramStart"/>
      <w:r w:rsidR="00072F8A">
        <w:rPr>
          <w:rFonts w:ascii="Arial" w:hAnsi="Arial" w:cs="Arial"/>
          <w:sz w:val="24"/>
          <w:szCs w:val="24"/>
        </w:rPr>
        <w:t>counter-application</w:t>
      </w:r>
      <w:proofErr w:type="gramEnd"/>
      <w:r w:rsidR="00072F8A">
        <w:rPr>
          <w:rFonts w:ascii="Arial" w:hAnsi="Arial" w:cs="Arial"/>
          <w:sz w:val="24"/>
          <w:szCs w:val="24"/>
        </w:rPr>
        <w:t xml:space="preserve"> was conditional on the Review Panel’s decision being </w:t>
      </w:r>
      <w:r w:rsidR="00075ED0">
        <w:rPr>
          <w:rFonts w:ascii="Arial" w:hAnsi="Arial" w:cs="Arial"/>
          <w:sz w:val="24"/>
          <w:szCs w:val="24"/>
        </w:rPr>
        <w:t>set aside</w:t>
      </w:r>
      <w:r w:rsidR="00072F8A">
        <w:rPr>
          <w:rFonts w:ascii="Arial" w:hAnsi="Arial" w:cs="Arial"/>
          <w:sz w:val="24"/>
          <w:szCs w:val="24"/>
        </w:rPr>
        <w:t xml:space="preserve"> in the main application.</w:t>
      </w:r>
    </w:p>
    <w:p w14:paraId="38ACC68E" w14:textId="77777777" w:rsidR="00584BE9" w:rsidRDefault="00584BE9" w:rsidP="00584BE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74A1515" w14:textId="77777777" w:rsidR="00DA381F" w:rsidRDefault="00DA381F" w:rsidP="00584BE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017A08B" w14:textId="27312175" w:rsidR="00F46D6C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[3]</w:t>
      </w:r>
      <w:r>
        <w:rPr>
          <w:rFonts w:ascii="Arial" w:hAnsi="Arial" w:cs="Arial"/>
          <w:sz w:val="24"/>
          <w:szCs w:val="24"/>
        </w:rPr>
        <w:tab/>
      </w:r>
      <w:r w:rsidR="008F51B2">
        <w:rPr>
          <w:rFonts w:ascii="Arial" w:hAnsi="Arial" w:cs="Arial"/>
          <w:sz w:val="24"/>
          <w:szCs w:val="24"/>
        </w:rPr>
        <w:t>The order of the High Court set out above</w:t>
      </w:r>
      <w:r w:rsidR="00AA582C">
        <w:rPr>
          <w:rFonts w:ascii="Arial" w:hAnsi="Arial" w:cs="Arial"/>
          <w:sz w:val="24"/>
          <w:szCs w:val="24"/>
        </w:rPr>
        <w:t xml:space="preserve"> was made on 17 November 2020. It was however not accompanied by </w:t>
      </w:r>
      <w:r w:rsidR="00B46DF3">
        <w:rPr>
          <w:rFonts w:ascii="Arial" w:hAnsi="Arial" w:cs="Arial"/>
          <w:sz w:val="24"/>
          <w:szCs w:val="24"/>
        </w:rPr>
        <w:t>reasons and NPS</w:t>
      </w:r>
      <w:r w:rsidR="00ED216F">
        <w:rPr>
          <w:rFonts w:ascii="Arial" w:hAnsi="Arial" w:cs="Arial"/>
          <w:sz w:val="24"/>
          <w:szCs w:val="24"/>
        </w:rPr>
        <w:t xml:space="preserve"> file</w:t>
      </w:r>
      <w:r w:rsidR="00DD5588">
        <w:rPr>
          <w:rFonts w:ascii="Arial" w:hAnsi="Arial" w:cs="Arial"/>
          <w:sz w:val="24"/>
          <w:szCs w:val="24"/>
        </w:rPr>
        <w:t>d</w:t>
      </w:r>
      <w:r w:rsidR="00ED216F">
        <w:rPr>
          <w:rFonts w:ascii="Arial" w:hAnsi="Arial" w:cs="Arial"/>
          <w:sz w:val="24"/>
          <w:szCs w:val="24"/>
        </w:rPr>
        <w:t xml:space="preserve"> a notice of appeal against the whole of that order on 19 November 2020</w:t>
      </w:r>
      <w:r w:rsidR="000F3925">
        <w:rPr>
          <w:rFonts w:ascii="Arial" w:hAnsi="Arial" w:cs="Arial"/>
          <w:sz w:val="24"/>
          <w:szCs w:val="24"/>
        </w:rPr>
        <w:t xml:space="preserve">. On 18 January 2021 the court </w:t>
      </w:r>
      <w:r w:rsidR="000F3925">
        <w:rPr>
          <w:rFonts w:ascii="Arial" w:hAnsi="Arial" w:cs="Arial"/>
          <w:i/>
          <w:sz w:val="24"/>
          <w:szCs w:val="24"/>
        </w:rPr>
        <w:t xml:space="preserve">a quo </w:t>
      </w:r>
      <w:r w:rsidR="000F3925">
        <w:rPr>
          <w:rFonts w:ascii="Arial" w:hAnsi="Arial" w:cs="Arial"/>
          <w:sz w:val="24"/>
          <w:szCs w:val="24"/>
        </w:rPr>
        <w:t xml:space="preserve">handed down </w:t>
      </w:r>
      <w:r w:rsidR="0008437C">
        <w:rPr>
          <w:rFonts w:ascii="Arial" w:hAnsi="Arial" w:cs="Arial"/>
          <w:sz w:val="24"/>
          <w:szCs w:val="24"/>
        </w:rPr>
        <w:t>a full judgment which contain</w:t>
      </w:r>
      <w:r w:rsidR="00DD5588">
        <w:rPr>
          <w:rFonts w:ascii="Arial" w:hAnsi="Arial" w:cs="Arial"/>
          <w:sz w:val="24"/>
          <w:szCs w:val="24"/>
        </w:rPr>
        <w:t>ed</w:t>
      </w:r>
      <w:r w:rsidR="0008437C">
        <w:rPr>
          <w:rFonts w:ascii="Arial" w:hAnsi="Arial" w:cs="Arial"/>
          <w:sz w:val="24"/>
          <w:szCs w:val="24"/>
        </w:rPr>
        <w:t xml:space="preserve"> the reasons for the order. </w:t>
      </w:r>
      <w:r w:rsidR="008A7B00">
        <w:rPr>
          <w:rFonts w:ascii="Arial" w:hAnsi="Arial" w:cs="Arial"/>
          <w:sz w:val="24"/>
          <w:szCs w:val="24"/>
        </w:rPr>
        <w:t xml:space="preserve">A further notice of appeal with grounds of appeal </w:t>
      </w:r>
      <w:r w:rsidR="00F46D6C">
        <w:rPr>
          <w:rFonts w:ascii="Arial" w:hAnsi="Arial" w:cs="Arial"/>
          <w:sz w:val="24"/>
          <w:szCs w:val="24"/>
        </w:rPr>
        <w:t>thus followed on 5 February 2021.</w:t>
      </w:r>
    </w:p>
    <w:p w14:paraId="3576CD23" w14:textId="77777777" w:rsidR="00584BE9" w:rsidRDefault="00584BE9" w:rsidP="00584BE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9A88CFC" w14:textId="0D3AE35D" w:rsidR="00E15E2D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F46D6C">
        <w:rPr>
          <w:rFonts w:ascii="Arial" w:hAnsi="Arial" w:cs="Arial"/>
          <w:sz w:val="24"/>
          <w:szCs w:val="24"/>
        </w:rPr>
        <w:t>As the notice of appeal suspended</w:t>
      </w:r>
      <w:r w:rsidR="00A31CA5">
        <w:rPr>
          <w:rFonts w:ascii="Arial" w:hAnsi="Arial" w:cs="Arial"/>
          <w:sz w:val="24"/>
          <w:szCs w:val="24"/>
        </w:rPr>
        <w:t xml:space="preserve"> the operation of the order of the court </w:t>
      </w:r>
      <w:r w:rsidR="00A31CA5">
        <w:rPr>
          <w:rFonts w:ascii="Arial" w:hAnsi="Arial" w:cs="Arial"/>
          <w:i/>
          <w:sz w:val="24"/>
          <w:szCs w:val="24"/>
        </w:rPr>
        <w:t xml:space="preserve">a quo </w:t>
      </w:r>
      <w:r w:rsidR="00A31CA5">
        <w:rPr>
          <w:rFonts w:ascii="Arial" w:hAnsi="Arial" w:cs="Arial"/>
          <w:sz w:val="24"/>
          <w:szCs w:val="24"/>
        </w:rPr>
        <w:t xml:space="preserve">PIS applied </w:t>
      </w:r>
      <w:r w:rsidR="00F90C48">
        <w:rPr>
          <w:rFonts w:ascii="Arial" w:hAnsi="Arial" w:cs="Arial"/>
          <w:sz w:val="24"/>
          <w:szCs w:val="24"/>
        </w:rPr>
        <w:t xml:space="preserve">for the immediate execution of the order and such order was granted </w:t>
      </w:r>
      <w:r w:rsidR="001F28B2">
        <w:rPr>
          <w:rFonts w:ascii="Arial" w:hAnsi="Arial" w:cs="Arial"/>
          <w:sz w:val="24"/>
          <w:szCs w:val="24"/>
        </w:rPr>
        <w:t>to</w:t>
      </w:r>
      <w:r w:rsidR="00DD5588">
        <w:rPr>
          <w:rFonts w:ascii="Arial" w:hAnsi="Arial" w:cs="Arial"/>
          <w:sz w:val="24"/>
          <w:szCs w:val="24"/>
        </w:rPr>
        <w:t xml:space="preserve"> it on 17 March 2021. This meant</w:t>
      </w:r>
      <w:r w:rsidR="001F28B2">
        <w:rPr>
          <w:rFonts w:ascii="Arial" w:hAnsi="Arial" w:cs="Arial"/>
          <w:sz w:val="24"/>
          <w:szCs w:val="24"/>
        </w:rPr>
        <w:t xml:space="preserve"> that PIS commenced </w:t>
      </w:r>
      <w:r w:rsidR="00A11D2C">
        <w:rPr>
          <w:rFonts w:ascii="Arial" w:hAnsi="Arial" w:cs="Arial"/>
          <w:sz w:val="24"/>
          <w:szCs w:val="24"/>
        </w:rPr>
        <w:t xml:space="preserve">to render the services </w:t>
      </w:r>
      <w:r w:rsidR="003F0668">
        <w:rPr>
          <w:rFonts w:ascii="Arial" w:hAnsi="Arial" w:cs="Arial"/>
          <w:sz w:val="24"/>
          <w:szCs w:val="24"/>
        </w:rPr>
        <w:t xml:space="preserve">tendered </w:t>
      </w:r>
      <w:r w:rsidR="00A11D2C">
        <w:rPr>
          <w:rFonts w:ascii="Arial" w:hAnsi="Arial" w:cs="Arial"/>
          <w:sz w:val="24"/>
          <w:szCs w:val="24"/>
        </w:rPr>
        <w:t>for shortly after the granting of this order</w:t>
      </w:r>
      <w:r w:rsidR="00E15E2D">
        <w:rPr>
          <w:rFonts w:ascii="Arial" w:hAnsi="Arial" w:cs="Arial"/>
          <w:sz w:val="24"/>
          <w:szCs w:val="24"/>
        </w:rPr>
        <w:t xml:space="preserve">. </w:t>
      </w:r>
    </w:p>
    <w:p w14:paraId="42356E26" w14:textId="77777777" w:rsidR="00584BE9" w:rsidRDefault="00584BE9" w:rsidP="00E15E2D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6CF700A" w14:textId="77777777" w:rsidR="008F51B2" w:rsidRDefault="00E15E2D" w:rsidP="00E15E2D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The facts</w:t>
      </w:r>
    </w:p>
    <w:p w14:paraId="2F09E702" w14:textId="29C1DCA8" w:rsidR="00E27BB2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BF6EDF">
        <w:rPr>
          <w:rFonts w:ascii="Arial" w:hAnsi="Arial" w:cs="Arial"/>
          <w:sz w:val="24"/>
          <w:szCs w:val="24"/>
        </w:rPr>
        <w:t>The b</w:t>
      </w:r>
      <w:r w:rsidR="008C25C5">
        <w:rPr>
          <w:rFonts w:ascii="Arial" w:hAnsi="Arial" w:cs="Arial"/>
          <w:sz w:val="24"/>
          <w:szCs w:val="24"/>
        </w:rPr>
        <w:t xml:space="preserve">oard on behalf of NUST </w:t>
      </w:r>
      <w:r w:rsidR="00A03871">
        <w:rPr>
          <w:rFonts w:ascii="Arial" w:hAnsi="Arial" w:cs="Arial"/>
          <w:sz w:val="24"/>
          <w:szCs w:val="24"/>
        </w:rPr>
        <w:t xml:space="preserve">solicited bids for the provision of security services to NUST </w:t>
      </w:r>
      <w:r w:rsidR="00BB3D8D">
        <w:rPr>
          <w:rFonts w:ascii="Arial" w:hAnsi="Arial" w:cs="Arial"/>
          <w:sz w:val="24"/>
          <w:szCs w:val="24"/>
        </w:rPr>
        <w:t xml:space="preserve">by way of an advertisement to </w:t>
      </w:r>
      <w:r w:rsidR="0058301C">
        <w:rPr>
          <w:rFonts w:ascii="Arial" w:hAnsi="Arial" w:cs="Arial"/>
          <w:sz w:val="24"/>
          <w:szCs w:val="24"/>
        </w:rPr>
        <w:t xml:space="preserve">this </w:t>
      </w:r>
      <w:r w:rsidR="00BB3D8D">
        <w:rPr>
          <w:rFonts w:ascii="Arial" w:hAnsi="Arial" w:cs="Arial"/>
          <w:sz w:val="24"/>
          <w:szCs w:val="24"/>
        </w:rPr>
        <w:t>effect</w:t>
      </w:r>
      <w:r w:rsidR="0058301C">
        <w:rPr>
          <w:rFonts w:ascii="Arial" w:hAnsi="Arial" w:cs="Arial"/>
          <w:sz w:val="24"/>
          <w:szCs w:val="24"/>
        </w:rPr>
        <w:t xml:space="preserve"> on 5 August 2019. The bids had to be submitted by </w:t>
      </w:r>
      <w:r w:rsidR="00CC584B">
        <w:rPr>
          <w:rFonts w:ascii="Arial" w:hAnsi="Arial" w:cs="Arial"/>
          <w:sz w:val="24"/>
          <w:szCs w:val="24"/>
        </w:rPr>
        <w:t xml:space="preserve">3 September 2019. As indicated above a total of </w:t>
      </w:r>
      <w:r w:rsidR="00E27BB2">
        <w:rPr>
          <w:rFonts w:ascii="Arial" w:hAnsi="Arial" w:cs="Arial"/>
          <w:sz w:val="24"/>
          <w:szCs w:val="24"/>
        </w:rPr>
        <w:t xml:space="preserve">19 bidders responded to the advertisement. </w:t>
      </w:r>
    </w:p>
    <w:p w14:paraId="29EFF41F" w14:textId="77777777" w:rsidR="00584BE9" w:rsidRDefault="00584BE9" w:rsidP="00584BE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5750C2B" w14:textId="1D4CE38A" w:rsidR="00BF6EDF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80051E">
        <w:rPr>
          <w:rFonts w:ascii="Arial" w:hAnsi="Arial" w:cs="Arial"/>
          <w:sz w:val="24"/>
          <w:szCs w:val="24"/>
        </w:rPr>
        <w:t xml:space="preserve">Subsequent to the evaluation of the bids and on 4 December 2019 </w:t>
      </w:r>
      <w:r w:rsidR="00BF6EDF">
        <w:rPr>
          <w:rFonts w:ascii="Arial" w:hAnsi="Arial" w:cs="Arial"/>
          <w:sz w:val="24"/>
          <w:szCs w:val="24"/>
        </w:rPr>
        <w:t>the b</w:t>
      </w:r>
      <w:r w:rsidR="00531EBF">
        <w:rPr>
          <w:rFonts w:ascii="Arial" w:hAnsi="Arial" w:cs="Arial"/>
          <w:sz w:val="24"/>
          <w:szCs w:val="24"/>
        </w:rPr>
        <w:t>oard through a letter from i</w:t>
      </w:r>
      <w:r w:rsidR="003A019F">
        <w:rPr>
          <w:rFonts w:ascii="Arial" w:hAnsi="Arial" w:cs="Arial"/>
          <w:sz w:val="24"/>
          <w:szCs w:val="24"/>
        </w:rPr>
        <w:t>t</w:t>
      </w:r>
      <w:r w:rsidR="00531EBF">
        <w:rPr>
          <w:rFonts w:ascii="Arial" w:hAnsi="Arial" w:cs="Arial"/>
          <w:sz w:val="24"/>
          <w:szCs w:val="24"/>
        </w:rPr>
        <w:t xml:space="preserve">s </w:t>
      </w:r>
      <w:r w:rsidR="00DA37B4">
        <w:rPr>
          <w:rFonts w:ascii="Arial" w:hAnsi="Arial" w:cs="Arial"/>
          <w:sz w:val="24"/>
          <w:szCs w:val="24"/>
        </w:rPr>
        <w:t>chair</w:t>
      </w:r>
      <w:r w:rsidR="003A019F">
        <w:rPr>
          <w:rFonts w:ascii="Arial" w:hAnsi="Arial" w:cs="Arial"/>
          <w:sz w:val="24"/>
          <w:szCs w:val="24"/>
        </w:rPr>
        <w:t>person</w:t>
      </w:r>
      <w:r w:rsidR="00DA37B4">
        <w:rPr>
          <w:rFonts w:ascii="Arial" w:hAnsi="Arial" w:cs="Arial"/>
          <w:sz w:val="24"/>
          <w:szCs w:val="24"/>
        </w:rPr>
        <w:t xml:space="preserve"> issued a </w:t>
      </w:r>
      <w:r w:rsidR="00FF5918">
        <w:rPr>
          <w:rFonts w:ascii="Arial" w:hAnsi="Arial" w:cs="Arial"/>
          <w:sz w:val="24"/>
          <w:szCs w:val="24"/>
        </w:rPr>
        <w:t>N</w:t>
      </w:r>
      <w:r w:rsidR="00DA37B4">
        <w:rPr>
          <w:rFonts w:ascii="Arial" w:hAnsi="Arial" w:cs="Arial"/>
          <w:sz w:val="24"/>
          <w:szCs w:val="24"/>
        </w:rPr>
        <w:t xml:space="preserve">otice for the </w:t>
      </w:r>
      <w:r w:rsidR="00FF5918">
        <w:rPr>
          <w:rFonts w:ascii="Arial" w:hAnsi="Arial" w:cs="Arial"/>
          <w:sz w:val="24"/>
          <w:szCs w:val="24"/>
        </w:rPr>
        <w:t>S</w:t>
      </w:r>
      <w:r w:rsidR="00DA37B4">
        <w:rPr>
          <w:rFonts w:ascii="Arial" w:hAnsi="Arial" w:cs="Arial"/>
          <w:sz w:val="24"/>
          <w:szCs w:val="24"/>
        </w:rPr>
        <w:t xml:space="preserve">election of </w:t>
      </w:r>
      <w:r w:rsidR="00FF5918">
        <w:rPr>
          <w:rFonts w:ascii="Arial" w:hAnsi="Arial" w:cs="Arial"/>
          <w:sz w:val="24"/>
          <w:szCs w:val="24"/>
        </w:rPr>
        <w:t>P</w:t>
      </w:r>
      <w:r w:rsidR="00DA37B4">
        <w:rPr>
          <w:rFonts w:ascii="Arial" w:hAnsi="Arial" w:cs="Arial"/>
          <w:sz w:val="24"/>
          <w:szCs w:val="24"/>
        </w:rPr>
        <w:t xml:space="preserve">rocurement </w:t>
      </w:r>
      <w:r w:rsidR="00FF5918">
        <w:rPr>
          <w:rFonts w:ascii="Arial" w:hAnsi="Arial" w:cs="Arial"/>
          <w:sz w:val="24"/>
          <w:szCs w:val="24"/>
        </w:rPr>
        <w:t>Aw</w:t>
      </w:r>
      <w:r w:rsidR="00714DAF">
        <w:rPr>
          <w:rFonts w:ascii="Arial" w:hAnsi="Arial" w:cs="Arial"/>
          <w:sz w:val="24"/>
          <w:szCs w:val="24"/>
        </w:rPr>
        <w:t xml:space="preserve">ard (the selection notice). This was according to the notice done pursuant to </w:t>
      </w:r>
      <w:r w:rsidR="007B1431">
        <w:rPr>
          <w:rFonts w:ascii="Arial" w:hAnsi="Arial" w:cs="Arial"/>
          <w:sz w:val="24"/>
          <w:szCs w:val="24"/>
        </w:rPr>
        <w:t xml:space="preserve">s </w:t>
      </w:r>
      <w:r w:rsidR="00BF6EDF">
        <w:rPr>
          <w:rFonts w:ascii="Arial" w:hAnsi="Arial" w:cs="Arial"/>
          <w:sz w:val="24"/>
          <w:szCs w:val="24"/>
        </w:rPr>
        <w:t>55 of the Act and r</w:t>
      </w:r>
      <w:r w:rsidR="00A74227">
        <w:rPr>
          <w:rFonts w:ascii="Arial" w:hAnsi="Arial" w:cs="Arial"/>
          <w:sz w:val="24"/>
          <w:szCs w:val="24"/>
        </w:rPr>
        <w:t xml:space="preserve">eg </w:t>
      </w:r>
      <w:r w:rsidR="00346F00">
        <w:rPr>
          <w:rFonts w:ascii="Arial" w:hAnsi="Arial" w:cs="Arial"/>
          <w:sz w:val="24"/>
          <w:szCs w:val="24"/>
        </w:rPr>
        <w:t>38(1)</w:t>
      </w:r>
      <w:r w:rsidR="00BF6ED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BA6F27">
        <w:rPr>
          <w:rFonts w:ascii="Arial" w:hAnsi="Arial" w:cs="Arial"/>
          <w:sz w:val="24"/>
          <w:szCs w:val="24"/>
        </w:rPr>
        <w:t>. In this notice</w:t>
      </w:r>
      <w:r w:rsidR="00E22721">
        <w:rPr>
          <w:rFonts w:ascii="Arial" w:hAnsi="Arial" w:cs="Arial"/>
          <w:sz w:val="24"/>
          <w:szCs w:val="24"/>
        </w:rPr>
        <w:t>,</w:t>
      </w:r>
      <w:r w:rsidR="00BA6F27">
        <w:rPr>
          <w:rFonts w:ascii="Arial" w:hAnsi="Arial" w:cs="Arial"/>
          <w:sz w:val="24"/>
          <w:szCs w:val="24"/>
        </w:rPr>
        <w:t xml:space="preserve"> </w:t>
      </w:r>
      <w:r w:rsidR="00352185">
        <w:rPr>
          <w:rFonts w:ascii="Arial" w:hAnsi="Arial" w:cs="Arial"/>
          <w:sz w:val="24"/>
          <w:szCs w:val="24"/>
        </w:rPr>
        <w:t>PIS was informed that it was ‘</w:t>
      </w:r>
      <w:r w:rsidR="002B17BC">
        <w:rPr>
          <w:rFonts w:ascii="Arial" w:hAnsi="Arial" w:cs="Arial"/>
          <w:sz w:val="24"/>
          <w:szCs w:val="24"/>
        </w:rPr>
        <w:t>selected for the award o</w:t>
      </w:r>
      <w:r w:rsidR="00AF5CF4">
        <w:rPr>
          <w:rFonts w:ascii="Arial" w:hAnsi="Arial" w:cs="Arial"/>
          <w:sz w:val="24"/>
          <w:szCs w:val="24"/>
        </w:rPr>
        <w:t>f the P</w:t>
      </w:r>
      <w:r w:rsidR="002B17BC">
        <w:rPr>
          <w:rFonts w:ascii="Arial" w:hAnsi="Arial" w:cs="Arial"/>
          <w:sz w:val="24"/>
          <w:szCs w:val="24"/>
        </w:rPr>
        <w:t xml:space="preserve">rocurement </w:t>
      </w:r>
      <w:r w:rsidR="00AF5CF4">
        <w:rPr>
          <w:rFonts w:ascii="Arial" w:hAnsi="Arial" w:cs="Arial"/>
          <w:sz w:val="24"/>
          <w:szCs w:val="24"/>
        </w:rPr>
        <w:t>Contract’</w:t>
      </w:r>
      <w:r w:rsidR="009E13C8">
        <w:rPr>
          <w:rFonts w:ascii="Arial" w:hAnsi="Arial" w:cs="Arial"/>
          <w:sz w:val="24"/>
          <w:szCs w:val="24"/>
        </w:rPr>
        <w:t xml:space="preserve"> and that in the absence of a review within </w:t>
      </w:r>
      <w:r w:rsidR="00BF6EDF">
        <w:rPr>
          <w:rFonts w:ascii="Arial" w:hAnsi="Arial" w:cs="Arial"/>
          <w:sz w:val="24"/>
          <w:szCs w:val="24"/>
        </w:rPr>
        <w:t>seven</w:t>
      </w:r>
      <w:r w:rsidR="009E13C8">
        <w:rPr>
          <w:rFonts w:ascii="Arial" w:hAnsi="Arial" w:cs="Arial"/>
          <w:sz w:val="24"/>
          <w:szCs w:val="24"/>
        </w:rPr>
        <w:t xml:space="preserve"> days (</w:t>
      </w:r>
      <w:r w:rsidR="00E0378D">
        <w:rPr>
          <w:rFonts w:ascii="Arial" w:hAnsi="Arial" w:cs="Arial"/>
          <w:sz w:val="24"/>
          <w:szCs w:val="24"/>
        </w:rPr>
        <w:t>the standstill period) in terms of s 55</w:t>
      </w:r>
      <w:r w:rsidR="00412EFB">
        <w:rPr>
          <w:rFonts w:ascii="Arial" w:hAnsi="Arial" w:cs="Arial"/>
          <w:sz w:val="24"/>
          <w:szCs w:val="24"/>
        </w:rPr>
        <w:t>(5) of the Act</w:t>
      </w:r>
      <w:r w:rsidR="00BF6EDF">
        <w:rPr>
          <w:rFonts w:ascii="Arial" w:hAnsi="Arial" w:cs="Arial"/>
          <w:sz w:val="24"/>
          <w:szCs w:val="24"/>
        </w:rPr>
        <w:t>,</w:t>
      </w:r>
      <w:r w:rsidR="003A019F">
        <w:rPr>
          <w:rFonts w:ascii="Arial" w:hAnsi="Arial" w:cs="Arial"/>
          <w:sz w:val="24"/>
          <w:szCs w:val="24"/>
        </w:rPr>
        <w:t xml:space="preserve"> PIS</w:t>
      </w:r>
      <w:r w:rsidR="00412EFB">
        <w:rPr>
          <w:rFonts w:ascii="Arial" w:hAnsi="Arial" w:cs="Arial"/>
          <w:sz w:val="24"/>
          <w:szCs w:val="24"/>
        </w:rPr>
        <w:t xml:space="preserve"> w</w:t>
      </w:r>
      <w:r w:rsidR="003A019F">
        <w:rPr>
          <w:rFonts w:ascii="Arial" w:hAnsi="Arial" w:cs="Arial"/>
          <w:sz w:val="24"/>
          <w:szCs w:val="24"/>
        </w:rPr>
        <w:t xml:space="preserve">ould </w:t>
      </w:r>
      <w:r w:rsidR="00412EFB">
        <w:rPr>
          <w:rFonts w:ascii="Arial" w:hAnsi="Arial" w:cs="Arial"/>
          <w:sz w:val="24"/>
          <w:szCs w:val="24"/>
        </w:rPr>
        <w:t>be awarded the ‘Procurement Contract</w:t>
      </w:r>
      <w:r w:rsidR="001D7F84">
        <w:rPr>
          <w:rFonts w:ascii="Arial" w:hAnsi="Arial" w:cs="Arial"/>
          <w:sz w:val="24"/>
          <w:szCs w:val="24"/>
        </w:rPr>
        <w:t xml:space="preserve">’. This notice was also forwarded to the unsuccessful bidders </w:t>
      </w:r>
      <w:r w:rsidR="001D7F84">
        <w:rPr>
          <w:rFonts w:ascii="Arial" w:hAnsi="Arial" w:cs="Arial"/>
          <w:sz w:val="24"/>
          <w:szCs w:val="24"/>
        </w:rPr>
        <w:lastRenderedPageBreak/>
        <w:t xml:space="preserve">who were informed that </w:t>
      </w:r>
      <w:r w:rsidR="00AA1C0E">
        <w:rPr>
          <w:rFonts w:ascii="Arial" w:hAnsi="Arial" w:cs="Arial"/>
          <w:sz w:val="24"/>
          <w:szCs w:val="24"/>
        </w:rPr>
        <w:t xml:space="preserve">if </w:t>
      </w:r>
      <w:r w:rsidR="001D7F84">
        <w:rPr>
          <w:rFonts w:ascii="Arial" w:hAnsi="Arial" w:cs="Arial"/>
          <w:sz w:val="24"/>
          <w:szCs w:val="24"/>
        </w:rPr>
        <w:t>they</w:t>
      </w:r>
      <w:r w:rsidR="00AA1C0E">
        <w:rPr>
          <w:rFonts w:ascii="Arial" w:hAnsi="Arial" w:cs="Arial"/>
          <w:sz w:val="24"/>
          <w:szCs w:val="24"/>
        </w:rPr>
        <w:t xml:space="preserve"> were not happy with the </w:t>
      </w:r>
      <w:r w:rsidR="009A101A">
        <w:rPr>
          <w:rFonts w:ascii="Arial" w:hAnsi="Arial" w:cs="Arial"/>
          <w:sz w:val="24"/>
          <w:szCs w:val="24"/>
        </w:rPr>
        <w:t xml:space="preserve">selection notice they could make an application for a </w:t>
      </w:r>
      <w:r w:rsidR="00BF6EDF">
        <w:rPr>
          <w:rFonts w:ascii="Arial" w:hAnsi="Arial" w:cs="Arial"/>
          <w:sz w:val="24"/>
          <w:szCs w:val="24"/>
        </w:rPr>
        <w:t>review of the selection within seven</w:t>
      </w:r>
      <w:r w:rsidR="009A101A">
        <w:rPr>
          <w:rFonts w:ascii="Arial" w:hAnsi="Arial" w:cs="Arial"/>
          <w:sz w:val="24"/>
          <w:szCs w:val="24"/>
        </w:rPr>
        <w:t xml:space="preserve"> days </w:t>
      </w:r>
      <w:r w:rsidR="00DB6383">
        <w:rPr>
          <w:rFonts w:ascii="Arial" w:hAnsi="Arial" w:cs="Arial"/>
          <w:sz w:val="24"/>
          <w:szCs w:val="24"/>
        </w:rPr>
        <w:t xml:space="preserve">failing which the </w:t>
      </w:r>
      <w:r w:rsidR="00E63315">
        <w:rPr>
          <w:rFonts w:ascii="Arial" w:hAnsi="Arial" w:cs="Arial"/>
          <w:sz w:val="24"/>
          <w:szCs w:val="24"/>
        </w:rPr>
        <w:t>ac</w:t>
      </w:r>
      <w:r w:rsidR="00DB6383">
        <w:rPr>
          <w:rFonts w:ascii="Arial" w:hAnsi="Arial" w:cs="Arial"/>
          <w:sz w:val="24"/>
          <w:szCs w:val="24"/>
        </w:rPr>
        <w:t>cou</w:t>
      </w:r>
      <w:r w:rsidR="00E63315">
        <w:rPr>
          <w:rFonts w:ascii="Arial" w:hAnsi="Arial" w:cs="Arial"/>
          <w:sz w:val="24"/>
          <w:szCs w:val="24"/>
        </w:rPr>
        <w:t>n</w:t>
      </w:r>
      <w:r w:rsidR="00DB6383">
        <w:rPr>
          <w:rFonts w:ascii="Arial" w:hAnsi="Arial" w:cs="Arial"/>
          <w:sz w:val="24"/>
          <w:szCs w:val="24"/>
        </w:rPr>
        <w:t>ting</w:t>
      </w:r>
      <w:r w:rsidR="00E63315">
        <w:rPr>
          <w:rFonts w:ascii="Arial" w:hAnsi="Arial" w:cs="Arial"/>
          <w:sz w:val="24"/>
          <w:szCs w:val="24"/>
        </w:rPr>
        <w:t xml:space="preserve"> officer </w:t>
      </w:r>
      <w:r w:rsidR="00BF6EDF">
        <w:rPr>
          <w:rFonts w:ascii="Arial" w:hAnsi="Arial" w:cs="Arial"/>
          <w:sz w:val="24"/>
          <w:szCs w:val="24"/>
        </w:rPr>
        <w:t>of the b</w:t>
      </w:r>
      <w:r w:rsidR="00501476">
        <w:rPr>
          <w:rFonts w:ascii="Arial" w:hAnsi="Arial" w:cs="Arial"/>
          <w:sz w:val="24"/>
          <w:szCs w:val="24"/>
        </w:rPr>
        <w:t xml:space="preserve">oard would ‘award the contract’ </w:t>
      </w:r>
      <w:r w:rsidR="002D008F">
        <w:rPr>
          <w:rFonts w:ascii="Arial" w:hAnsi="Arial" w:cs="Arial"/>
          <w:sz w:val="24"/>
          <w:szCs w:val="24"/>
        </w:rPr>
        <w:t>to PIS.</w:t>
      </w:r>
    </w:p>
    <w:p w14:paraId="2660D5B1" w14:textId="77777777" w:rsidR="00BF6EDF" w:rsidRPr="00BF6EDF" w:rsidRDefault="00BF6EDF" w:rsidP="00BF6ED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BF2BBBE" w14:textId="0ECE5984" w:rsidR="00FC2CD2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2D008F">
        <w:rPr>
          <w:rFonts w:ascii="Arial" w:hAnsi="Arial" w:cs="Arial"/>
          <w:sz w:val="24"/>
          <w:szCs w:val="24"/>
        </w:rPr>
        <w:t xml:space="preserve">The selection notice informed all </w:t>
      </w:r>
      <w:r w:rsidR="00B47ED6">
        <w:rPr>
          <w:rFonts w:ascii="Arial" w:hAnsi="Arial" w:cs="Arial"/>
          <w:sz w:val="24"/>
          <w:szCs w:val="24"/>
        </w:rPr>
        <w:t xml:space="preserve">the addressees that the standstill period would apply </w:t>
      </w:r>
      <w:r w:rsidR="00BF6EDF">
        <w:rPr>
          <w:rFonts w:ascii="Arial" w:hAnsi="Arial" w:cs="Arial"/>
          <w:sz w:val="24"/>
          <w:szCs w:val="24"/>
        </w:rPr>
        <w:t>from 11–</w:t>
      </w:r>
      <w:r w:rsidR="00CD2946">
        <w:rPr>
          <w:rFonts w:ascii="Arial" w:hAnsi="Arial" w:cs="Arial"/>
          <w:sz w:val="24"/>
          <w:szCs w:val="24"/>
        </w:rPr>
        <w:t xml:space="preserve">17 </w:t>
      </w:r>
      <w:r w:rsidR="000A3D49">
        <w:rPr>
          <w:rFonts w:ascii="Arial" w:hAnsi="Arial" w:cs="Arial"/>
          <w:sz w:val="24"/>
          <w:szCs w:val="24"/>
        </w:rPr>
        <w:t xml:space="preserve">December 2019. NPS applied </w:t>
      </w:r>
      <w:r w:rsidR="00F46239">
        <w:rPr>
          <w:rFonts w:ascii="Arial" w:hAnsi="Arial" w:cs="Arial"/>
          <w:sz w:val="24"/>
          <w:szCs w:val="24"/>
        </w:rPr>
        <w:t xml:space="preserve">for </w:t>
      </w:r>
      <w:r w:rsidR="00BF6EDF">
        <w:rPr>
          <w:rFonts w:ascii="Arial" w:hAnsi="Arial" w:cs="Arial"/>
          <w:sz w:val="24"/>
          <w:szCs w:val="24"/>
        </w:rPr>
        <w:t>the b</w:t>
      </w:r>
      <w:r w:rsidR="000A3D49">
        <w:rPr>
          <w:rFonts w:ascii="Arial" w:hAnsi="Arial" w:cs="Arial"/>
          <w:sz w:val="24"/>
          <w:szCs w:val="24"/>
        </w:rPr>
        <w:t>oard</w:t>
      </w:r>
      <w:r w:rsidR="00F46239">
        <w:rPr>
          <w:rFonts w:ascii="Arial" w:hAnsi="Arial" w:cs="Arial"/>
          <w:sz w:val="24"/>
          <w:szCs w:val="24"/>
        </w:rPr>
        <w:t xml:space="preserve"> to reconsider</w:t>
      </w:r>
      <w:r w:rsidR="00125EC2">
        <w:rPr>
          <w:rFonts w:ascii="Arial" w:hAnsi="Arial" w:cs="Arial"/>
          <w:sz w:val="24"/>
          <w:szCs w:val="24"/>
        </w:rPr>
        <w:t xml:space="preserve"> the selection of P</w:t>
      </w:r>
      <w:r w:rsidR="00AB319B">
        <w:rPr>
          <w:rFonts w:ascii="Arial" w:hAnsi="Arial" w:cs="Arial"/>
          <w:sz w:val="24"/>
          <w:szCs w:val="24"/>
        </w:rPr>
        <w:t>I</w:t>
      </w:r>
      <w:r w:rsidR="00075ED0">
        <w:rPr>
          <w:rFonts w:ascii="Arial" w:hAnsi="Arial" w:cs="Arial"/>
          <w:sz w:val="24"/>
          <w:szCs w:val="24"/>
        </w:rPr>
        <w:t>S</w:t>
      </w:r>
      <w:r w:rsidR="00AB319B">
        <w:rPr>
          <w:rFonts w:ascii="Arial" w:hAnsi="Arial" w:cs="Arial"/>
          <w:sz w:val="24"/>
          <w:szCs w:val="24"/>
        </w:rPr>
        <w:t>.</w:t>
      </w:r>
      <w:r w:rsidR="00962CF5">
        <w:rPr>
          <w:rFonts w:ascii="Arial" w:hAnsi="Arial" w:cs="Arial"/>
          <w:sz w:val="24"/>
          <w:szCs w:val="24"/>
        </w:rPr>
        <w:t xml:space="preserve"> This application was outs</w:t>
      </w:r>
      <w:r w:rsidR="00F640A3">
        <w:rPr>
          <w:rFonts w:ascii="Arial" w:hAnsi="Arial" w:cs="Arial"/>
          <w:sz w:val="24"/>
          <w:szCs w:val="24"/>
        </w:rPr>
        <w:t>ide the standstill period. The b</w:t>
      </w:r>
      <w:r w:rsidR="00962CF5">
        <w:rPr>
          <w:rFonts w:ascii="Arial" w:hAnsi="Arial" w:cs="Arial"/>
          <w:sz w:val="24"/>
          <w:szCs w:val="24"/>
        </w:rPr>
        <w:t xml:space="preserve">oard nevertheless considered the application </w:t>
      </w:r>
      <w:r w:rsidR="00FC2CD2">
        <w:rPr>
          <w:rFonts w:ascii="Arial" w:hAnsi="Arial" w:cs="Arial"/>
          <w:sz w:val="24"/>
          <w:szCs w:val="24"/>
        </w:rPr>
        <w:t xml:space="preserve">by NPS but declined it. </w:t>
      </w:r>
    </w:p>
    <w:p w14:paraId="5A195D0F" w14:textId="77777777" w:rsidR="00584BE9" w:rsidRDefault="00584BE9" w:rsidP="00584BE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A13FE2A" w14:textId="4D353F68" w:rsidR="009A6C6C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FC2CD2">
        <w:rPr>
          <w:rFonts w:ascii="Arial" w:hAnsi="Arial" w:cs="Arial"/>
          <w:sz w:val="24"/>
          <w:szCs w:val="24"/>
        </w:rPr>
        <w:t>On 21 July 2020</w:t>
      </w:r>
      <w:r w:rsidR="00F640A3">
        <w:rPr>
          <w:rFonts w:ascii="Arial" w:hAnsi="Arial" w:cs="Arial"/>
          <w:sz w:val="24"/>
          <w:szCs w:val="24"/>
        </w:rPr>
        <w:t>,</w:t>
      </w:r>
      <w:r w:rsidR="00FC2CD2">
        <w:rPr>
          <w:rFonts w:ascii="Arial" w:hAnsi="Arial" w:cs="Arial"/>
          <w:sz w:val="24"/>
          <w:szCs w:val="24"/>
        </w:rPr>
        <w:t xml:space="preserve"> </w:t>
      </w:r>
      <w:r w:rsidR="00F640A3">
        <w:rPr>
          <w:rFonts w:ascii="Arial" w:hAnsi="Arial" w:cs="Arial"/>
          <w:sz w:val="24"/>
          <w:szCs w:val="24"/>
        </w:rPr>
        <w:t>the b</w:t>
      </w:r>
      <w:r w:rsidR="002B7313">
        <w:rPr>
          <w:rFonts w:ascii="Arial" w:hAnsi="Arial" w:cs="Arial"/>
          <w:sz w:val="24"/>
          <w:szCs w:val="24"/>
        </w:rPr>
        <w:t>oard, through its chair</w:t>
      </w:r>
      <w:r w:rsidR="00CA4E0D">
        <w:rPr>
          <w:rFonts w:ascii="Arial" w:hAnsi="Arial" w:cs="Arial"/>
          <w:sz w:val="24"/>
          <w:szCs w:val="24"/>
        </w:rPr>
        <w:t>person</w:t>
      </w:r>
      <w:r w:rsidR="002B7313">
        <w:rPr>
          <w:rFonts w:ascii="Arial" w:hAnsi="Arial" w:cs="Arial"/>
          <w:sz w:val="24"/>
          <w:szCs w:val="24"/>
        </w:rPr>
        <w:t xml:space="preserve">, issued a Notice of Procurement </w:t>
      </w:r>
      <w:r w:rsidR="000F77AD">
        <w:rPr>
          <w:rFonts w:ascii="Arial" w:hAnsi="Arial" w:cs="Arial"/>
          <w:sz w:val="24"/>
          <w:szCs w:val="24"/>
        </w:rPr>
        <w:t xml:space="preserve">Award (the award notice) to PIS. </w:t>
      </w:r>
      <w:r w:rsidR="00346264">
        <w:rPr>
          <w:rFonts w:ascii="Arial" w:hAnsi="Arial" w:cs="Arial"/>
          <w:sz w:val="24"/>
          <w:szCs w:val="24"/>
        </w:rPr>
        <w:t>This was according to this notice done pursuant to</w:t>
      </w:r>
      <w:r w:rsidR="00F640A3">
        <w:rPr>
          <w:rFonts w:ascii="Arial" w:hAnsi="Arial" w:cs="Arial"/>
          <w:sz w:val="24"/>
          <w:szCs w:val="24"/>
        </w:rPr>
        <w:t xml:space="preserve"> </w:t>
      </w:r>
      <w:r w:rsidR="00346264">
        <w:rPr>
          <w:rFonts w:ascii="Arial" w:hAnsi="Arial" w:cs="Arial"/>
          <w:sz w:val="24"/>
          <w:szCs w:val="24"/>
        </w:rPr>
        <w:t xml:space="preserve">s </w:t>
      </w:r>
      <w:r w:rsidR="00F640A3">
        <w:rPr>
          <w:rFonts w:ascii="Arial" w:hAnsi="Arial" w:cs="Arial"/>
          <w:sz w:val="24"/>
          <w:szCs w:val="24"/>
        </w:rPr>
        <w:t>55 of the Act and r</w:t>
      </w:r>
      <w:r w:rsidR="0031687F">
        <w:rPr>
          <w:rFonts w:ascii="Arial" w:hAnsi="Arial" w:cs="Arial"/>
          <w:sz w:val="24"/>
          <w:szCs w:val="24"/>
        </w:rPr>
        <w:t>eg 39(1)</w:t>
      </w:r>
      <w:r w:rsidR="00F640A3">
        <w:rPr>
          <w:rFonts w:ascii="Arial" w:hAnsi="Arial" w:cs="Arial"/>
          <w:sz w:val="24"/>
          <w:szCs w:val="24"/>
        </w:rPr>
        <w:t>.</w:t>
      </w:r>
      <w:r w:rsidR="00C201A8">
        <w:rPr>
          <w:rFonts w:ascii="Arial" w:hAnsi="Arial" w:cs="Arial"/>
          <w:sz w:val="24"/>
          <w:szCs w:val="24"/>
        </w:rPr>
        <w:t xml:space="preserve"> All concerned w</w:t>
      </w:r>
      <w:r w:rsidR="0062674B">
        <w:rPr>
          <w:rFonts w:ascii="Arial" w:hAnsi="Arial" w:cs="Arial"/>
          <w:sz w:val="24"/>
          <w:szCs w:val="24"/>
        </w:rPr>
        <w:t>ere</w:t>
      </w:r>
      <w:r w:rsidR="00C201A8">
        <w:rPr>
          <w:rFonts w:ascii="Arial" w:hAnsi="Arial" w:cs="Arial"/>
          <w:sz w:val="24"/>
          <w:szCs w:val="24"/>
        </w:rPr>
        <w:t xml:space="preserve"> once again informed </w:t>
      </w:r>
      <w:r w:rsidR="00226091">
        <w:rPr>
          <w:rFonts w:ascii="Arial" w:hAnsi="Arial" w:cs="Arial"/>
          <w:sz w:val="24"/>
          <w:szCs w:val="24"/>
        </w:rPr>
        <w:t xml:space="preserve">that the award notice was subject to </w:t>
      </w:r>
      <w:r w:rsidR="008935E5">
        <w:rPr>
          <w:rFonts w:ascii="Arial" w:hAnsi="Arial" w:cs="Arial"/>
          <w:sz w:val="24"/>
          <w:szCs w:val="24"/>
        </w:rPr>
        <w:t xml:space="preserve">any review of it by an </w:t>
      </w:r>
      <w:r w:rsidR="00426966">
        <w:rPr>
          <w:rFonts w:ascii="Arial" w:hAnsi="Arial" w:cs="Arial"/>
          <w:sz w:val="24"/>
          <w:szCs w:val="24"/>
        </w:rPr>
        <w:t>unsuccessful</w:t>
      </w:r>
      <w:r w:rsidR="008935E5">
        <w:rPr>
          <w:rFonts w:ascii="Arial" w:hAnsi="Arial" w:cs="Arial"/>
          <w:sz w:val="24"/>
          <w:szCs w:val="24"/>
        </w:rPr>
        <w:t xml:space="preserve"> bidder </w:t>
      </w:r>
      <w:r w:rsidR="00050DAD">
        <w:rPr>
          <w:rFonts w:ascii="Arial" w:hAnsi="Arial" w:cs="Arial"/>
          <w:sz w:val="24"/>
          <w:szCs w:val="24"/>
        </w:rPr>
        <w:t>or bidders within the standstill period</w:t>
      </w:r>
      <w:r w:rsidR="00F640A3">
        <w:rPr>
          <w:rFonts w:ascii="Arial" w:hAnsi="Arial" w:cs="Arial"/>
          <w:sz w:val="24"/>
          <w:szCs w:val="24"/>
        </w:rPr>
        <w:t xml:space="preserve"> that would be in place from 23</w:t>
      </w:r>
      <w:r w:rsidR="00050DAD">
        <w:rPr>
          <w:rFonts w:ascii="Arial" w:hAnsi="Arial" w:cs="Arial"/>
          <w:sz w:val="24"/>
          <w:szCs w:val="24"/>
        </w:rPr>
        <w:t xml:space="preserve">–29 July </w:t>
      </w:r>
      <w:r w:rsidR="00A96A82">
        <w:rPr>
          <w:rFonts w:ascii="Arial" w:hAnsi="Arial" w:cs="Arial"/>
          <w:sz w:val="24"/>
          <w:szCs w:val="24"/>
        </w:rPr>
        <w:t xml:space="preserve">2020. The award notice, </w:t>
      </w:r>
      <w:r w:rsidR="005A6EC4">
        <w:rPr>
          <w:rFonts w:ascii="Arial" w:hAnsi="Arial" w:cs="Arial"/>
          <w:sz w:val="24"/>
          <w:szCs w:val="24"/>
        </w:rPr>
        <w:t xml:space="preserve">unlike the selection notice, </w:t>
      </w:r>
      <w:r w:rsidR="00EB4D6D">
        <w:rPr>
          <w:rFonts w:ascii="Arial" w:hAnsi="Arial" w:cs="Arial"/>
          <w:sz w:val="24"/>
          <w:szCs w:val="24"/>
        </w:rPr>
        <w:t xml:space="preserve">expressly mentioned that such review application would have </w:t>
      </w:r>
      <w:r w:rsidR="00B617A6">
        <w:rPr>
          <w:rFonts w:ascii="Arial" w:hAnsi="Arial" w:cs="Arial"/>
          <w:sz w:val="24"/>
          <w:szCs w:val="24"/>
        </w:rPr>
        <w:t>to be made to the Review Panel pursuant to s 55</w:t>
      </w:r>
      <w:r w:rsidR="009A6C6C">
        <w:rPr>
          <w:rFonts w:ascii="Arial" w:hAnsi="Arial" w:cs="Arial"/>
          <w:sz w:val="24"/>
          <w:szCs w:val="24"/>
        </w:rPr>
        <w:t xml:space="preserve">(5) of the Act. </w:t>
      </w:r>
    </w:p>
    <w:p w14:paraId="0C0A5273" w14:textId="77777777" w:rsidR="00584BE9" w:rsidRDefault="00584BE9" w:rsidP="00584BE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309BA4E" w14:textId="7D62AA89" w:rsidR="004B254B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9A6C6C">
        <w:rPr>
          <w:rFonts w:ascii="Arial" w:hAnsi="Arial" w:cs="Arial"/>
          <w:sz w:val="24"/>
          <w:szCs w:val="24"/>
        </w:rPr>
        <w:t xml:space="preserve">NPS acting on the </w:t>
      </w:r>
      <w:r w:rsidR="008408AA">
        <w:rPr>
          <w:rFonts w:ascii="Arial" w:hAnsi="Arial" w:cs="Arial"/>
          <w:sz w:val="24"/>
          <w:szCs w:val="24"/>
        </w:rPr>
        <w:t>a</w:t>
      </w:r>
      <w:r w:rsidR="009A6C6C">
        <w:rPr>
          <w:rFonts w:ascii="Arial" w:hAnsi="Arial" w:cs="Arial"/>
          <w:sz w:val="24"/>
          <w:szCs w:val="24"/>
        </w:rPr>
        <w:t>ward notice</w:t>
      </w:r>
      <w:r w:rsidR="008408AA">
        <w:rPr>
          <w:rFonts w:ascii="Arial" w:hAnsi="Arial" w:cs="Arial"/>
          <w:sz w:val="24"/>
          <w:szCs w:val="24"/>
        </w:rPr>
        <w:t xml:space="preserve"> filed a </w:t>
      </w:r>
      <w:r w:rsidR="009A6C6C">
        <w:rPr>
          <w:rFonts w:ascii="Arial" w:hAnsi="Arial" w:cs="Arial"/>
          <w:sz w:val="24"/>
          <w:szCs w:val="24"/>
        </w:rPr>
        <w:t xml:space="preserve">review </w:t>
      </w:r>
      <w:r w:rsidR="00193B83">
        <w:rPr>
          <w:rFonts w:ascii="Arial" w:hAnsi="Arial" w:cs="Arial"/>
          <w:sz w:val="24"/>
          <w:szCs w:val="24"/>
        </w:rPr>
        <w:t xml:space="preserve">with </w:t>
      </w:r>
      <w:r w:rsidR="008046C7">
        <w:rPr>
          <w:rFonts w:ascii="Arial" w:hAnsi="Arial" w:cs="Arial"/>
          <w:sz w:val="24"/>
          <w:szCs w:val="24"/>
        </w:rPr>
        <w:t xml:space="preserve">the Review Panel timeously and on 10 August 2020 </w:t>
      </w:r>
      <w:r w:rsidR="00703B64">
        <w:rPr>
          <w:rFonts w:ascii="Arial" w:hAnsi="Arial" w:cs="Arial"/>
          <w:sz w:val="24"/>
          <w:szCs w:val="24"/>
        </w:rPr>
        <w:t xml:space="preserve">the Review Panel made the following </w:t>
      </w:r>
      <w:r w:rsidR="004B254B">
        <w:rPr>
          <w:rFonts w:ascii="Arial" w:hAnsi="Arial" w:cs="Arial"/>
          <w:sz w:val="24"/>
          <w:szCs w:val="24"/>
        </w:rPr>
        <w:t>decision:</w:t>
      </w:r>
    </w:p>
    <w:p w14:paraId="273D027A" w14:textId="77777777" w:rsidR="001572D5" w:rsidRPr="00DA381F" w:rsidRDefault="001572D5" w:rsidP="00F640A3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A94C861" w14:textId="77777777" w:rsidR="00EA4B14" w:rsidRDefault="00F640A3" w:rsidP="004B254B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055BAA">
        <w:rPr>
          <w:rFonts w:ascii="Arial" w:hAnsi="Arial" w:cs="Arial"/>
        </w:rPr>
        <w:t xml:space="preserve">The Board failed to comply </w:t>
      </w:r>
      <w:r w:rsidR="001572D5">
        <w:rPr>
          <w:rFonts w:ascii="Arial" w:hAnsi="Arial" w:cs="Arial"/>
        </w:rPr>
        <w:t xml:space="preserve">with </w:t>
      </w:r>
      <w:r w:rsidR="004B2B53">
        <w:rPr>
          <w:rFonts w:ascii="Arial" w:hAnsi="Arial" w:cs="Arial"/>
        </w:rPr>
        <w:t xml:space="preserve">Regulation 35 of the Regulations, in that the deadline for the bids to close </w:t>
      </w:r>
      <w:r w:rsidR="00FD79E8">
        <w:rPr>
          <w:rFonts w:ascii="Arial" w:hAnsi="Arial" w:cs="Arial"/>
        </w:rPr>
        <w:t xml:space="preserve">was 29 days instead of the mandatory 30 days of the publication </w:t>
      </w:r>
      <w:r w:rsidR="00EA4B14">
        <w:rPr>
          <w:rFonts w:ascii="Arial" w:hAnsi="Arial" w:cs="Arial"/>
        </w:rPr>
        <w:t>of the invitation bid.</w:t>
      </w:r>
    </w:p>
    <w:p w14:paraId="68D81BB6" w14:textId="77777777" w:rsidR="00F640A3" w:rsidRDefault="00F640A3" w:rsidP="00F640A3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</w:p>
    <w:p w14:paraId="45ABF33A" w14:textId="77777777" w:rsidR="00AE6D99" w:rsidRPr="008622A9" w:rsidRDefault="00075ED0" w:rsidP="008622A9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Non</w:t>
      </w:r>
      <w:r w:rsidR="00EA4B14">
        <w:rPr>
          <w:rFonts w:ascii="Arial" w:hAnsi="Arial" w:cs="Arial"/>
        </w:rPr>
        <w:t xml:space="preserve">-compliance with s 52 of the Act </w:t>
      </w:r>
      <w:r w:rsidR="00625E04">
        <w:rPr>
          <w:rFonts w:ascii="Arial" w:hAnsi="Arial" w:cs="Arial"/>
        </w:rPr>
        <w:t>– the Board us</w:t>
      </w:r>
      <w:r w:rsidR="00193B83">
        <w:rPr>
          <w:rFonts w:ascii="Arial" w:hAnsi="Arial" w:cs="Arial"/>
        </w:rPr>
        <w:t>ed</w:t>
      </w:r>
      <w:r w:rsidR="00625E04">
        <w:rPr>
          <w:rFonts w:ascii="Arial" w:hAnsi="Arial" w:cs="Arial"/>
        </w:rPr>
        <w:t xml:space="preserve"> </w:t>
      </w:r>
      <w:r w:rsidR="00B16105">
        <w:rPr>
          <w:rFonts w:ascii="Arial" w:hAnsi="Arial" w:cs="Arial"/>
        </w:rPr>
        <w:t>an</w:t>
      </w:r>
      <w:r w:rsidR="00625E04">
        <w:rPr>
          <w:rFonts w:ascii="Arial" w:hAnsi="Arial" w:cs="Arial"/>
        </w:rPr>
        <w:t xml:space="preserve"> evaluation criteria and methodology </w:t>
      </w:r>
      <w:r w:rsidR="00402303">
        <w:rPr>
          <w:rFonts w:ascii="Arial" w:hAnsi="Arial" w:cs="Arial"/>
        </w:rPr>
        <w:t>that was not set out in the bidding document.  The evaluation of the bids</w:t>
      </w:r>
      <w:r w:rsidR="002676D4">
        <w:rPr>
          <w:rFonts w:ascii="Arial" w:hAnsi="Arial" w:cs="Arial"/>
        </w:rPr>
        <w:t xml:space="preserve"> was not completed in accordance with the criteria set out in the bidding </w:t>
      </w:r>
      <w:r w:rsidR="00F640A3">
        <w:rPr>
          <w:rFonts w:ascii="Arial" w:hAnsi="Arial" w:cs="Arial"/>
        </w:rPr>
        <w:t>document</w:t>
      </w:r>
      <w:r w:rsidR="00AE6D99">
        <w:rPr>
          <w:rFonts w:ascii="Arial" w:hAnsi="Arial" w:cs="Arial"/>
        </w:rPr>
        <w:t>.</w:t>
      </w:r>
      <w:r w:rsidR="00F640A3">
        <w:rPr>
          <w:rFonts w:ascii="Arial" w:hAnsi="Arial" w:cs="Arial"/>
        </w:rPr>
        <w:t>’</w:t>
      </w:r>
    </w:p>
    <w:p w14:paraId="709ED74D" w14:textId="42602470" w:rsidR="00F640A3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[10]</w:t>
      </w:r>
      <w:r>
        <w:rPr>
          <w:rFonts w:ascii="Arial" w:hAnsi="Arial" w:cs="Arial"/>
          <w:sz w:val="24"/>
          <w:szCs w:val="24"/>
        </w:rPr>
        <w:tab/>
      </w:r>
      <w:r w:rsidR="00AE6D99">
        <w:rPr>
          <w:rFonts w:ascii="Arial" w:hAnsi="Arial" w:cs="Arial"/>
          <w:sz w:val="24"/>
          <w:szCs w:val="24"/>
        </w:rPr>
        <w:t>Based on the above finding</w:t>
      </w:r>
      <w:r w:rsidR="00077CBD">
        <w:rPr>
          <w:rFonts w:ascii="Arial" w:hAnsi="Arial" w:cs="Arial"/>
          <w:sz w:val="24"/>
          <w:szCs w:val="24"/>
        </w:rPr>
        <w:t>s of the Review Panel</w:t>
      </w:r>
      <w:r w:rsidR="00F640A3">
        <w:rPr>
          <w:rFonts w:ascii="Arial" w:hAnsi="Arial" w:cs="Arial"/>
          <w:sz w:val="24"/>
          <w:szCs w:val="24"/>
        </w:rPr>
        <w:t>,</w:t>
      </w:r>
      <w:r w:rsidR="00077CBD">
        <w:rPr>
          <w:rFonts w:ascii="Arial" w:hAnsi="Arial" w:cs="Arial"/>
          <w:sz w:val="24"/>
          <w:szCs w:val="24"/>
        </w:rPr>
        <w:t xml:space="preserve"> it in accordance with s </w:t>
      </w:r>
      <w:r w:rsidR="006B642F">
        <w:rPr>
          <w:rFonts w:ascii="Arial" w:hAnsi="Arial" w:cs="Arial"/>
          <w:sz w:val="24"/>
          <w:szCs w:val="24"/>
        </w:rPr>
        <w:t xml:space="preserve">60(f) of the Act ordered that the procurement proceedings </w:t>
      </w:r>
      <w:r w:rsidR="000B53B1">
        <w:rPr>
          <w:rFonts w:ascii="Arial" w:hAnsi="Arial" w:cs="Arial"/>
          <w:sz w:val="24"/>
          <w:szCs w:val="24"/>
        </w:rPr>
        <w:t>be terminated and start</w:t>
      </w:r>
      <w:r w:rsidR="00AF3F51">
        <w:rPr>
          <w:rFonts w:ascii="Arial" w:hAnsi="Arial" w:cs="Arial"/>
          <w:sz w:val="24"/>
          <w:szCs w:val="24"/>
        </w:rPr>
        <w:t xml:space="preserve"> </w:t>
      </w:r>
      <w:r w:rsidR="000B53B1">
        <w:rPr>
          <w:rFonts w:ascii="Arial" w:hAnsi="Arial" w:cs="Arial"/>
          <w:sz w:val="24"/>
          <w:szCs w:val="24"/>
        </w:rPr>
        <w:t>afresh.</w:t>
      </w:r>
    </w:p>
    <w:p w14:paraId="18B6A002" w14:textId="77777777" w:rsidR="001B379E" w:rsidRPr="001B379E" w:rsidRDefault="001B379E" w:rsidP="001B379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1252A18" w14:textId="6DE697F3" w:rsidR="001C25F4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</w:r>
      <w:r w:rsidR="004155F5">
        <w:rPr>
          <w:rFonts w:ascii="Arial" w:hAnsi="Arial" w:cs="Arial"/>
          <w:sz w:val="24"/>
          <w:szCs w:val="24"/>
        </w:rPr>
        <w:t>PIS</w:t>
      </w:r>
      <w:r w:rsidR="00B07EC9">
        <w:rPr>
          <w:rFonts w:ascii="Arial" w:hAnsi="Arial" w:cs="Arial"/>
          <w:sz w:val="24"/>
          <w:szCs w:val="24"/>
        </w:rPr>
        <w:t xml:space="preserve"> approached the High Court to set aside the </w:t>
      </w:r>
      <w:r w:rsidR="00AF3F51">
        <w:rPr>
          <w:rFonts w:ascii="Arial" w:hAnsi="Arial" w:cs="Arial"/>
          <w:sz w:val="24"/>
          <w:szCs w:val="24"/>
        </w:rPr>
        <w:t>said ord</w:t>
      </w:r>
      <w:r w:rsidR="00A35F72">
        <w:rPr>
          <w:rFonts w:ascii="Arial" w:hAnsi="Arial" w:cs="Arial"/>
          <w:sz w:val="24"/>
          <w:szCs w:val="24"/>
        </w:rPr>
        <w:t>er of</w:t>
      </w:r>
      <w:r w:rsidR="00F640A3">
        <w:rPr>
          <w:rFonts w:ascii="Arial" w:hAnsi="Arial" w:cs="Arial"/>
          <w:sz w:val="24"/>
          <w:szCs w:val="24"/>
        </w:rPr>
        <w:t xml:space="preserve"> the Review Panel. NPS and the b</w:t>
      </w:r>
      <w:r w:rsidR="00A35F72">
        <w:rPr>
          <w:rFonts w:ascii="Arial" w:hAnsi="Arial" w:cs="Arial"/>
          <w:sz w:val="24"/>
          <w:szCs w:val="24"/>
        </w:rPr>
        <w:t xml:space="preserve">oard </w:t>
      </w:r>
      <w:r w:rsidR="00653663">
        <w:rPr>
          <w:rFonts w:ascii="Arial" w:hAnsi="Arial" w:cs="Arial"/>
          <w:sz w:val="24"/>
          <w:szCs w:val="24"/>
        </w:rPr>
        <w:t xml:space="preserve">opposed the application. NPS </w:t>
      </w:r>
      <w:r w:rsidR="002570AD">
        <w:rPr>
          <w:rFonts w:ascii="Arial" w:hAnsi="Arial" w:cs="Arial"/>
          <w:sz w:val="24"/>
          <w:szCs w:val="24"/>
        </w:rPr>
        <w:t xml:space="preserve">brought a conditional </w:t>
      </w:r>
      <w:proofErr w:type="gramStart"/>
      <w:r w:rsidR="002570AD">
        <w:rPr>
          <w:rFonts w:ascii="Arial" w:hAnsi="Arial" w:cs="Arial"/>
          <w:sz w:val="24"/>
          <w:szCs w:val="24"/>
        </w:rPr>
        <w:t>counter</w:t>
      </w:r>
      <w:r w:rsidR="00F640A3">
        <w:rPr>
          <w:rFonts w:ascii="Arial" w:hAnsi="Arial" w:cs="Arial"/>
          <w:sz w:val="24"/>
          <w:szCs w:val="24"/>
        </w:rPr>
        <w:t>-</w:t>
      </w:r>
      <w:r w:rsidR="00A35F72">
        <w:rPr>
          <w:rFonts w:ascii="Arial" w:hAnsi="Arial" w:cs="Arial"/>
          <w:sz w:val="24"/>
          <w:szCs w:val="24"/>
        </w:rPr>
        <w:t>application</w:t>
      </w:r>
      <w:proofErr w:type="gramEnd"/>
      <w:r w:rsidR="00A35F72">
        <w:rPr>
          <w:rFonts w:ascii="Arial" w:hAnsi="Arial" w:cs="Arial"/>
          <w:sz w:val="24"/>
          <w:szCs w:val="24"/>
        </w:rPr>
        <w:t xml:space="preserve"> to</w:t>
      </w:r>
      <w:r w:rsidR="00653663">
        <w:rPr>
          <w:rFonts w:ascii="Arial" w:hAnsi="Arial" w:cs="Arial"/>
          <w:sz w:val="24"/>
          <w:szCs w:val="24"/>
        </w:rPr>
        <w:t xml:space="preserve"> declare </w:t>
      </w:r>
      <w:r w:rsidR="002C23C2">
        <w:rPr>
          <w:rFonts w:ascii="Arial" w:hAnsi="Arial" w:cs="Arial"/>
          <w:sz w:val="24"/>
          <w:szCs w:val="24"/>
        </w:rPr>
        <w:t xml:space="preserve">the procurement proceedings </w:t>
      </w:r>
      <w:r w:rsidR="002C23C2" w:rsidRPr="00F640A3">
        <w:rPr>
          <w:rFonts w:ascii="Arial" w:hAnsi="Arial" w:cs="Arial"/>
          <w:sz w:val="24"/>
          <w:szCs w:val="24"/>
        </w:rPr>
        <w:t>null</w:t>
      </w:r>
      <w:r w:rsidR="002C23C2">
        <w:rPr>
          <w:rFonts w:ascii="Arial" w:hAnsi="Arial" w:cs="Arial"/>
          <w:i/>
          <w:sz w:val="24"/>
          <w:szCs w:val="24"/>
        </w:rPr>
        <w:t xml:space="preserve"> </w:t>
      </w:r>
      <w:r w:rsidR="002C23C2" w:rsidRPr="002C23C2">
        <w:rPr>
          <w:rFonts w:ascii="Arial" w:hAnsi="Arial" w:cs="Arial"/>
          <w:sz w:val="24"/>
          <w:szCs w:val="24"/>
        </w:rPr>
        <w:t>and</w:t>
      </w:r>
      <w:r w:rsidR="002C23C2">
        <w:rPr>
          <w:rFonts w:ascii="Arial" w:hAnsi="Arial" w:cs="Arial"/>
          <w:i/>
          <w:sz w:val="24"/>
          <w:szCs w:val="24"/>
        </w:rPr>
        <w:t xml:space="preserve"> </w:t>
      </w:r>
      <w:r w:rsidR="002C23C2" w:rsidRPr="00F640A3">
        <w:rPr>
          <w:rFonts w:ascii="Arial" w:hAnsi="Arial" w:cs="Arial"/>
          <w:sz w:val="24"/>
          <w:szCs w:val="24"/>
        </w:rPr>
        <w:t>void</w:t>
      </w:r>
      <w:r w:rsidR="002C23C2">
        <w:rPr>
          <w:rFonts w:ascii="Arial" w:hAnsi="Arial" w:cs="Arial"/>
          <w:i/>
          <w:sz w:val="24"/>
          <w:szCs w:val="24"/>
        </w:rPr>
        <w:t xml:space="preserve"> </w:t>
      </w:r>
      <w:r w:rsidR="00F640A3">
        <w:rPr>
          <w:rFonts w:ascii="Arial" w:hAnsi="Arial" w:cs="Arial"/>
          <w:sz w:val="24"/>
          <w:szCs w:val="24"/>
        </w:rPr>
        <w:t>and to compel the b</w:t>
      </w:r>
      <w:r w:rsidR="002C23C2">
        <w:rPr>
          <w:rFonts w:ascii="Arial" w:hAnsi="Arial" w:cs="Arial"/>
          <w:sz w:val="24"/>
          <w:szCs w:val="24"/>
        </w:rPr>
        <w:t>oard to st</w:t>
      </w:r>
      <w:r w:rsidR="00B16105">
        <w:rPr>
          <w:rFonts w:ascii="Arial" w:hAnsi="Arial" w:cs="Arial"/>
          <w:sz w:val="24"/>
          <w:szCs w:val="24"/>
        </w:rPr>
        <w:t>art</w:t>
      </w:r>
      <w:r w:rsidR="002C23C2">
        <w:rPr>
          <w:rFonts w:ascii="Arial" w:hAnsi="Arial" w:cs="Arial"/>
          <w:sz w:val="24"/>
          <w:szCs w:val="24"/>
        </w:rPr>
        <w:t xml:space="preserve"> </w:t>
      </w:r>
      <w:r w:rsidR="00F030DD">
        <w:rPr>
          <w:rFonts w:ascii="Arial" w:hAnsi="Arial" w:cs="Arial"/>
          <w:sz w:val="24"/>
          <w:szCs w:val="24"/>
        </w:rPr>
        <w:t xml:space="preserve">the procurement </w:t>
      </w:r>
      <w:r w:rsidR="00F640A3">
        <w:rPr>
          <w:rFonts w:ascii="Arial" w:hAnsi="Arial" w:cs="Arial"/>
          <w:sz w:val="24"/>
          <w:szCs w:val="24"/>
        </w:rPr>
        <w:t xml:space="preserve">proceedings afresh. The </w:t>
      </w:r>
      <w:proofErr w:type="gramStart"/>
      <w:r w:rsidR="00F640A3">
        <w:rPr>
          <w:rFonts w:ascii="Arial" w:hAnsi="Arial" w:cs="Arial"/>
          <w:sz w:val="24"/>
          <w:szCs w:val="24"/>
        </w:rPr>
        <w:t>counter-</w:t>
      </w:r>
      <w:r w:rsidR="00F030DD">
        <w:rPr>
          <w:rFonts w:ascii="Arial" w:hAnsi="Arial" w:cs="Arial"/>
          <w:sz w:val="24"/>
          <w:szCs w:val="24"/>
        </w:rPr>
        <w:t>application</w:t>
      </w:r>
      <w:proofErr w:type="gramEnd"/>
      <w:r w:rsidR="00F030DD">
        <w:rPr>
          <w:rFonts w:ascii="Arial" w:hAnsi="Arial" w:cs="Arial"/>
          <w:sz w:val="24"/>
          <w:szCs w:val="24"/>
        </w:rPr>
        <w:t xml:space="preserve"> was conditional </w:t>
      </w:r>
      <w:r w:rsidR="0070613C">
        <w:rPr>
          <w:rFonts w:ascii="Arial" w:hAnsi="Arial" w:cs="Arial"/>
          <w:sz w:val="24"/>
          <w:szCs w:val="24"/>
        </w:rPr>
        <w:t xml:space="preserve">on the decision of the </w:t>
      </w:r>
      <w:r w:rsidR="008F591A">
        <w:rPr>
          <w:rFonts w:ascii="Arial" w:hAnsi="Arial" w:cs="Arial"/>
          <w:sz w:val="24"/>
          <w:szCs w:val="24"/>
        </w:rPr>
        <w:t>R</w:t>
      </w:r>
      <w:r w:rsidR="0070613C">
        <w:rPr>
          <w:rFonts w:ascii="Arial" w:hAnsi="Arial" w:cs="Arial"/>
          <w:sz w:val="24"/>
          <w:szCs w:val="24"/>
        </w:rPr>
        <w:t>eview</w:t>
      </w:r>
      <w:r w:rsidR="008F591A">
        <w:rPr>
          <w:rFonts w:ascii="Arial" w:hAnsi="Arial" w:cs="Arial"/>
          <w:sz w:val="24"/>
          <w:szCs w:val="24"/>
        </w:rPr>
        <w:t xml:space="preserve"> Panel</w:t>
      </w:r>
      <w:r w:rsidR="001B379E">
        <w:rPr>
          <w:rFonts w:ascii="Arial" w:hAnsi="Arial" w:cs="Arial"/>
          <w:sz w:val="24"/>
          <w:szCs w:val="24"/>
        </w:rPr>
        <w:t xml:space="preserve"> being set aside.</w:t>
      </w:r>
    </w:p>
    <w:p w14:paraId="79CCAB7D" w14:textId="77777777" w:rsidR="001B379E" w:rsidRPr="001B379E" w:rsidRDefault="001B379E" w:rsidP="001B379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BDBD345" w14:textId="279A84D5" w:rsidR="008352FE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</w:r>
      <w:r w:rsidR="001C25F4">
        <w:rPr>
          <w:rFonts w:ascii="Arial" w:hAnsi="Arial" w:cs="Arial"/>
          <w:sz w:val="24"/>
          <w:szCs w:val="24"/>
        </w:rPr>
        <w:t xml:space="preserve">Whereas the Review Panel was requested </w:t>
      </w:r>
      <w:r w:rsidR="00B17CCA">
        <w:rPr>
          <w:rFonts w:ascii="Arial" w:hAnsi="Arial" w:cs="Arial"/>
          <w:sz w:val="24"/>
          <w:szCs w:val="24"/>
        </w:rPr>
        <w:t xml:space="preserve">for the reasons </w:t>
      </w:r>
      <w:r w:rsidR="008F591A">
        <w:rPr>
          <w:rFonts w:ascii="Arial" w:hAnsi="Arial" w:cs="Arial"/>
          <w:sz w:val="24"/>
          <w:szCs w:val="24"/>
        </w:rPr>
        <w:t>for</w:t>
      </w:r>
      <w:r w:rsidR="00B17CCA">
        <w:rPr>
          <w:rFonts w:ascii="Arial" w:hAnsi="Arial" w:cs="Arial"/>
          <w:sz w:val="24"/>
          <w:szCs w:val="24"/>
        </w:rPr>
        <w:t xml:space="preserve"> </w:t>
      </w:r>
      <w:r w:rsidR="00836539">
        <w:rPr>
          <w:rFonts w:ascii="Arial" w:hAnsi="Arial" w:cs="Arial"/>
          <w:sz w:val="24"/>
          <w:szCs w:val="24"/>
        </w:rPr>
        <w:t xml:space="preserve">its </w:t>
      </w:r>
      <w:r w:rsidR="000C0505">
        <w:rPr>
          <w:rFonts w:ascii="Arial" w:hAnsi="Arial" w:cs="Arial"/>
          <w:sz w:val="24"/>
          <w:szCs w:val="24"/>
        </w:rPr>
        <w:t xml:space="preserve">two findings </w:t>
      </w:r>
      <w:r w:rsidR="00E7354E">
        <w:rPr>
          <w:rFonts w:ascii="Arial" w:hAnsi="Arial" w:cs="Arial"/>
          <w:sz w:val="24"/>
          <w:szCs w:val="24"/>
        </w:rPr>
        <w:t>this was not forthcoming. Furthermore</w:t>
      </w:r>
      <w:r w:rsidR="00836539">
        <w:rPr>
          <w:rFonts w:ascii="Arial" w:hAnsi="Arial" w:cs="Arial"/>
          <w:sz w:val="24"/>
          <w:szCs w:val="24"/>
        </w:rPr>
        <w:t xml:space="preserve">, the Review Panel did not </w:t>
      </w:r>
      <w:r w:rsidR="007A2C51">
        <w:rPr>
          <w:rFonts w:ascii="Arial" w:hAnsi="Arial" w:cs="Arial"/>
          <w:sz w:val="24"/>
          <w:szCs w:val="24"/>
        </w:rPr>
        <w:t xml:space="preserve">enter into the </w:t>
      </w:r>
      <w:r w:rsidR="001B3B1C">
        <w:rPr>
          <w:rFonts w:ascii="Arial" w:hAnsi="Arial" w:cs="Arial"/>
          <w:sz w:val="24"/>
          <w:szCs w:val="24"/>
        </w:rPr>
        <w:t>fray</w:t>
      </w:r>
      <w:r w:rsidR="007A2C51">
        <w:rPr>
          <w:rFonts w:ascii="Arial" w:hAnsi="Arial" w:cs="Arial"/>
          <w:sz w:val="24"/>
          <w:szCs w:val="24"/>
        </w:rPr>
        <w:t xml:space="preserve"> </w:t>
      </w:r>
      <w:r w:rsidR="00CF6B7A">
        <w:rPr>
          <w:rFonts w:ascii="Arial" w:hAnsi="Arial" w:cs="Arial"/>
          <w:sz w:val="24"/>
          <w:szCs w:val="24"/>
        </w:rPr>
        <w:t xml:space="preserve">in respect to the application to </w:t>
      </w:r>
      <w:r w:rsidR="00DF5202">
        <w:rPr>
          <w:rFonts w:ascii="Arial" w:hAnsi="Arial" w:cs="Arial"/>
          <w:sz w:val="24"/>
          <w:szCs w:val="24"/>
        </w:rPr>
        <w:t xml:space="preserve">review its decision despite being </w:t>
      </w:r>
      <w:r w:rsidR="001B3B1C">
        <w:rPr>
          <w:rFonts w:ascii="Arial" w:hAnsi="Arial" w:cs="Arial"/>
          <w:sz w:val="24"/>
          <w:szCs w:val="24"/>
        </w:rPr>
        <w:t xml:space="preserve">cited as a party </w:t>
      </w:r>
      <w:r w:rsidR="00DF5202">
        <w:rPr>
          <w:rFonts w:ascii="Arial" w:hAnsi="Arial" w:cs="Arial"/>
          <w:sz w:val="24"/>
          <w:szCs w:val="24"/>
        </w:rPr>
        <w:t xml:space="preserve">to those proceedings and neither was an affidavit filed on its behalf </w:t>
      </w:r>
      <w:r w:rsidR="006E0293">
        <w:rPr>
          <w:rFonts w:ascii="Arial" w:hAnsi="Arial" w:cs="Arial"/>
          <w:sz w:val="24"/>
          <w:szCs w:val="24"/>
        </w:rPr>
        <w:t xml:space="preserve">in the said proceedings. The reasons for the finding by the Review Panel </w:t>
      </w:r>
      <w:r w:rsidR="00A0659C">
        <w:rPr>
          <w:rFonts w:ascii="Arial" w:hAnsi="Arial" w:cs="Arial"/>
          <w:sz w:val="24"/>
          <w:szCs w:val="24"/>
        </w:rPr>
        <w:t xml:space="preserve">that the 29 day period </w:t>
      </w:r>
      <w:r w:rsidR="00F640A3">
        <w:rPr>
          <w:rFonts w:ascii="Arial" w:hAnsi="Arial" w:cs="Arial"/>
          <w:sz w:val="24"/>
          <w:szCs w:val="24"/>
        </w:rPr>
        <w:t>was</w:t>
      </w:r>
      <w:r w:rsidR="002F7141">
        <w:rPr>
          <w:rFonts w:ascii="Arial" w:hAnsi="Arial" w:cs="Arial"/>
          <w:sz w:val="24"/>
          <w:szCs w:val="24"/>
        </w:rPr>
        <w:t xml:space="preserve"> not sufficient is self-evident</w:t>
      </w:r>
      <w:r w:rsidR="00FA5280">
        <w:rPr>
          <w:rFonts w:ascii="Arial" w:hAnsi="Arial" w:cs="Arial"/>
          <w:sz w:val="24"/>
          <w:szCs w:val="24"/>
        </w:rPr>
        <w:t xml:space="preserve"> from the findin</w:t>
      </w:r>
      <w:r w:rsidR="00E76B1F">
        <w:rPr>
          <w:rFonts w:ascii="Arial" w:hAnsi="Arial" w:cs="Arial"/>
          <w:sz w:val="24"/>
          <w:szCs w:val="24"/>
        </w:rPr>
        <w:t>g and can be dealt with as such. The reasons for the other finding w</w:t>
      </w:r>
      <w:r w:rsidR="00AB33A9">
        <w:rPr>
          <w:rFonts w:ascii="Arial" w:hAnsi="Arial" w:cs="Arial"/>
          <w:sz w:val="24"/>
          <w:szCs w:val="24"/>
        </w:rPr>
        <w:t>ith</w:t>
      </w:r>
      <w:r w:rsidR="00E76B1F">
        <w:rPr>
          <w:rFonts w:ascii="Arial" w:hAnsi="Arial" w:cs="Arial"/>
          <w:sz w:val="24"/>
          <w:szCs w:val="24"/>
        </w:rPr>
        <w:t xml:space="preserve"> reference to s 52 of the Act </w:t>
      </w:r>
      <w:r w:rsidR="008A784D">
        <w:rPr>
          <w:rFonts w:ascii="Arial" w:hAnsi="Arial" w:cs="Arial"/>
          <w:sz w:val="24"/>
          <w:szCs w:val="24"/>
        </w:rPr>
        <w:t>remains a myst</w:t>
      </w:r>
      <w:r w:rsidR="000D0484">
        <w:rPr>
          <w:rFonts w:ascii="Arial" w:hAnsi="Arial" w:cs="Arial"/>
          <w:sz w:val="24"/>
          <w:szCs w:val="24"/>
        </w:rPr>
        <w:t>ery as the factual underpinnings for the conc</w:t>
      </w:r>
      <w:r w:rsidR="00F640A3">
        <w:rPr>
          <w:rFonts w:ascii="Arial" w:hAnsi="Arial" w:cs="Arial"/>
          <w:sz w:val="24"/>
          <w:szCs w:val="24"/>
        </w:rPr>
        <w:t>lusions reached in this regard w</w:t>
      </w:r>
      <w:r w:rsidR="00075ED0">
        <w:rPr>
          <w:rFonts w:ascii="Arial" w:hAnsi="Arial" w:cs="Arial"/>
          <w:sz w:val="24"/>
          <w:szCs w:val="24"/>
        </w:rPr>
        <w:t>ere</w:t>
      </w:r>
      <w:r w:rsidR="00F640A3">
        <w:rPr>
          <w:rFonts w:ascii="Arial" w:hAnsi="Arial" w:cs="Arial"/>
          <w:sz w:val="24"/>
          <w:szCs w:val="24"/>
        </w:rPr>
        <w:t xml:space="preserve"> not</w:t>
      </w:r>
      <w:r w:rsidR="000D0484">
        <w:rPr>
          <w:rFonts w:ascii="Arial" w:hAnsi="Arial" w:cs="Arial"/>
          <w:sz w:val="24"/>
          <w:szCs w:val="24"/>
        </w:rPr>
        <w:t xml:space="preserve"> disclosed by</w:t>
      </w:r>
      <w:r w:rsidR="008352FE">
        <w:rPr>
          <w:rFonts w:ascii="Arial" w:hAnsi="Arial" w:cs="Arial"/>
          <w:sz w:val="24"/>
          <w:szCs w:val="24"/>
        </w:rPr>
        <w:t xml:space="preserve"> the Review Panel.</w:t>
      </w:r>
    </w:p>
    <w:p w14:paraId="7B44D774" w14:textId="77777777" w:rsidR="008352FE" w:rsidRPr="00FE12BA" w:rsidRDefault="008352FE" w:rsidP="0041694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B0A71BB" w14:textId="77777777" w:rsidR="008352FE" w:rsidRPr="00C234BC" w:rsidRDefault="0085728E" w:rsidP="00C234BC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Parties to the review </w:t>
      </w:r>
      <w:r w:rsidR="00DD552C">
        <w:rPr>
          <w:rFonts w:ascii="Arial" w:hAnsi="Arial" w:cs="Arial"/>
          <w:sz w:val="24"/>
          <w:szCs w:val="24"/>
          <w:u w:val="single"/>
        </w:rPr>
        <w:t xml:space="preserve">of </w:t>
      </w:r>
      <w:r>
        <w:rPr>
          <w:rFonts w:ascii="Arial" w:hAnsi="Arial" w:cs="Arial"/>
          <w:sz w:val="24"/>
          <w:szCs w:val="24"/>
          <w:u w:val="single"/>
        </w:rPr>
        <w:t>PIS</w:t>
      </w:r>
    </w:p>
    <w:p w14:paraId="7AB9DEAF" w14:textId="6F8DA25C" w:rsidR="009F1D35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[13]</w:t>
      </w:r>
      <w:r>
        <w:rPr>
          <w:rFonts w:ascii="Arial" w:hAnsi="Arial" w:cs="Arial"/>
          <w:sz w:val="24"/>
          <w:szCs w:val="24"/>
        </w:rPr>
        <w:tab/>
      </w:r>
      <w:r w:rsidR="00E41C8B">
        <w:rPr>
          <w:rFonts w:ascii="Arial" w:hAnsi="Arial" w:cs="Arial"/>
          <w:sz w:val="24"/>
          <w:szCs w:val="24"/>
        </w:rPr>
        <w:t xml:space="preserve">In </w:t>
      </w:r>
      <w:r w:rsidR="00E35C1E">
        <w:rPr>
          <w:rFonts w:ascii="Arial" w:hAnsi="Arial" w:cs="Arial"/>
          <w:sz w:val="24"/>
          <w:szCs w:val="24"/>
        </w:rPr>
        <w:t xml:space="preserve">the </w:t>
      </w:r>
      <w:r w:rsidR="00E41C8B">
        <w:rPr>
          <w:rFonts w:ascii="Arial" w:hAnsi="Arial" w:cs="Arial"/>
          <w:sz w:val="24"/>
          <w:szCs w:val="24"/>
        </w:rPr>
        <w:t xml:space="preserve">application </w:t>
      </w:r>
      <w:r w:rsidR="00E35C1E">
        <w:rPr>
          <w:rFonts w:ascii="Arial" w:hAnsi="Arial" w:cs="Arial"/>
          <w:sz w:val="24"/>
          <w:szCs w:val="24"/>
        </w:rPr>
        <w:t xml:space="preserve">by PIS </w:t>
      </w:r>
      <w:r w:rsidR="00E41C8B">
        <w:rPr>
          <w:rFonts w:ascii="Arial" w:hAnsi="Arial" w:cs="Arial"/>
          <w:sz w:val="24"/>
          <w:szCs w:val="24"/>
        </w:rPr>
        <w:t>to review the decision of the Review Panel</w:t>
      </w:r>
      <w:r w:rsidR="00E22721">
        <w:rPr>
          <w:rFonts w:ascii="Arial" w:hAnsi="Arial" w:cs="Arial"/>
          <w:sz w:val="24"/>
          <w:szCs w:val="24"/>
        </w:rPr>
        <w:t>,</w:t>
      </w:r>
      <w:r w:rsidR="00E41C8B">
        <w:rPr>
          <w:rFonts w:ascii="Arial" w:hAnsi="Arial" w:cs="Arial"/>
          <w:sz w:val="24"/>
          <w:szCs w:val="24"/>
        </w:rPr>
        <w:t xml:space="preserve"> </w:t>
      </w:r>
      <w:r w:rsidR="00984055">
        <w:rPr>
          <w:rFonts w:ascii="Arial" w:hAnsi="Arial" w:cs="Arial"/>
          <w:sz w:val="24"/>
          <w:szCs w:val="24"/>
        </w:rPr>
        <w:t>the chair</w:t>
      </w:r>
      <w:r w:rsidR="00E22721">
        <w:rPr>
          <w:rFonts w:ascii="Arial" w:hAnsi="Arial" w:cs="Arial"/>
          <w:sz w:val="24"/>
          <w:szCs w:val="24"/>
        </w:rPr>
        <w:t>person</w:t>
      </w:r>
      <w:r w:rsidR="00984055">
        <w:rPr>
          <w:rFonts w:ascii="Arial" w:hAnsi="Arial" w:cs="Arial"/>
          <w:sz w:val="24"/>
          <w:szCs w:val="24"/>
        </w:rPr>
        <w:t xml:space="preserve"> </w:t>
      </w:r>
      <w:r w:rsidR="00AF53EA">
        <w:rPr>
          <w:rFonts w:ascii="Arial" w:hAnsi="Arial" w:cs="Arial"/>
          <w:sz w:val="24"/>
          <w:szCs w:val="24"/>
        </w:rPr>
        <w:t xml:space="preserve">of </w:t>
      </w:r>
      <w:r w:rsidR="00F640A3">
        <w:rPr>
          <w:rFonts w:ascii="Arial" w:hAnsi="Arial" w:cs="Arial"/>
          <w:sz w:val="24"/>
          <w:szCs w:val="24"/>
        </w:rPr>
        <w:t>the b</w:t>
      </w:r>
      <w:r w:rsidR="00984055">
        <w:rPr>
          <w:rFonts w:ascii="Arial" w:hAnsi="Arial" w:cs="Arial"/>
          <w:sz w:val="24"/>
          <w:szCs w:val="24"/>
        </w:rPr>
        <w:t>oard</w:t>
      </w:r>
      <w:r w:rsidR="00AF53EA">
        <w:rPr>
          <w:rFonts w:ascii="Arial" w:hAnsi="Arial" w:cs="Arial"/>
          <w:sz w:val="24"/>
          <w:szCs w:val="24"/>
        </w:rPr>
        <w:t xml:space="preserve"> was cited a</w:t>
      </w:r>
      <w:r w:rsidR="00F640A3">
        <w:rPr>
          <w:rFonts w:ascii="Arial" w:hAnsi="Arial" w:cs="Arial"/>
          <w:sz w:val="24"/>
          <w:szCs w:val="24"/>
        </w:rPr>
        <w:t>s the first respondent and the b</w:t>
      </w:r>
      <w:r w:rsidR="00AF53EA">
        <w:rPr>
          <w:rFonts w:ascii="Arial" w:hAnsi="Arial" w:cs="Arial"/>
          <w:sz w:val="24"/>
          <w:szCs w:val="24"/>
        </w:rPr>
        <w:t xml:space="preserve">oard </w:t>
      </w:r>
      <w:r w:rsidR="008F4AEF">
        <w:rPr>
          <w:rFonts w:ascii="Arial" w:hAnsi="Arial" w:cs="Arial"/>
          <w:sz w:val="24"/>
          <w:szCs w:val="24"/>
        </w:rPr>
        <w:t>as second respondent</w:t>
      </w:r>
      <w:r w:rsidR="006D1D7C">
        <w:rPr>
          <w:rFonts w:ascii="Arial" w:hAnsi="Arial" w:cs="Arial"/>
          <w:sz w:val="24"/>
          <w:szCs w:val="24"/>
        </w:rPr>
        <w:t>. Nothing was made of th</w:t>
      </w:r>
      <w:r w:rsidR="001C57DA">
        <w:rPr>
          <w:rFonts w:ascii="Arial" w:hAnsi="Arial" w:cs="Arial"/>
          <w:sz w:val="24"/>
          <w:szCs w:val="24"/>
        </w:rPr>
        <w:t xml:space="preserve">is </w:t>
      </w:r>
      <w:r w:rsidR="00934175">
        <w:rPr>
          <w:rFonts w:ascii="Arial" w:hAnsi="Arial" w:cs="Arial"/>
          <w:sz w:val="24"/>
          <w:szCs w:val="24"/>
        </w:rPr>
        <w:t xml:space="preserve">citing </w:t>
      </w:r>
      <w:r w:rsidR="001C57DA">
        <w:rPr>
          <w:rFonts w:ascii="Arial" w:hAnsi="Arial" w:cs="Arial"/>
          <w:sz w:val="24"/>
          <w:szCs w:val="24"/>
        </w:rPr>
        <w:t>of the respondents</w:t>
      </w:r>
      <w:r w:rsidR="00AC1742">
        <w:rPr>
          <w:rFonts w:ascii="Arial" w:hAnsi="Arial" w:cs="Arial"/>
          <w:sz w:val="24"/>
          <w:szCs w:val="24"/>
        </w:rPr>
        <w:t xml:space="preserve"> but as it has become common to do </w:t>
      </w:r>
      <w:r w:rsidR="00E22721">
        <w:rPr>
          <w:rFonts w:ascii="Arial" w:hAnsi="Arial" w:cs="Arial"/>
          <w:sz w:val="24"/>
          <w:szCs w:val="24"/>
        </w:rPr>
        <w:t xml:space="preserve">this and even extends to the citing of </w:t>
      </w:r>
      <w:r w:rsidR="00AC71F5">
        <w:rPr>
          <w:rFonts w:ascii="Arial" w:hAnsi="Arial" w:cs="Arial"/>
          <w:sz w:val="24"/>
          <w:szCs w:val="24"/>
        </w:rPr>
        <w:t>sub-committees</w:t>
      </w:r>
      <w:r w:rsidR="004820CE">
        <w:rPr>
          <w:rFonts w:ascii="Arial" w:hAnsi="Arial" w:cs="Arial"/>
          <w:sz w:val="24"/>
          <w:szCs w:val="24"/>
        </w:rPr>
        <w:t xml:space="preserve"> and </w:t>
      </w:r>
      <w:r w:rsidR="00E22721">
        <w:rPr>
          <w:rFonts w:ascii="Arial" w:hAnsi="Arial" w:cs="Arial"/>
          <w:sz w:val="24"/>
          <w:szCs w:val="24"/>
        </w:rPr>
        <w:t>their</w:t>
      </w:r>
      <w:r w:rsidR="004820CE">
        <w:rPr>
          <w:rFonts w:ascii="Arial" w:hAnsi="Arial" w:cs="Arial"/>
          <w:sz w:val="24"/>
          <w:szCs w:val="24"/>
        </w:rPr>
        <w:t xml:space="preserve"> </w:t>
      </w:r>
      <w:r w:rsidR="004820CE">
        <w:rPr>
          <w:rFonts w:ascii="Arial" w:hAnsi="Arial" w:cs="Arial"/>
          <w:sz w:val="24"/>
          <w:szCs w:val="24"/>
        </w:rPr>
        <w:lastRenderedPageBreak/>
        <w:t>chair</w:t>
      </w:r>
      <w:r w:rsidR="009D20EF">
        <w:rPr>
          <w:rFonts w:ascii="Arial" w:hAnsi="Arial" w:cs="Arial"/>
          <w:sz w:val="24"/>
          <w:szCs w:val="24"/>
        </w:rPr>
        <w:t>persons</w:t>
      </w:r>
      <w:r w:rsidR="00E22721">
        <w:rPr>
          <w:rFonts w:ascii="Arial" w:hAnsi="Arial" w:cs="Arial"/>
          <w:sz w:val="24"/>
          <w:szCs w:val="24"/>
        </w:rPr>
        <w:t>,</w:t>
      </w:r>
      <w:r w:rsidR="004820CE">
        <w:rPr>
          <w:rFonts w:ascii="Arial" w:hAnsi="Arial" w:cs="Arial"/>
          <w:sz w:val="24"/>
          <w:szCs w:val="24"/>
        </w:rPr>
        <w:t xml:space="preserve"> it is necessary that it should </w:t>
      </w:r>
      <w:r w:rsidR="00DD552C">
        <w:rPr>
          <w:rFonts w:ascii="Arial" w:hAnsi="Arial" w:cs="Arial"/>
          <w:sz w:val="24"/>
          <w:szCs w:val="24"/>
        </w:rPr>
        <w:t xml:space="preserve">be restated </w:t>
      </w:r>
      <w:r w:rsidR="00E22721">
        <w:rPr>
          <w:rFonts w:ascii="Arial" w:hAnsi="Arial" w:cs="Arial"/>
          <w:sz w:val="24"/>
          <w:szCs w:val="24"/>
        </w:rPr>
        <w:t xml:space="preserve">that </w:t>
      </w:r>
      <w:r w:rsidR="00DD552C">
        <w:rPr>
          <w:rFonts w:ascii="Arial" w:hAnsi="Arial" w:cs="Arial"/>
          <w:sz w:val="24"/>
          <w:szCs w:val="24"/>
        </w:rPr>
        <w:t>th</w:t>
      </w:r>
      <w:r w:rsidR="00055327">
        <w:rPr>
          <w:rFonts w:ascii="Arial" w:hAnsi="Arial" w:cs="Arial"/>
          <w:sz w:val="24"/>
          <w:szCs w:val="24"/>
        </w:rPr>
        <w:t xml:space="preserve">is </w:t>
      </w:r>
      <w:r w:rsidR="00DD552C">
        <w:rPr>
          <w:rFonts w:ascii="Arial" w:hAnsi="Arial" w:cs="Arial"/>
          <w:sz w:val="24"/>
          <w:szCs w:val="24"/>
        </w:rPr>
        <w:t>is not</w:t>
      </w:r>
      <w:r w:rsidR="00055327">
        <w:rPr>
          <w:rFonts w:ascii="Arial" w:hAnsi="Arial" w:cs="Arial"/>
          <w:sz w:val="24"/>
          <w:szCs w:val="24"/>
        </w:rPr>
        <w:t xml:space="preserve"> correct and amounts to a misjoinder</w:t>
      </w:r>
      <w:r w:rsidR="009F1D35">
        <w:rPr>
          <w:rFonts w:ascii="Arial" w:hAnsi="Arial" w:cs="Arial"/>
          <w:sz w:val="24"/>
          <w:szCs w:val="24"/>
        </w:rPr>
        <w:t>.</w:t>
      </w:r>
    </w:p>
    <w:p w14:paraId="47A0D1EA" w14:textId="77777777" w:rsidR="001B379E" w:rsidRPr="008622A9" w:rsidRDefault="001B379E" w:rsidP="001B379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FA1DF09" w14:textId="40A75C53" w:rsidR="00976715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</w:r>
      <w:r w:rsidR="00976715">
        <w:rPr>
          <w:rFonts w:ascii="Arial" w:hAnsi="Arial" w:cs="Arial"/>
          <w:sz w:val="24"/>
          <w:szCs w:val="24"/>
        </w:rPr>
        <w:t xml:space="preserve">Rule 76(1) of the High Court </w:t>
      </w:r>
      <w:r w:rsidR="008821E2">
        <w:rPr>
          <w:rFonts w:ascii="Arial" w:hAnsi="Arial" w:cs="Arial"/>
          <w:sz w:val="24"/>
          <w:szCs w:val="24"/>
        </w:rPr>
        <w:t xml:space="preserve">makes it clear </w:t>
      </w:r>
      <w:r w:rsidR="00AE0589">
        <w:rPr>
          <w:rFonts w:ascii="Arial" w:hAnsi="Arial" w:cs="Arial"/>
          <w:sz w:val="24"/>
          <w:szCs w:val="24"/>
        </w:rPr>
        <w:t xml:space="preserve">that </w:t>
      </w:r>
      <w:r w:rsidR="008821E2">
        <w:rPr>
          <w:rFonts w:ascii="Arial" w:hAnsi="Arial" w:cs="Arial"/>
          <w:sz w:val="24"/>
          <w:szCs w:val="24"/>
        </w:rPr>
        <w:t xml:space="preserve">when it comes to </w:t>
      </w:r>
      <w:r w:rsidR="00AE0589">
        <w:rPr>
          <w:rFonts w:ascii="Arial" w:hAnsi="Arial" w:cs="Arial"/>
          <w:sz w:val="24"/>
          <w:szCs w:val="24"/>
        </w:rPr>
        <w:t>reviews</w:t>
      </w:r>
      <w:r w:rsidR="00F640A3">
        <w:rPr>
          <w:rFonts w:ascii="Arial" w:hAnsi="Arial" w:cs="Arial"/>
          <w:sz w:val="24"/>
          <w:szCs w:val="24"/>
        </w:rPr>
        <w:t>,</w:t>
      </w:r>
      <w:r w:rsidR="00AE0589">
        <w:rPr>
          <w:rFonts w:ascii="Arial" w:hAnsi="Arial" w:cs="Arial"/>
          <w:sz w:val="24"/>
          <w:szCs w:val="24"/>
        </w:rPr>
        <w:t xml:space="preserve"> such applications must be directed </w:t>
      </w:r>
      <w:r w:rsidR="00E130DF">
        <w:rPr>
          <w:rFonts w:ascii="Arial" w:hAnsi="Arial" w:cs="Arial"/>
          <w:sz w:val="24"/>
          <w:szCs w:val="24"/>
        </w:rPr>
        <w:t xml:space="preserve">at the ‘chairperson of the </w:t>
      </w:r>
      <w:r w:rsidR="009D20EF">
        <w:rPr>
          <w:rFonts w:ascii="Arial" w:hAnsi="Arial" w:cs="Arial"/>
          <w:sz w:val="24"/>
          <w:szCs w:val="24"/>
        </w:rPr>
        <w:t>t</w:t>
      </w:r>
      <w:r w:rsidR="00E130DF">
        <w:rPr>
          <w:rFonts w:ascii="Arial" w:hAnsi="Arial" w:cs="Arial"/>
          <w:sz w:val="24"/>
          <w:szCs w:val="24"/>
        </w:rPr>
        <w:t>ribunal</w:t>
      </w:r>
      <w:r w:rsidR="00EC4994">
        <w:rPr>
          <w:rFonts w:ascii="Arial" w:hAnsi="Arial" w:cs="Arial"/>
          <w:sz w:val="24"/>
          <w:szCs w:val="24"/>
        </w:rPr>
        <w:t>’ whose decision is</w:t>
      </w:r>
      <w:r w:rsidR="00E22721">
        <w:rPr>
          <w:rFonts w:ascii="Arial" w:hAnsi="Arial" w:cs="Arial"/>
          <w:sz w:val="24"/>
          <w:szCs w:val="24"/>
        </w:rPr>
        <w:t xml:space="preserve"> sought</w:t>
      </w:r>
      <w:r w:rsidR="00EC4994">
        <w:rPr>
          <w:rFonts w:ascii="Arial" w:hAnsi="Arial" w:cs="Arial"/>
          <w:sz w:val="24"/>
          <w:szCs w:val="24"/>
        </w:rPr>
        <w:t xml:space="preserve"> to be set aside</w:t>
      </w:r>
      <w:r w:rsidR="00F640A3">
        <w:rPr>
          <w:rFonts w:ascii="Arial" w:hAnsi="Arial" w:cs="Arial"/>
          <w:sz w:val="24"/>
          <w:szCs w:val="24"/>
        </w:rPr>
        <w:t xml:space="preserve">. </w:t>
      </w:r>
      <w:r w:rsidR="008F3FD0">
        <w:rPr>
          <w:rFonts w:ascii="Arial" w:hAnsi="Arial" w:cs="Arial"/>
          <w:sz w:val="24"/>
          <w:szCs w:val="24"/>
        </w:rPr>
        <w:t xml:space="preserve">To cite the chairperson in </w:t>
      </w:r>
      <w:r w:rsidR="009D20EF">
        <w:rPr>
          <w:rFonts w:ascii="Arial" w:hAnsi="Arial" w:cs="Arial"/>
          <w:sz w:val="24"/>
          <w:szCs w:val="24"/>
        </w:rPr>
        <w:t xml:space="preserve">his or her </w:t>
      </w:r>
      <w:r w:rsidR="008F3FD0">
        <w:rPr>
          <w:rFonts w:ascii="Arial" w:hAnsi="Arial" w:cs="Arial"/>
          <w:sz w:val="24"/>
          <w:szCs w:val="24"/>
        </w:rPr>
        <w:t>official capacity as such is sufficient as he or she is the representative of the Tribunal</w:t>
      </w:r>
      <w:r w:rsidR="001B1F92">
        <w:rPr>
          <w:rFonts w:ascii="Arial" w:hAnsi="Arial" w:cs="Arial"/>
          <w:sz w:val="24"/>
          <w:szCs w:val="24"/>
        </w:rPr>
        <w:t xml:space="preserve">. The separate citation of </w:t>
      </w:r>
      <w:r w:rsidR="00F30C95">
        <w:rPr>
          <w:rFonts w:ascii="Arial" w:hAnsi="Arial" w:cs="Arial"/>
          <w:sz w:val="24"/>
          <w:szCs w:val="24"/>
        </w:rPr>
        <w:t>the Tribunal is not necessar</w:t>
      </w:r>
      <w:r w:rsidR="00F640A3">
        <w:rPr>
          <w:rFonts w:ascii="Arial" w:hAnsi="Arial" w:cs="Arial"/>
          <w:sz w:val="24"/>
          <w:szCs w:val="24"/>
        </w:rPr>
        <w:t>y. This ha</w:t>
      </w:r>
      <w:r w:rsidR="00F30C95">
        <w:rPr>
          <w:rFonts w:ascii="Arial" w:hAnsi="Arial" w:cs="Arial"/>
          <w:sz w:val="24"/>
          <w:szCs w:val="24"/>
        </w:rPr>
        <w:t xml:space="preserve">s been </w:t>
      </w:r>
      <w:r w:rsidR="00191268">
        <w:rPr>
          <w:rFonts w:ascii="Arial" w:hAnsi="Arial" w:cs="Arial"/>
          <w:sz w:val="24"/>
          <w:szCs w:val="24"/>
        </w:rPr>
        <w:t>the position for decades</w:t>
      </w:r>
      <w:r w:rsidR="00191268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1769E2">
        <w:rPr>
          <w:rFonts w:ascii="Arial" w:hAnsi="Arial" w:cs="Arial"/>
          <w:sz w:val="24"/>
          <w:szCs w:val="24"/>
        </w:rPr>
        <w:t>.</w:t>
      </w:r>
    </w:p>
    <w:p w14:paraId="7FF66516" w14:textId="77777777" w:rsidR="001769E2" w:rsidRPr="00FE12BA" w:rsidRDefault="001769E2" w:rsidP="00E2272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A90F0E8" w14:textId="3E6EEDD8" w:rsidR="001769E2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[15]</w:t>
      </w:r>
      <w:r>
        <w:rPr>
          <w:rFonts w:ascii="Arial" w:hAnsi="Arial" w:cs="Arial"/>
          <w:sz w:val="24"/>
          <w:szCs w:val="24"/>
        </w:rPr>
        <w:tab/>
      </w:r>
      <w:r w:rsidR="00B86B7A">
        <w:rPr>
          <w:rFonts w:ascii="Arial" w:hAnsi="Arial" w:cs="Arial"/>
          <w:sz w:val="24"/>
          <w:szCs w:val="24"/>
        </w:rPr>
        <w:t>In a review application</w:t>
      </w:r>
      <w:r w:rsidR="003267BA">
        <w:rPr>
          <w:rFonts w:ascii="Arial" w:hAnsi="Arial" w:cs="Arial"/>
          <w:sz w:val="24"/>
          <w:szCs w:val="24"/>
        </w:rPr>
        <w:t>,</w:t>
      </w:r>
      <w:r w:rsidR="00B86B7A">
        <w:rPr>
          <w:rFonts w:ascii="Arial" w:hAnsi="Arial" w:cs="Arial"/>
          <w:sz w:val="24"/>
          <w:szCs w:val="24"/>
        </w:rPr>
        <w:t xml:space="preserve"> the </w:t>
      </w:r>
      <w:r w:rsidR="00AF1678">
        <w:rPr>
          <w:rFonts w:ascii="Arial" w:hAnsi="Arial" w:cs="Arial"/>
          <w:sz w:val="24"/>
          <w:szCs w:val="24"/>
        </w:rPr>
        <w:t xml:space="preserve">Notice of Motion is thus directed at the chairperson of the </w:t>
      </w:r>
      <w:r w:rsidR="003A566B">
        <w:rPr>
          <w:rFonts w:ascii="Arial" w:hAnsi="Arial" w:cs="Arial"/>
          <w:sz w:val="24"/>
          <w:szCs w:val="24"/>
        </w:rPr>
        <w:t>t</w:t>
      </w:r>
      <w:r w:rsidR="00AF1678">
        <w:rPr>
          <w:rFonts w:ascii="Arial" w:hAnsi="Arial" w:cs="Arial"/>
          <w:sz w:val="24"/>
          <w:szCs w:val="24"/>
        </w:rPr>
        <w:t xml:space="preserve">ribunal (the </w:t>
      </w:r>
      <w:r w:rsidR="00F640A3">
        <w:rPr>
          <w:rFonts w:ascii="Arial" w:hAnsi="Arial" w:cs="Arial"/>
          <w:sz w:val="24"/>
          <w:szCs w:val="24"/>
        </w:rPr>
        <w:t>b</w:t>
      </w:r>
      <w:r w:rsidR="00AF1678">
        <w:rPr>
          <w:rFonts w:ascii="Arial" w:hAnsi="Arial" w:cs="Arial"/>
          <w:sz w:val="24"/>
          <w:szCs w:val="24"/>
        </w:rPr>
        <w:t xml:space="preserve">oard) </w:t>
      </w:r>
      <w:r w:rsidR="00792C53">
        <w:rPr>
          <w:rFonts w:ascii="Arial" w:hAnsi="Arial" w:cs="Arial"/>
          <w:sz w:val="24"/>
          <w:szCs w:val="24"/>
        </w:rPr>
        <w:t xml:space="preserve">in his </w:t>
      </w:r>
      <w:r w:rsidR="004D7625">
        <w:rPr>
          <w:rFonts w:ascii="Arial" w:hAnsi="Arial" w:cs="Arial"/>
          <w:sz w:val="24"/>
          <w:szCs w:val="24"/>
        </w:rPr>
        <w:t xml:space="preserve">or her </w:t>
      </w:r>
      <w:r w:rsidR="00792C53">
        <w:rPr>
          <w:rFonts w:ascii="Arial" w:hAnsi="Arial" w:cs="Arial"/>
          <w:sz w:val="24"/>
          <w:szCs w:val="24"/>
        </w:rPr>
        <w:t>representative capacity for an</w:t>
      </w:r>
      <w:r w:rsidR="003267BA">
        <w:rPr>
          <w:rFonts w:ascii="Arial" w:hAnsi="Arial" w:cs="Arial"/>
          <w:sz w:val="24"/>
          <w:szCs w:val="24"/>
        </w:rPr>
        <w:t>d</w:t>
      </w:r>
      <w:r w:rsidR="00792C53">
        <w:rPr>
          <w:rFonts w:ascii="Arial" w:hAnsi="Arial" w:cs="Arial"/>
          <w:sz w:val="24"/>
          <w:szCs w:val="24"/>
        </w:rPr>
        <w:t xml:space="preserve"> on behalf of the </w:t>
      </w:r>
      <w:r w:rsidR="003A566B">
        <w:rPr>
          <w:rFonts w:ascii="Arial" w:hAnsi="Arial" w:cs="Arial"/>
          <w:sz w:val="24"/>
          <w:szCs w:val="24"/>
        </w:rPr>
        <w:t>t</w:t>
      </w:r>
      <w:r w:rsidR="00792C53">
        <w:rPr>
          <w:rFonts w:ascii="Arial" w:hAnsi="Arial" w:cs="Arial"/>
          <w:sz w:val="24"/>
          <w:szCs w:val="24"/>
        </w:rPr>
        <w:t xml:space="preserve">ribunal </w:t>
      </w:r>
      <w:r w:rsidR="0092226A">
        <w:rPr>
          <w:rFonts w:ascii="Arial" w:hAnsi="Arial" w:cs="Arial"/>
          <w:sz w:val="24"/>
          <w:szCs w:val="24"/>
        </w:rPr>
        <w:t xml:space="preserve">and the citation of the </w:t>
      </w:r>
      <w:r w:rsidR="003A566B">
        <w:rPr>
          <w:rFonts w:ascii="Arial" w:hAnsi="Arial" w:cs="Arial"/>
          <w:sz w:val="24"/>
          <w:szCs w:val="24"/>
        </w:rPr>
        <w:t>t</w:t>
      </w:r>
      <w:r w:rsidR="0092226A">
        <w:rPr>
          <w:rFonts w:ascii="Arial" w:hAnsi="Arial" w:cs="Arial"/>
          <w:sz w:val="24"/>
          <w:szCs w:val="24"/>
        </w:rPr>
        <w:t xml:space="preserve">ribunal (the </w:t>
      </w:r>
      <w:r w:rsidR="00F640A3">
        <w:rPr>
          <w:rFonts w:ascii="Arial" w:hAnsi="Arial" w:cs="Arial"/>
          <w:sz w:val="24"/>
          <w:szCs w:val="24"/>
        </w:rPr>
        <w:t>b</w:t>
      </w:r>
      <w:r w:rsidR="0092226A">
        <w:rPr>
          <w:rFonts w:ascii="Arial" w:hAnsi="Arial" w:cs="Arial"/>
          <w:sz w:val="24"/>
          <w:szCs w:val="24"/>
        </w:rPr>
        <w:t xml:space="preserve">oard) as a separate </w:t>
      </w:r>
      <w:r w:rsidR="0036731B">
        <w:rPr>
          <w:rFonts w:ascii="Arial" w:hAnsi="Arial" w:cs="Arial"/>
          <w:sz w:val="24"/>
          <w:szCs w:val="24"/>
        </w:rPr>
        <w:t xml:space="preserve">party is not necessary. </w:t>
      </w:r>
      <w:r w:rsidR="00F524D4">
        <w:rPr>
          <w:rFonts w:ascii="Arial" w:hAnsi="Arial" w:cs="Arial"/>
          <w:sz w:val="24"/>
          <w:szCs w:val="24"/>
        </w:rPr>
        <w:t xml:space="preserve">An </w:t>
      </w:r>
      <w:r w:rsidR="0076367D">
        <w:rPr>
          <w:rFonts w:ascii="Arial" w:hAnsi="Arial" w:cs="Arial"/>
          <w:sz w:val="24"/>
          <w:szCs w:val="24"/>
        </w:rPr>
        <w:t>applicant who cite</w:t>
      </w:r>
      <w:r w:rsidR="009C59B1">
        <w:rPr>
          <w:rFonts w:ascii="Arial" w:hAnsi="Arial" w:cs="Arial"/>
          <w:sz w:val="24"/>
          <w:szCs w:val="24"/>
        </w:rPr>
        <w:t>s</w:t>
      </w:r>
      <w:r w:rsidR="0076367D">
        <w:rPr>
          <w:rFonts w:ascii="Arial" w:hAnsi="Arial" w:cs="Arial"/>
          <w:sz w:val="24"/>
          <w:szCs w:val="24"/>
        </w:rPr>
        <w:t xml:space="preserve"> both the chairperson </w:t>
      </w:r>
      <w:r w:rsidR="009C59B1">
        <w:rPr>
          <w:rFonts w:ascii="Arial" w:hAnsi="Arial" w:cs="Arial"/>
          <w:sz w:val="24"/>
          <w:szCs w:val="24"/>
        </w:rPr>
        <w:t>in his</w:t>
      </w:r>
      <w:r w:rsidR="003A566B">
        <w:rPr>
          <w:rFonts w:ascii="Arial" w:hAnsi="Arial" w:cs="Arial"/>
          <w:sz w:val="24"/>
          <w:szCs w:val="24"/>
        </w:rPr>
        <w:t xml:space="preserve"> or her</w:t>
      </w:r>
      <w:r w:rsidR="009C59B1">
        <w:rPr>
          <w:rFonts w:ascii="Arial" w:hAnsi="Arial" w:cs="Arial"/>
          <w:sz w:val="24"/>
          <w:szCs w:val="24"/>
        </w:rPr>
        <w:t xml:space="preserve"> representative capacity and the </w:t>
      </w:r>
      <w:r w:rsidR="003A566B">
        <w:rPr>
          <w:rFonts w:ascii="Arial" w:hAnsi="Arial" w:cs="Arial"/>
          <w:sz w:val="24"/>
          <w:szCs w:val="24"/>
        </w:rPr>
        <w:t>t</w:t>
      </w:r>
      <w:r w:rsidR="009C59B1">
        <w:rPr>
          <w:rFonts w:ascii="Arial" w:hAnsi="Arial" w:cs="Arial"/>
          <w:sz w:val="24"/>
          <w:szCs w:val="24"/>
        </w:rPr>
        <w:t xml:space="preserve">ribunal (the </w:t>
      </w:r>
      <w:r w:rsidR="00F640A3">
        <w:rPr>
          <w:rFonts w:ascii="Arial" w:hAnsi="Arial" w:cs="Arial"/>
          <w:sz w:val="24"/>
          <w:szCs w:val="24"/>
        </w:rPr>
        <w:t>b</w:t>
      </w:r>
      <w:r w:rsidR="009C59B1">
        <w:rPr>
          <w:rFonts w:ascii="Arial" w:hAnsi="Arial" w:cs="Arial"/>
          <w:sz w:val="24"/>
          <w:szCs w:val="24"/>
        </w:rPr>
        <w:t xml:space="preserve">oard) should thus be held liable for any </w:t>
      </w:r>
      <w:r w:rsidR="00C415DF">
        <w:rPr>
          <w:rFonts w:ascii="Arial" w:hAnsi="Arial" w:cs="Arial"/>
          <w:sz w:val="24"/>
          <w:szCs w:val="24"/>
        </w:rPr>
        <w:t>wasted cost</w:t>
      </w:r>
      <w:r w:rsidR="00E22721">
        <w:rPr>
          <w:rFonts w:ascii="Arial" w:hAnsi="Arial" w:cs="Arial"/>
          <w:sz w:val="24"/>
          <w:szCs w:val="24"/>
        </w:rPr>
        <w:t>s</w:t>
      </w:r>
      <w:r w:rsidR="00C415DF">
        <w:rPr>
          <w:rFonts w:ascii="Arial" w:hAnsi="Arial" w:cs="Arial"/>
          <w:sz w:val="24"/>
          <w:szCs w:val="24"/>
        </w:rPr>
        <w:t xml:space="preserve"> of this double citation</w:t>
      </w:r>
      <w:r w:rsidR="00C415DF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FA3E43">
        <w:rPr>
          <w:rFonts w:ascii="Arial" w:hAnsi="Arial" w:cs="Arial"/>
          <w:sz w:val="24"/>
          <w:szCs w:val="24"/>
        </w:rPr>
        <w:t>.</w:t>
      </w:r>
    </w:p>
    <w:p w14:paraId="1576CE20" w14:textId="77777777" w:rsidR="00FA3E43" w:rsidRPr="00FE12BA" w:rsidRDefault="00FA3E43" w:rsidP="00E2272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9CE4CF0" w14:textId="19F3F0F0" w:rsidR="00DC5007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[16]</w:t>
      </w:r>
      <w:r>
        <w:rPr>
          <w:rFonts w:ascii="Arial" w:hAnsi="Arial" w:cs="Arial"/>
          <w:sz w:val="24"/>
          <w:szCs w:val="24"/>
        </w:rPr>
        <w:tab/>
      </w:r>
      <w:r w:rsidR="00FA3E43">
        <w:rPr>
          <w:rFonts w:ascii="Arial" w:hAnsi="Arial" w:cs="Arial"/>
          <w:sz w:val="24"/>
          <w:szCs w:val="24"/>
        </w:rPr>
        <w:t xml:space="preserve">As the issue was not raised </w:t>
      </w:r>
      <w:r w:rsidR="004A1AFF">
        <w:rPr>
          <w:rFonts w:ascii="Arial" w:hAnsi="Arial" w:cs="Arial"/>
          <w:sz w:val="24"/>
          <w:szCs w:val="24"/>
        </w:rPr>
        <w:t xml:space="preserve">in this </w:t>
      </w:r>
      <w:proofErr w:type="gramStart"/>
      <w:r w:rsidR="004A1AFF">
        <w:rPr>
          <w:rFonts w:ascii="Arial" w:hAnsi="Arial" w:cs="Arial"/>
          <w:sz w:val="24"/>
          <w:szCs w:val="24"/>
        </w:rPr>
        <w:t>matter</w:t>
      </w:r>
      <w:proofErr w:type="gramEnd"/>
      <w:r w:rsidR="004A1AFF">
        <w:rPr>
          <w:rFonts w:ascii="Arial" w:hAnsi="Arial" w:cs="Arial"/>
          <w:sz w:val="24"/>
          <w:szCs w:val="24"/>
        </w:rPr>
        <w:t xml:space="preserve"> </w:t>
      </w:r>
      <w:r w:rsidR="00BE1C47">
        <w:rPr>
          <w:rFonts w:ascii="Arial" w:hAnsi="Arial" w:cs="Arial"/>
          <w:sz w:val="24"/>
          <w:szCs w:val="24"/>
        </w:rPr>
        <w:t>I take it no further sa</w:t>
      </w:r>
      <w:r w:rsidR="00C333C2">
        <w:rPr>
          <w:rFonts w:ascii="Arial" w:hAnsi="Arial" w:cs="Arial"/>
          <w:sz w:val="24"/>
          <w:szCs w:val="24"/>
        </w:rPr>
        <w:t>v</w:t>
      </w:r>
      <w:r w:rsidR="00BE1C47">
        <w:rPr>
          <w:rFonts w:ascii="Arial" w:hAnsi="Arial" w:cs="Arial"/>
          <w:sz w:val="24"/>
          <w:szCs w:val="24"/>
        </w:rPr>
        <w:t xml:space="preserve">e to state </w:t>
      </w:r>
      <w:r w:rsidR="00C333C2">
        <w:rPr>
          <w:rFonts w:ascii="Arial" w:hAnsi="Arial" w:cs="Arial"/>
          <w:sz w:val="24"/>
          <w:szCs w:val="24"/>
        </w:rPr>
        <w:t xml:space="preserve">that </w:t>
      </w:r>
      <w:r w:rsidR="00FA6897">
        <w:rPr>
          <w:rFonts w:ascii="Arial" w:hAnsi="Arial" w:cs="Arial"/>
          <w:sz w:val="24"/>
          <w:szCs w:val="24"/>
        </w:rPr>
        <w:t xml:space="preserve">I hope courts will in future not </w:t>
      </w:r>
      <w:r w:rsidR="006C1ABD">
        <w:rPr>
          <w:rFonts w:ascii="Arial" w:hAnsi="Arial" w:cs="Arial"/>
          <w:sz w:val="24"/>
          <w:szCs w:val="24"/>
        </w:rPr>
        <w:t>simply tolerate</w:t>
      </w:r>
      <w:r w:rsidR="0037211B">
        <w:rPr>
          <w:rFonts w:ascii="Arial" w:hAnsi="Arial" w:cs="Arial"/>
          <w:sz w:val="24"/>
          <w:szCs w:val="24"/>
        </w:rPr>
        <w:t xml:space="preserve"> these types of </w:t>
      </w:r>
      <w:r w:rsidR="000363B7">
        <w:rPr>
          <w:rFonts w:ascii="Arial" w:hAnsi="Arial" w:cs="Arial"/>
          <w:sz w:val="24"/>
          <w:szCs w:val="24"/>
        </w:rPr>
        <w:t>mis</w:t>
      </w:r>
      <w:r w:rsidR="0037211B">
        <w:rPr>
          <w:rFonts w:ascii="Arial" w:hAnsi="Arial" w:cs="Arial"/>
          <w:sz w:val="24"/>
          <w:szCs w:val="24"/>
        </w:rPr>
        <w:t xml:space="preserve">joinder but grant </w:t>
      </w:r>
      <w:r w:rsidR="000E5574">
        <w:rPr>
          <w:rFonts w:ascii="Arial" w:hAnsi="Arial" w:cs="Arial"/>
          <w:sz w:val="24"/>
          <w:szCs w:val="24"/>
        </w:rPr>
        <w:t xml:space="preserve">the adverse </w:t>
      </w:r>
      <w:r w:rsidR="001F0371">
        <w:rPr>
          <w:rFonts w:ascii="Arial" w:hAnsi="Arial" w:cs="Arial"/>
          <w:sz w:val="24"/>
          <w:szCs w:val="24"/>
        </w:rPr>
        <w:t>costs order</w:t>
      </w:r>
      <w:r w:rsidR="00E22721">
        <w:rPr>
          <w:rFonts w:ascii="Arial" w:hAnsi="Arial" w:cs="Arial"/>
          <w:sz w:val="24"/>
          <w:szCs w:val="24"/>
        </w:rPr>
        <w:t>s</w:t>
      </w:r>
      <w:r w:rsidR="001F0371">
        <w:rPr>
          <w:rFonts w:ascii="Arial" w:hAnsi="Arial" w:cs="Arial"/>
          <w:sz w:val="24"/>
          <w:szCs w:val="24"/>
        </w:rPr>
        <w:t xml:space="preserve"> mentioned above whenever </w:t>
      </w:r>
      <w:r w:rsidR="000E5574">
        <w:rPr>
          <w:rFonts w:ascii="Arial" w:hAnsi="Arial" w:cs="Arial"/>
          <w:sz w:val="24"/>
          <w:szCs w:val="24"/>
        </w:rPr>
        <w:t xml:space="preserve">a party is guilty of </w:t>
      </w:r>
      <w:r w:rsidR="00DC5007">
        <w:rPr>
          <w:rFonts w:ascii="Arial" w:hAnsi="Arial" w:cs="Arial"/>
          <w:sz w:val="24"/>
          <w:szCs w:val="24"/>
        </w:rPr>
        <w:t>double citation.</w:t>
      </w:r>
    </w:p>
    <w:p w14:paraId="4A6A4637" w14:textId="77777777" w:rsidR="008622A9" w:rsidRDefault="008622A9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A147A34" w14:textId="77777777" w:rsidR="001B379E" w:rsidRPr="00FE12BA" w:rsidRDefault="001B379E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EA10F02" w14:textId="77777777" w:rsidR="00FA3E43" w:rsidRDefault="00DC5007" w:rsidP="00DC5007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Mootness of the appeal</w:t>
      </w:r>
      <w:r w:rsidR="006C1ABD">
        <w:rPr>
          <w:rFonts w:ascii="Arial" w:hAnsi="Arial" w:cs="Arial"/>
          <w:sz w:val="24"/>
          <w:szCs w:val="24"/>
        </w:rPr>
        <w:t xml:space="preserve"> </w:t>
      </w:r>
    </w:p>
    <w:p w14:paraId="73C98BB3" w14:textId="28FD56B4" w:rsidR="009C0FED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[17]</w:t>
      </w:r>
      <w:r>
        <w:rPr>
          <w:rFonts w:ascii="Arial" w:hAnsi="Arial" w:cs="Arial"/>
          <w:sz w:val="24"/>
          <w:szCs w:val="24"/>
        </w:rPr>
        <w:tab/>
      </w:r>
      <w:r w:rsidR="00893F3C">
        <w:rPr>
          <w:rFonts w:ascii="Arial" w:hAnsi="Arial" w:cs="Arial"/>
          <w:sz w:val="24"/>
          <w:szCs w:val="24"/>
        </w:rPr>
        <w:t xml:space="preserve">One of the disputes between the parties </w:t>
      </w:r>
      <w:r w:rsidR="001D7ADD">
        <w:rPr>
          <w:rFonts w:ascii="Arial" w:hAnsi="Arial" w:cs="Arial"/>
          <w:sz w:val="24"/>
          <w:szCs w:val="24"/>
        </w:rPr>
        <w:t xml:space="preserve">involves </w:t>
      </w:r>
      <w:r w:rsidR="00993F1B">
        <w:rPr>
          <w:rFonts w:ascii="Arial" w:hAnsi="Arial" w:cs="Arial"/>
          <w:sz w:val="24"/>
          <w:szCs w:val="24"/>
        </w:rPr>
        <w:t xml:space="preserve">the interpretation </w:t>
      </w:r>
      <w:r w:rsidR="00AB5431">
        <w:rPr>
          <w:rFonts w:ascii="Arial" w:hAnsi="Arial" w:cs="Arial"/>
          <w:sz w:val="24"/>
          <w:szCs w:val="24"/>
        </w:rPr>
        <w:t xml:space="preserve">of </w:t>
      </w:r>
      <w:r w:rsidR="003267BA">
        <w:rPr>
          <w:rFonts w:ascii="Arial" w:hAnsi="Arial" w:cs="Arial"/>
          <w:sz w:val="24"/>
          <w:szCs w:val="24"/>
        </w:rPr>
        <w:t>s 60</w:t>
      </w:r>
      <w:r w:rsidR="00541B26">
        <w:rPr>
          <w:rFonts w:ascii="Arial" w:hAnsi="Arial" w:cs="Arial"/>
          <w:sz w:val="24"/>
          <w:szCs w:val="24"/>
        </w:rPr>
        <w:t xml:space="preserve">(c) </w:t>
      </w:r>
      <w:r w:rsidR="00AB5431">
        <w:rPr>
          <w:rFonts w:ascii="Arial" w:hAnsi="Arial" w:cs="Arial"/>
          <w:sz w:val="24"/>
          <w:szCs w:val="24"/>
        </w:rPr>
        <w:t xml:space="preserve">of the Act </w:t>
      </w:r>
      <w:r w:rsidR="00541B26">
        <w:rPr>
          <w:rFonts w:ascii="Arial" w:hAnsi="Arial" w:cs="Arial"/>
          <w:sz w:val="24"/>
          <w:szCs w:val="24"/>
        </w:rPr>
        <w:t xml:space="preserve">which </w:t>
      </w:r>
      <w:r w:rsidR="001A7F41">
        <w:rPr>
          <w:rFonts w:ascii="Arial" w:hAnsi="Arial" w:cs="Arial"/>
          <w:sz w:val="24"/>
          <w:szCs w:val="24"/>
        </w:rPr>
        <w:t xml:space="preserve">is problematic and </w:t>
      </w:r>
      <w:r w:rsidR="00541B26">
        <w:rPr>
          <w:rFonts w:ascii="Arial" w:hAnsi="Arial" w:cs="Arial"/>
          <w:sz w:val="24"/>
          <w:szCs w:val="24"/>
        </w:rPr>
        <w:t xml:space="preserve">may be </w:t>
      </w:r>
      <w:r w:rsidR="001A7F41">
        <w:rPr>
          <w:rFonts w:ascii="Arial" w:hAnsi="Arial" w:cs="Arial"/>
          <w:sz w:val="24"/>
          <w:szCs w:val="24"/>
        </w:rPr>
        <w:t xml:space="preserve">material to the resolution of the dispute between the parties </w:t>
      </w:r>
      <w:r w:rsidR="009C0FED">
        <w:rPr>
          <w:rFonts w:ascii="Arial" w:hAnsi="Arial" w:cs="Arial"/>
          <w:sz w:val="24"/>
          <w:szCs w:val="24"/>
        </w:rPr>
        <w:t>to this appeal.</w:t>
      </w:r>
      <w:r w:rsidR="005E46C7">
        <w:rPr>
          <w:rFonts w:ascii="Arial" w:hAnsi="Arial" w:cs="Arial"/>
          <w:sz w:val="24"/>
          <w:szCs w:val="24"/>
        </w:rPr>
        <w:t xml:space="preserve"> As it was</w:t>
      </w:r>
      <w:r w:rsidR="00142EF5">
        <w:rPr>
          <w:rFonts w:ascii="Arial" w:hAnsi="Arial" w:cs="Arial"/>
          <w:sz w:val="24"/>
          <w:szCs w:val="24"/>
        </w:rPr>
        <w:t xml:space="preserve"> material to the reasoning </w:t>
      </w:r>
      <w:r w:rsidR="005E46C7">
        <w:rPr>
          <w:rFonts w:ascii="Arial" w:hAnsi="Arial" w:cs="Arial"/>
          <w:sz w:val="24"/>
          <w:szCs w:val="24"/>
        </w:rPr>
        <w:t xml:space="preserve">of the judge </w:t>
      </w:r>
      <w:r w:rsidR="005E46C7">
        <w:rPr>
          <w:rFonts w:ascii="Arial" w:hAnsi="Arial" w:cs="Arial"/>
          <w:i/>
          <w:sz w:val="24"/>
          <w:szCs w:val="24"/>
        </w:rPr>
        <w:t>a quo</w:t>
      </w:r>
      <w:r w:rsidR="005E46C7">
        <w:rPr>
          <w:rFonts w:ascii="Arial" w:hAnsi="Arial" w:cs="Arial"/>
          <w:sz w:val="24"/>
          <w:szCs w:val="24"/>
        </w:rPr>
        <w:t>.</w:t>
      </w:r>
    </w:p>
    <w:p w14:paraId="16015947" w14:textId="77777777" w:rsidR="009C0FED" w:rsidRDefault="009C0FED" w:rsidP="009C0FED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CCAA706" w14:textId="1D6E3BEB" w:rsidR="00AE6D9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[18]</w:t>
      </w:r>
      <w:r>
        <w:rPr>
          <w:rFonts w:ascii="Arial" w:hAnsi="Arial" w:cs="Arial"/>
          <w:sz w:val="24"/>
          <w:szCs w:val="24"/>
        </w:rPr>
        <w:tab/>
      </w:r>
      <w:r w:rsidR="009C0FED">
        <w:rPr>
          <w:rFonts w:ascii="Arial" w:hAnsi="Arial" w:cs="Arial"/>
          <w:sz w:val="24"/>
          <w:szCs w:val="24"/>
        </w:rPr>
        <w:t xml:space="preserve">On behalf of PIS it is pointed </w:t>
      </w:r>
      <w:r w:rsidR="00217E5E">
        <w:rPr>
          <w:rFonts w:ascii="Arial" w:hAnsi="Arial" w:cs="Arial"/>
          <w:sz w:val="24"/>
          <w:szCs w:val="24"/>
        </w:rPr>
        <w:t xml:space="preserve">out that the relevant sections of the Act have been amended quite extensively </w:t>
      </w:r>
      <w:r w:rsidR="001C32E4">
        <w:rPr>
          <w:rFonts w:ascii="Arial" w:hAnsi="Arial" w:cs="Arial"/>
          <w:sz w:val="24"/>
          <w:szCs w:val="24"/>
        </w:rPr>
        <w:t xml:space="preserve">by virtue of the Public Procurement </w:t>
      </w:r>
      <w:r w:rsidR="00DD33A5">
        <w:rPr>
          <w:rFonts w:ascii="Arial" w:hAnsi="Arial" w:cs="Arial"/>
          <w:sz w:val="24"/>
          <w:szCs w:val="24"/>
        </w:rPr>
        <w:t>Act 3 of 2022</w:t>
      </w:r>
      <w:r w:rsidR="003267BA">
        <w:rPr>
          <w:rFonts w:ascii="Arial" w:hAnsi="Arial" w:cs="Arial"/>
          <w:sz w:val="24"/>
          <w:szCs w:val="24"/>
        </w:rPr>
        <w:t xml:space="preserve"> and these amendments spell</w:t>
      </w:r>
      <w:r w:rsidR="005D4FE0">
        <w:rPr>
          <w:rFonts w:ascii="Arial" w:hAnsi="Arial" w:cs="Arial"/>
          <w:sz w:val="24"/>
          <w:szCs w:val="24"/>
        </w:rPr>
        <w:t xml:space="preserve"> out the process </w:t>
      </w:r>
      <w:r w:rsidR="00E22721">
        <w:rPr>
          <w:rFonts w:ascii="Arial" w:hAnsi="Arial" w:cs="Arial"/>
          <w:sz w:val="24"/>
          <w:szCs w:val="24"/>
        </w:rPr>
        <w:t xml:space="preserve">when it comes to public procurement, </w:t>
      </w:r>
      <w:r w:rsidR="00856C6B">
        <w:rPr>
          <w:rFonts w:ascii="Arial" w:hAnsi="Arial" w:cs="Arial"/>
          <w:sz w:val="24"/>
          <w:szCs w:val="24"/>
        </w:rPr>
        <w:t>in much clearer details.</w:t>
      </w:r>
    </w:p>
    <w:p w14:paraId="15766DCB" w14:textId="77777777" w:rsidR="00856C6B" w:rsidRPr="00FE12BA" w:rsidRDefault="00856C6B" w:rsidP="00E2272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B5ECBB3" w14:textId="688A51BA" w:rsidR="00B2591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[19]</w:t>
      </w:r>
      <w:r>
        <w:rPr>
          <w:rFonts w:ascii="Arial" w:hAnsi="Arial" w:cs="Arial"/>
          <w:sz w:val="24"/>
          <w:szCs w:val="24"/>
        </w:rPr>
        <w:tab/>
      </w:r>
      <w:r w:rsidR="00856C6B">
        <w:rPr>
          <w:rFonts w:ascii="Arial" w:hAnsi="Arial" w:cs="Arial"/>
          <w:sz w:val="24"/>
          <w:szCs w:val="24"/>
        </w:rPr>
        <w:t xml:space="preserve">It is thus submitted on behalf of PIS </w:t>
      </w:r>
      <w:r w:rsidR="004814AF">
        <w:rPr>
          <w:rFonts w:ascii="Arial" w:hAnsi="Arial" w:cs="Arial"/>
          <w:sz w:val="24"/>
          <w:szCs w:val="24"/>
        </w:rPr>
        <w:t xml:space="preserve">that to interpret </w:t>
      </w:r>
      <w:r w:rsidR="00887C94">
        <w:rPr>
          <w:rFonts w:ascii="Arial" w:hAnsi="Arial" w:cs="Arial"/>
          <w:sz w:val="24"/>
          <w:szCs w:val="24"/>
        </w:rPr>
        <w:t xml:space="preserve">the </w:t>
      </w:r>
      <w:r w:rsidR="004814AF">
        <w:rPr>
          <w:rFonts w:ascii="Arial" w:hAnsi="Arial" w:cs="Arial"/>
          <w:sz w:val="24"/>
          <w:szCs w:val="24"/>
        </w:rPr>
        <w:t xml:space="preserve">Act </w:t>
      </w:r>
      <w:r w:rsidR="00887C94">
        <w:rPr>
          <w:rFonts w:ascii="Arial" w:hAnsi="Arial" w:cs="Arial"/>
          <w:sz w:val="24"/>
          <w:szCs w:val="24"/>
        </w:rPr>
        <w:t xml:space="preserve">as it was at the time when PIS was awarded the contract would be an exercise </w:t>
      </w:r>
      <w:r w:rsidR="00597800">
        <w:rPr>
          <w:rFonts w:ascii="Arial" w:hAnsi="Arial" w:cs="Arial"/>
          <w:sz w:val="24"/>
          <w:szCs w:val="24"/>
        </w:rPr>
        <w:t>‘that establish</w:t>
      </w:r>
      <w:r w:rsidR="00B11D55">
        <w:rPr>
          <w:rFonts w:ascii="Arial" w:hAnsi="Arial" w:cs="Arial"/>
          <w:sz w:val="24"/>
          <w:szCs w:val="24"/>
        </w:rPr>
        <w:t>es</w:t>
      </w:r>
      <w:r w:rsidR="00597800">
        <w:rPr>
          <w:rFonts w:ascii="Arial" w:hAnsi="Arial" w:cs="Arial"/>
          <w:sz w:val="24"/>
          <w:szCs w:val="24"/>
        </w:rPr>
        <w:t xml:space="preserve"> no</w:t>
      </w:r>
      <w:r w:rsidR="00B11D55">
        <w:rPr>
          <w:rFonts w:ascii="Arial" w:hAnsi="Arial" w:cs="Arial"/>
          <w:sz w:val="24"/>
          <w:szCs w:val="24"/>
        </w:rPr>
        <w:t xml:space="preserve"> practical benefit to the jurisprudence of Namibia’ and will be of no benefit to parties</w:t>
      </w:r>
      <w:r w:rsidR="00D13106">
        <w:rPr>
          <w:rFonts w:ascii="Arial" w:hAnsi="Arial" w:cs="Arial"/>
          <w:sz w:val="24"/>
          <w:szCs w:val="24"/>
        </w:rPr>
        <w:t xml:space="preserve"> in future litigation</w:t>
      </w:r>
      <w:r w:rsidR="00B25919">
        <w:rPr>
          <w:rFonts w:ascii="Arial" w:hAnsi="Arial" w:cs="Arial"/>
          <w:sz w:val="24"/>
          <w:szCs w:val="24"/>
        </w:rPr>
        <w:t>.</w:t>
      </w:r>
    </w:p>
    <w:p w14:paraId="7EB992C0" w14:textId="77777777" w:rsidR="00B25919" w:rsidRPr="00FE12BA" w:rsidRDefault="00B25919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03FD25A" w14:textId="55F664EA" w:rsidR="008A42B7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[20]</w:t>
      </w:r>
      <w:r>
        <w:rPr>
          <w:rFonts w:ascii="Arial" w:hAnsi="Arial" w:cs="Arial"/>
          <w:sz w:val="24"/>
          <w:szCs w:val="24"/>
        </w:rPr>
        <w:tab/>
      </w:r>
      <w:r w:rsidR="00B25919">
        <w:rPr>
          <w:rFonts w:ascii="Arial" w:hAnsi="Arial" w:cs="Arial"/>
          <w:sz w:val="24"/>
          <w:szCs w:val="24"/>
        </w:rPr>
        <w:t xml:space="preserve">The submission on behalf of PIS in this regard is summarised in the </w:t>
      </w:r>
      <w:r w:rsidR="008A42B7">
        <w:rPr>
          <w:rFonts w:ascii="Arial" w:hAnsi="Arial" w:cs="Arial"/>
          <w:sz w:val="24"/>
          <w:szCs w:val="24"/>
        </w:rPr>
        <w:t>Heads of Argument as follows:</w:t>
      </w:r>
    </w:p>
    <w:p w14:paraId="1B759140" w14:textId="77777777" w:rsidR="008A42B7" w:rsidRDefault="008A42B7" w:rsidP="00DA381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085213D4" w14:textId="77777777" w:rsidR="008A42B7" w:rsidRPr="008A42B7" w:rsidRDefault="003267BA" w:rsidP="006F7DF8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8A42B7">
        <w:rPr>
          <w:rFonts w:ascii="Arial" w:hAnsi="Arial" w:cs="Arial"/>
        </w:rPr>
        <w:t>The interpretive exercise will not establish</w:t>
      </w:r>
      <w:r w:rsidR="00EC2420">
        <w:rPr>
          <w:rFonts w:ascii="Arial" w:hAnsi="Arial" w:cs="Arial"/>
        </w:rPr>
        <w:t xml:space="preserve"> any practical benefit to the parties and in view of the amendments </w:t>
      </w:r>
      <w:r w:rsidR="009A09D8">
        <w:rPr>
          <w:rFonts w:ascii="Arial" w:hAnsi="Arial" w:cs="Arial"/>
        </w:rPr>
        <w:t xml:space="preserve">to the Act the issues raised are no longer important. We submit </w:t>
      </w:r>
      <w:r w:rsidR="00D84CC5">
        <w:rPr>
          <w:rFonts w:ascii="Arial" w:hAnsi="Arial" w:cs="Arial"/>
        </w:rPr>
        <w:t xml:space="preserve">the dispute in relation to the interpretation of the provisions </w:t>
      </w:r>
      <w:r w:rsidR="00C669B0">
        <w:rPr>
          <w:rFonts w:ascii="Arial" w:hAnsi="Arial" w:cs="Arial"/>
        </w:rPr>
        <w:t xml:space="preserve">that we referred to has become </w:t>
      </w:r>
      <w:r>
        <w:rPr>
          <w:rFonts w:ascii="Arial" w:hAnsi="Arial" w:cs="Arial"/>
        </w:rPr>
        <w:t>moot</w:t>
      </w:r>
      <w:r w:rsidR="004D555D">
        <w:rPr>
          <w:rFonts w:ascii="Arial" w:hAnsi="Arial" w:cs="Arial"/>
        </w:rPr>
        <w:t>.</w:t>
      </w:r>
      <w:r>
        <w:rPr>
          <w:rFonts w:ascii="Arial" w:hAnsi="Arial" w:cs="Arial"/>
        </w:rPr>
        <w:t>’</w:t>
      </w:r>
    </w:p>
    <w:p w14:paraId="4FCF5BBF" w14:textId="77777777" w:rsidR="008A42B7" w:rsidRDefault="008A42B7" w:rsidP="00DA381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60FF7CE9" w14:textId="7969412D" w:rsidR="00B1461A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[21]</w:t>
      </w:r>
      <w:r>
        <w:rPr>
          <w:rFonts w:ascii="Arial" w:hAnsi="Arial" w:cs="Arial"/>
          <w:sz w:val="24"/>
          <w:szCs w:val="24"/>
        </w:rPr>
        <w:tab/>
      </w:r>
      <w:r w:rsidR="004D555D">
        <w:rPr>
          <w:rFonts w:ascii="Arial" w:hAnsi="Arial" w:cs="Arial"/>
          <w:sz w:val="24"/>
          <w:szCs w:val="24"/>
        </w:rPr>
        <w:t xml:space="preserve">According to PIS the principles </w:t>
      </w:r>
      <w:r w:rsidR="00110B43">
        <w:rPr>
          <w:rFonts w:ascii="Arial" w:hAnsi="Arial" w:cs="Arial"/>
          <w:sz w:val="24"/>
          <w:szCs w:val="24"/>
        </w:rPr>
        <w:t xml:space="preserve">relating to mootness </w:t>
      </w:r>
      <w:r w:rsidR="00EB4C8C">
        <w:rPr>
          <w:rFonts w:ascii="Arial" w:hAnsi="Arial" w:cs="Arial"/>
          <w:sz w:val="24"/>
          <w:szCs w:val="24"/>
        </w:rPr>
        <w:t>find a</w:t>
      </w:r>
      <w:r w:rsidR="00424540">
        <w:rPr>
          <w:rFonts w:ascii="Arial" w:hAnsi="Arial" w:cs="Arial"/>
          <w:sz w:val="24"/>
          <w:szCs w:val="24"/>
        </w:rPr>
        <w:t>pplication</w:t>
      </w:r>
      <w:r w:rsidR="00B1461A">
        <w:rPr>
          <w:rFonts w:ascii="Arial" w:hAnsi="Arial" w:cs="Arial"/>
          <w:sz w:val="24"/>
          <w:szCs w:val="24"/>
        </w:rPr>
        <w:t xml:space="preserve"> because there is no </w:t>
      </w:r>
      <w:r w:rsidR="00EB4C8C">
        <w:rPr>
          <w:rFonts w:ascii="Arial" w:hAnsi="Arial" w:cs="Arial"/>
          <w:sz w:val="24"/>
          <w:szCs w:val="24"/>
        </w:rPr>
        <w:t xml:space="preserve">live </w:t>
      </w:r>
      <w:r w:rsidR="00B1461A">
        <w:rPr>
          <w:rFonts w:ascii="Arial" w:hAnsi="Arial" w:cs="Arial"/>
          <w:sz w:val="24"/>
          <w:szCs w:val="24"/>
        </w:rPr>
        <w:t>and existing controversy.</w:t>
      </w:r>
    </w:p>
    <w:p w14:paraId="4467DE45" w14:textId="77777777" w:rsidR="00DA381F" w:rsidRDefault="00DA381F" w:rsidP="00B1461A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FC6DEEC" w14:textId="40723BB4" w:rsidR="007E12E8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[22]</w:t>
      </w:r>
      <w:r>
        <w:rPr>
          <w:rFonts w:ascii="Arial" w:hAnsi="Arial" w:cs="Arial"/>
          <w:sz w:val="24"/>
          <w:szCs w:val="24"/>
        </w:rPr>
        <w:tab/>
      </w:r>
      <w:r w:rsidR="00026351">
        <w:rPr>
          <w:rFonts w:ascii="Arial" w:hAnsi="Arial" w:cs="Arial"/>
          <w:sz w:val="24"/>
          <w:szCs w:val="24"/>
        </w:rPr>
        <w:t xml:space="preserve">I do not agree with the submissions advanced on behalf of PIS. </w:t>
      </w:r>
      <w:r w:rsidR="00FB742A">
        <w:rPr>
          <w:rFonts w:ascii="Arial" w:hAnsi="Arial" w:cs="Arial"/>
          <w:sz w:val="24"/>
          <w:szCs w:val="24"/>
        </w:rPr>
        <w:t xml:space="preserve">The interpretation is a live issue between the parties and </w:t>
      </w:r>
      <w:r w:rsidR="00EB4C8C">
        <w:rPr>
          <w:rFonts w:ascii="Arial" w:hAnsi="Arial" w:cs="Arial"/>
          <w:sz w:val="24"/>
          <w:szCs w:val="24"/>
        </w:rPr>
        <w:t xml:space="preserve">may be </w:t>
      </w:r>
      <w:r w:rsidR="003328D4">
        <w:rPr>
          <w:rFonts w:ascii="Arial" w:hAnsi="Arial" w:cs="Arial"/>
          <w:sz w:val="24"/>
          <w:szCs w:val="24"/>
        </w:rPr>
        <w:t>material to the resolution of the appeal. Furthermore</w:t>
      </w:r>
      <w:r w:rsidR="00CA4E0D">
        <w:rPr>
          <w:rFonts w:ascii="Arial" w:hAnsi="Arial" w:cs="Arial"/>
          <w:sz w:val="24"/>
          <w:szCs w:val="24"/>
        </w:rPr>
        <w:t>,</w:t>
      </w:r>
      <w:r w:rsidR="003328D4">
        <w:rPr>
          <w:rFonts w:ascii="Arial" w:hAnsi="Arial" w:cs="Arial"/>
          <w:sz w:val="24"/>
          <w:szCs w:val="24"/>
        </w:rPr>
        <w:t xml:space="preserve"> </w:t>
      </w:r>
      <w:r w:rsidR="004A2006">
        <w:rPr>
          <w:rFonts w:ascii="Arial" w:hAnsi="Arial" w:cs="Arial"/>
          <w:sz w:val="24"/>
          <w:szCs w:val="24"/>
        </w:rPr>
        <w:t xml:space="preserve">such </w:t>
      </w:r>
      <w:r w:rsidR="003328D4">
        <w:rPr>
          <w:rFonts w:ascii="Arial" w:hAnsi="Arial" w:cs="Arial"/>
          <w:sz w:val="24"/>
          <w:szCs w:val="24"/>
        </w:rPr>
        <w:t xml:space="preserve">interpretation will have practical effect on the parties </w:t>
      </w:r>
      <w:r w:rsidR="00181D04">
        <w:rPr>
          <w:rFonts w:ascii="Arial" w:hAnsi="Arial" w:cs="Arial"/>
          <w:sz w:val="24"/>
          <w:szCs w:val="24"/>
        </w:rPr>
        <w:t xml:space="preserve">as it </w:t>
      </w:r>
      <w:r w:rsidR="004A2006">
        <w:rPr>
          <w:rFonts w:ascii="Arial" w:hAnsi="Arial" w:cs="Arial"/>
          <w:sz w:val="24"/>
          <w:szCs w:val="24"/>
        </w:rPr>
        <w:t>may</w:t>
      </w:r>
      <w:r w:rsidR="00181D04">
        <w:rPr>
          <w:rFonts w:ascii="Arial" w:hAnsi="Arial" w:cs="Arial"/>
          <w:sz w:val="24"/>
          <w:szCs w:val="24"/>
        </w:rPr>
        <w:t xml:space="preserve"> decide the </w:t>
      </w:r>
      <w:r w:rsidR="007D41DF">
        <w:rPr>
          <w:rFonts w:ascii="Arial" w:hAnsi="Arial" w:cs="Arial"/>
          <w:sz w:val="24"/>
          <w:szCs w:val="24"/>
        </w:rPr>
        <w:t xml:space="preserve">matter </w:t>
      </w:r>
      <w:r w:rsidR="00181D04">
        <w:rPr>
          <w:rFonts w:ascii="Arial" w:hAnsi="Arial" w:cs="Arial"/>
          <w:sz w:val="24"/>
          <w:szCs w:val="24"/>
        </w:rPr>
        <w:t>on</w:t>
      </w:r>
      <w:r w:rsidR="004A2006">
        <w:rPr>
          <w:rFonts w:ascii="Arial" w:hAnsi="Arial" w:cs="Arial"/>
          <w:sz w:val="24"/>
          <w:szCs w:val="24"/>
        </w:rPr>
        <w:t>e</w:t>
      </w:r>
      <w:r w:rsidR="00181D04">
        <w:rPr>
          <w:rFonts w:ascii="Arial" w:hAnsi="Arial" w:cs="Arial"/>
          <w:sz w:val="24"/>
          <w:szCs w:val="24"/>
        </w:rPr>
        <w:t xml:space="preserve"> way or another.</w:t>
      </w:r>
      <w:r w:rsidR="007D41DF">
        <w:rPr>
          <w:rFonts w:ascii="Arial" w:hAnsi="Arial" w:cs="Arial"/>
          <w:sz w:val="24"/>
          <w:szCs w:val="24"/>
        </w:rPr>
        <w:t xml:space="preserve"> The fact that it may not be helpful to other parties in the future </w:t>
      </w:r>
      <w:r w:rsidR="00C260CC">
        <w:rPr>
          <w:rFonts w:ascii="Arial" w:hAnsi="Arial" w:cs="Arial"/>
          <w:sz w:val="24"/>
          <w:szCs w:val="24"/>
        </w:rPr>
        <w:t>is neither here nor there. I</w:t>
      </w:r>
      <w:r w:rsidR="004A2006">
        <w:rPr>
          <w:rFonts w:ascii="Arial" w:hAnsi="Arial" w:cs="Arial"/>
          <w:sz w:val="24"/>
          <w:szCs w:val="24"/>
        </w:rPr>
        <w:t>f i</w:t>
      </w:r>
      <w:r w:rsidR="00C260CC">
        <w:rPr>
          <w:rFonts w:ascii="Arial" w:hAnsi="Arial" w:cs="Arial"/>
          <w:sz w:val="24"/>
          <w:szCs w:val="24"/>
        </w:rPr>
        <w:t xml:space="preserve">t is necessary for the resolution of the dispute </w:t>
      </w:r>
      <w:r w:rsidR="00847225">
        <w:rPr>
          <w:rFonts w:ascii="Arial" w:hAnsi="Arial" w:cs="Arial"/>
          <w:sz w:val="24"/>
          <w:szCs w:val="24"/>
        </w:rPr>
        <w:t xml:space="preserve">between the parties </w:t>
      </w:r>
      <w:r w:rsidR="00051ACE">
        <w:rPr>
          <w:rFonts w:ascii="Arial" w:hAnsi="Arial" w:cs="Arial"/>
          <w:sz w:val="24"/>
          <w:szCs w:val="24"/>
        </w:rPr>
        <w:t xml:space="preserve">it will be important </w:t>
      </w:r>
      <w:r w:rsidR="00847225">
        <w:rPr>
          <w:rFonts w:ascii="Arial" w:hAnsi="Arial" w:cs="Arial"/>
          <w:sz w:val="24"/>
          <w:szCs w:val="24"/>
        </w:rPr>
        <w:t xml:space="preserve">to them and will furthermore have a practical </w:t>
      </w:r>
      <w:r w:rsidR="006C2FE8">
        <w:rPr>
          <w:rFonts w:ascii="Arial" w:hAnsi="Arial" w:cs="Arial"/>
          <w:sz w:val="24"/>
          <w:szCs w:val="24"/>
        </w:rPr>
        <w:t xml:space="preserve">effect once determined. Parties are entitled to have their </w:t>
      </w:r>
      <w:r w:rsidR="005F3374">
        <w:rPr>
          <w:rFonts w:ascii="Arial" w:hAnsi="Arial" w:cs="Arial"/>
          <w:sz w:val="24"/>
          <w:szCs w:val="24"/>
        </w:rPr>
        <w:t xml:space="preserve">disputes heard and determined irrespective of whether such disputes entail matters </w:t>
      </w:r>
      <w:r w:rsidR="00535689">
        <w:rPr>
          <w:rFonts w:ascii="Arial" w:hAnsi="Arial" w:cs="Arial"/>
          <w:sz w:val="24"/>
          <w:szCs w:val="24"/>
        </w:rPr>
        <w:t>that would be</w:t>
      </w:r>
      <w:r w:rsidR="004F3561">
        <w:rPr>
          <w:rFonts w:ascii="Arial" w:hAnsi="Arial" w:cs="Arial"/>
          <w:sz w:val="24"/>
          <w:szCs w:val="24"/>
        </w:rPr>
        <w:t xml:space="preserve"> to</w:t>
      </w:r>
      <w:r w:rsidR="00535689">
        <w:rPr>
          <w:rFonts w:ascii="Arial" w:hAnsi="Arial" w:cs="Arial"/>
          <w:sz w:val="24"/>
          <w:szCs w:val="24"/>
        </w:rPr>
        <w:t xml:space="preserve"> ‘the potential benefit to the jurisprudence of Namibia’</w:t>
      </w:r>
      <w:r w:rsidR="00CC19A7">
        <w:rPr>
          <w:rFonts w:ascii="Arial" w:hAnsi="Arial" w:cs="Arial"/>
          <w:sz w:val="24"/>
          <w:szCs w:val="24"/>
        </w:rPr>
        <w:t xml:space="preserve">. This happens on a daily basis </w:t>
      </w:r>
      <w:r w:rsidR="007E12E8">
        <w:rPr>
          <w:rFonts w:ascii="Arial" w:hAnsi="Arial" w:cs="Arial"/>
          <w:sz w:val="24"/>
          <w:szCs w:val="24"/>
        </w:rPr>
        <w:t>where</w:t>
      </w:r>
      <w:r w:rsidR="00D30D5E">
        <w:rPr>
          <w:rFonts w:ascii="Arial" w:hAnsi="Arial" w:cs="Arial"/>
          <w:sz w:val="24"/>
          <w:szCs w:val="24"/>
        </w:rPr>
        <w:t xml:space="preserve"> court</w:t>
      </w:r>
      <w:r w:rsidR="007E12E8">
        <w:rPr>
          <w:rFonts w:ascii="Arial" w:hAnsi="Arial" w:cs="Arial"/>
          <w:sz w:val="24"/>
          <w:szCs w:val="24"/>
        </w:rPr>
        <w:t>s</w:t>
      </w:r>
      <w:r w:rsidR="00D30D5E">
        <w:rPr>
          <w:rFonts w:ascii="Arial" w:hAnsi="Arial" w:cs="Arial"/>
          <w:sz w:val="24"/>
          <w:szCs w:val="24"/>
        </w:rPr>
        <w:t xml:space="preserve"> must decide factual issues rather </w:t>
      </w:r>
      <w:r w:rsidR="007E12E8">
        <w:rPr>
          <w:rFonts w:ascii="Arial" w:hAnsi="Arial" w:cs="Arial"/>
          <w:sz w:val="24"/>
          <w:szCs w:val="24"/>
        </w:rPr>
        <w:t>than legal ones.</w:t>
      </w:r>
    </w:p>
    <w:p w14:paraId="6B62E61D" w14:textId="77777777" w:rsidR="007E12E8" w:rsidRDefault="007E12E8" w:rsidP="00DA381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4C22D355" w14:textId="064FDA31" w:rsidR="00280C4D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[23]</w:t>
      </w:r>
      <w:r>
        <w:rPr>
          <w:rFonts w:ascii="Arial" w:hAnsi="Arial" w:cs="Arial"/>
          <w:sz w:val="24"/>
          <w:szCs w:val="24"/>
        </w:rPr>
        <w:tab/>
      </w:r>
      <w:r w:rsidR="00411A9A">
        <w:rPr>
          <w:rFonts w:ascii="Arial" w:hAnsi="Arial" w:cs="Arial"/>
          <w:sz w:val="24"/>
          <w:szCs w:val="24"/>
        </w:rPr>
        <w:t>Second and third respondents</w:t>
      </w:r>
      <w:r w:rsidR="003267BA">
        <w:rPr>
          <w:rFonts w:ascii="Arial" w:hAnsi="Arial" w:cs="Arial"/>
          <w:sz w:val="24"/>
          <w:szCs w:val="24"/>
        </w:rPr>
        <w:t xml:space="preserve"> whom</w:t>
      </w:r>
      <w:r w:rsidR="00582714">
        <w:rPr>
          <w:rFonts w:ascii="Arial" w:hAnsi="Arial" w:cs="Arial"/>
          <w:sz w:val="24"/>
          <w:szCs w:val="24"/>
        </w:rPr>
        <w:t xml:space="preserve"> I have pointed out above </w:t>
      </w:r>
      <w:r w:rsidR="003267BA">
        <w:rPr>
          <w:rFonts w:ascii="Arial" w:hAnsi="Arial" w:cs="Arial"/>
          <w:sz w:val="24"/>
          <w:szCs w:val="24"/>
        </w:rPr>
        <w:t>are</w:t>
      </w:r>
      <w:r w:rsidR="00FA1B4B">
        <w:rPr>
          <w:rFonts w:ascii="Arial" w:hAnsi="Arial" w:cs="Arial"/>
          <w:sz w:val="24"/>
          <w:szCs w:val="24"/>
        </w:rPr>
        <w:t xml:space="preserve"> actually the same party</w:t>
      </w:r>
      <w:r w:rsidR="000819D6">
        <w:rPr>
          <w:rFonts w:ascii="Arial" w:hAnsi="Arial" w:cs="Arial"/>
          <w:sz w:val="24"/>
          <w:szCs w:val="24"/>
        </w:rPr>
        <w:t xml:space="preserve"> (</w:t>
      </w:r>
      <w:r w:rsidR="003267BA">
        <w:rPr>
          <w:rFonts w:ascii="Arial" w:hAnsi="Arial" w:cs="Arial"/>
          <w:sz w:val="24"/>
          <w:szCs w:val="24"/>
        </w:rPr>
        <w:t>ie the b</w:t>
      </w:r>
      <w:r w:rsidR="000819D6">
        <w:rPr>
          <w:rFonts w:ascii="Arial" w:hAnsi="Arial" w:cs="Arial"/>
          <w:sz w:val="24"/>
          <w:szCs w:val="24"/>
        </w:rPr>
        <w:t xml:space="preserve">oard) </w:t>
      </w:r>
      <w:r w:rsidR="00F230D6">
        <w:rPr>
          <w:rFonts w:ascii="Arial" w:hAnsi="Arial" w:cs="Arial"/>
          <w:sz w:val="24"/>
          <w:szCs w:val="24"/>
        </w:rPr>
        <w:t>also submit that the</w:t>
      </w:r>
      <w:r w:rsidR="009F3B7B">
        <w:rPr>
          <w:rFonts w:ascii="Arial" w:hAnsi="Arial" w:cs="Arial"/>
          <w:sz w:val="24"/>
          <w:szCs w:val="24"/>
        </w:rPr>
        <w:t xml:space="preserve"> appeal is </w:t>
      </w:r>
      <w:r w:rsidR="00F230D6">
        <w:rPr>
          <w:rFonts w:ascii="Arial" w:hAnsi="Arial" w:cs="Arial"/>
          <w:sz w:val="24"/>
          <w:szCs w:val="24"/>
        </w:rPr>
        <w:t xml:space="preserve">moot. </w:t>
      </w:r>
      <w:r w:rsidR="009F3B7B">
        <w:rPr>
          <w:rFonts w:ascii="Arial" w:hAnsi="Arial" w:cs="Arial"/>
          <w:sz w:val="24"/>
          <w:szCs w:val="24"/>
        </w:rPr>
        <w:t>On the</w:t>
      </w:r>
      <w:r w:rsidR="00FF3D6E">
        <w:rPr>
          <w:rFonts w:ascii="Arial" w:hAnsi="Arial" w:cs="Arial"/>
          <w:sz w:val="24"/>
          <w:szCs w:val="24"/>
        </w:rPr>
        <w:t>ir</w:t>
      </w:r>
      <w:r w:rsidR="009F3B7B">
        <w:rPr>
          <w:rFonts w:ascii="Arial" w:hAnsi="Arial" w:cs="Arial"/>
          <w:sz w:val="24"/>
          <w:szCs w:val="24"/>
        </w:rPr>
        <w:t xml:space="preserve"> behalf however</w:t>
      </w:r>
      <w:r w:rsidR="00E22721">
        <w:rPr>
          <w:rFonts w:ascii="Arial" w:hAnsi="Arial" w:cs="Arial"/>
          <w:sz w:val="24"/>
          <w:szCs w:val="24"/>
        </w:rPr>
        <w:t>,</w:t>
      </w:r>
      <w:r w:rsidR="00FF3D6E">
        <w:rPr>
          <w:rFonts w:ascii="Arial" w:hAnsi="Arial" w:cs="Arial"/>
          <w:sz w:val="24"/>
          <w:szCs w:val="24"/>
        </w:rPr>
        <w:t xml:space="preserve"> this is based </w:t>
      </w:r>
      <w:r w:rsidR="005B72FD">
        <w:rPr>
          <w:rFonts w:ascii="Arial" w:hAnsi="Arial" w:cs="Arial"/>
          <w:sz w:val="24"/>
          <w:szCs w:val="24"/>
        </w:rPr>
        <w:t xml:space="preserve">on the fact that the High Court on 18 March 2021 </w:t>
      </w:r>
      <w:r w:rsidR="00C645C6">
        <w:rPr>
          <w:rFonts w:ascii="Arial" w:hAnsi="Arial" w:cs="Arial"/>
          <w:sz w:val="24"/>
          <w:szCs w:val="24"/>
        </w:rPr>
        <w:t>granted PIS an</w:t>
      </w:r>
      <w:r w:rsidR="00551AEF">
        <w:rPr>
          <w:rFonts w:ascii="Arial" w:hAnsi="Arial" w:cs="Arial"/>
          <w:sz w:val="24"/>
          <w:szCs w:val="24"/>
        </w:rPr>
        <w:t xml:space="preserve"> order to execute pending the appeal. In other words</w:t>
      </w:r>
      <w:r w:rsidR="00747114">
        <w:rPr>
          <w:rFonts w:ascii="Arial" w:hAnsi="Arial" w:cs="Arial"/>
          <w:sz w:val="24"/>
          <w:szCs w:val="24"/>
        </w:rPr>
        <w:t>,</w:t>
      </w:r>
      <w:r w:rsidR="004155F5">
        <w:rPr>
          <w:rFonts w:ascii="Arial" w:hAnsi="Arial" w:cs="Arial"/>
          <w:sz w:val="24"/>
          <w:szCs w:val="24"/>
        </w:rPr>
        <w:t xml:space="preserve"> PIS</w:t>
      </w:r>
      <w:r w:rsidR="00551AEF">
        <w:rPr>
          <w:rFonts w:ascii="Arial" w:hAnsi="Arial" w:cs="Arial"/>
          <w:sz w:val="24"/>
          <w:szCs w:val="24"/>
        </w:rPr>
        <w:t xml:space="preserve"> was allowed to commence with security services </w:t>
      </w:r>
      <w:r w:rsidR="00280C4D">
        <w:rPr>
          <w:rFonts w:ascii="Arial" w:hAnsi="Arial" w:cs="Arial"/>
          <w:sz w:val="24"/>
          <w:szCs w:val="24"/>
        </w:rPr>
        <w:t>to NUST despite the pending appeal.</w:t>
      </w:r>
    </w:p>
    <w:p w14:paraId="6F1233D3" w14:textId="77777777" w:rsidR="00280C4D" w:rsidRDefault="00280C4D" w:rsidP="00DA381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285B1E97" w14:textId="3E0FFC53" w:rsidR="008D7F75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[24]</w:t>
      </w:r>
      <w:r>
        <w:rPr>
          <w:rFonts w:ascii="Arial" w:hAnsi="Arial" w:cs="Arial"/>
          <w:sz w:val="24"/>
          <w:szCs w:val="24"/>
        </w:rPr>
        <w:tab/>
      </w:r>
      <w:r w:rsidR="00747114">
        <w:rPr>
          <w:rFonts w:ascii="Arial" w:hAnsi="Arial" w:cs="Arial"/>
          <w:sz w:val="24"/>
          <w:szCs w:val="24"/>
        </w:rPr>
        <w:t>I a</w:t>
      </w:r>
      <w:r w:rsidR="00436518">
        <w:rPr>
          <w:rFonts w:ascii="Arial" w:hAnsi="Arial" w:cs="Arial"/>
          <w:sz w:val="24"/>
          <w:szCs w:val="24"/>
        </w:rPr>
        <w:t xml:space="preserve">m afraid the submissions on behalf </w:t>
      </w:r>
      <w:r w:rsidR="00905A86">
        <w:rPr>
          <w:rFonts w:ascii="Arial" w:hAnsi="Arial" w:cs="Arial"/>
          <w:sz w:val="24"/>
          <w:szCs w:val="24"/>
        </w:rPr>
        <w:t xml:space="preserve">of the </w:t>
      </w:r>
      <w:r w:rsidR="00747114">
        <w:rPr>
          <w:rFonts w:ascii="Arial" w:hAnsi="Arial" w:cs="Arial"/>
          <w:sz w:val="24"/>
          <w:szCs w:val="24"/>
        </w:rPr>
        <w:t>board are</w:t>
      </w:r>
      <w:r w:rsidR="00905A86">
        <w:rPr>
          <w:rFonts w:ascii="Arial" w:hAnsi="Arial" w:cs="Arial"/>
          <w:sz w:val="24"/>
          <w:szCs w:val="24"/>
        </w:rPr>
        <w:t xml:space="preserve"> also </w:t>
      </w:r>
      <w:r w:rsidR="004155F5">
        <w:rPr>
          <w:rFonts w:ascii="Arial" w:hAnsi="Arial" w:cs="Arial"/>
          <w:sz w:val="24"/>
          <w:szCs w:val="24"/>
        </w:rPr>
        <w:t>meritless. How the fact that PIS</w:t>
      </w:r>
      <w:r w:rsidR="00905A86">
        <w:rPr>
          <w:rFonts w:ascii="Arial" w:hAnsi="Arial" w:cs="Arial"/>
          <w:sz w:val="24"/>
          <w:szCs w:val="24"/>
        </w:rPr>
        <w:t xml:space="preserve"> is busy executing a contract renders </w:t>
      </w:r>
      <w:r w:rsidR="00006FC7">
        <w:rPr>
          <w:rFonts w:ascii="Arial" w:hAnsi="Arial" w:cs="Arial"/>
          <w:sz w:val="24"/>
          <w:szCs w:val="24"/>
        </w:rPr>
        <w:t xml:space="preserve">the </w:t>
      </w:r>
      <w:r w:rsidR="00905A86">
        <w:rPr>
          <w:rFonts w:ascii="Arial" w:hAnsi="Arial" w:cs="Arial"/>
          <w:sz w:val="24"/>
          <w:szCs w:val="24"/>
        </w:rPr>
        <w:t>dispute</w:t>
      </w:r>
      <w:r w:rsidR="00006FC7">
        <w:rPr>
          <w:rFonts w:ascii="Arial" w:hAnsi="Arial" w:cs="Arial"/>
          <w:sz w:val="24"/>
          <w:szCs w:val="24"/>
        </w:rPr>
        <w:t xml:space="preserve"> academic is not explained</w:t>
      </w:r>
      <w:r w:rsidR="0093374A">
        <w:rPr>
          <w:rFonts w:ascii="Arial" w:hAnsi="Arial" w:cs="Arial"/>
          <w:sz w:val="24"/>
          <w:szCs w:val="24"/>
        </w:rPr>
        <w:t>.</w:t>
      </w:r>
      <w:r w:rsidR="00747114">
        <w:rPr>
          <w:rFonts w:ascii="Arial" w:hAnsi="Arial" w:cs="Arial"/>
          <w:sz w:val="24"/>
          <w:szCs w:val="24"/>
        </w:rPr>
        <w:t xml:space="preserve"> </w:t>
      </w:r>
      <w:r w:rsidR="0083261D" w:rsidRPr="002F3206">
        <w:rPr>
          <w:rFonts w:ascii="Arial" w:hAnsi="Arial" w:cs="Arial"/>
          <w:sz w:val="24"/>
          <w:szCs w:val="24"/>
        </w:rPr>
        <w:t>Should the appeal succeed there is</w:t>
      </w:r>
      <w:r w:rsidR="00747114">
        <w:rPr>
          <w:rFonts w:ascii="Arial" w:hAnsi="Arial" w:cs="Arial"/>
          <w:sz w:val="24"/>
          <w:szCs w:val="24"/>
        </w:rPr>
        <w:t xml:space="preserve"> a</w:t>
      </w:r>
      <w:r w:rsidR="0083261D" w:rsidRPr="002F3206">
        <w:rPr>
          <w:rFonts w:ascii="Arial" w:hAnsi="Arial" w:cs="Arial"/>
          <w:sz w:val="24"/>
          <w:szCs w:val="24"/>
        </w:rPr>
        <w:t xml:space="preserve"> real possibility that </w:t>
      </w:r>
      <w:r w:rsidR="004155F5">
        <w:rPr>
          <w:rFonts w:ascii="Arial" w:hAnsi="Arial" w:cs="Arial"/>
          <w:sz w:val="24"/>
          <w:szCs w:val="24"/>
        </w:rPr>
        <w:t>PIS</w:t>
      </w:r>
      <w:r w:rsidR="00747114">
        <w:rPr>
          <w:rFonts w:ascii="Arial" w:hAnsi="Arial" w:cs="Arial"/>
          <w:sz w:val="24"/>
          <w:szCs w:val="24"/>
        </w:rPr>
        <w:t>’s contract</w:t>
      </w:r>
      <w:r w:rsidR="0083261D" w:rsidRPr="002F3206">
        <w:rPr>
          <w:rFonts w:ascii="Arial" w:hAnsi="Arial" w:cs="Arial"/>
          <w:sz w:val="24"/>
          <w:szCs w:val="24"/>
        </w:rPr>
        <w:t xml:space="preserve"> will be </w:t>
      </w:r>
      <w:r w:rsidR="004155F5">
        <w:rPr>
          <w:rFonts w:ascii="Arial" w:hAnsi="Arial" w:cs="Arial"/>
          <w:sz w:val="24"/>
          <w:szCs w:val="24"/>
        </w:rPr>
        <w:t>set aside or that NPS</w:t>
      </w:r>
      <w:r w:rsidR="001A6FC0" w:rsidRPr="002F3206">
        <w:rPr>
          <w:rFonts w:ascii="Arial" w:hAnsi="Arial" w:cs="Arial"/>
          <w:sz w:val="24"/>
          <w:szCs w:val="24"/>
        </w:rPr>
        <w:t xml:space="preserve"> will, at the minimum, be granted a cost order in its</w:t>
      </w:r>
      <w:r w:rsidR="00065A6C" w:rsidRPr="002F3206">
        <w:rPr>
          <w:rFonts w:ascii="Arial" w:hAnsi="Arial" w:cs="Arial"/>
          <w:sz w:val="24"/>
          <w:szCs w:val="24"/>
        </w:rPr>
        <w:t xml:space="preserve"> favour. Both the lawfulness of the </w:t>
      </w:r>
      <w:r w:rsidR="003011D0">
        <w:rPr>
          <w:rFonts w:ascii="Arial" w:hAnsi="Arial" w:cs="Arial"/>
          <w:sz w:val="24"/>
          <w:szCs w:val="24"/>
        </w:rPr>
        <w:t>a</w:t>
      </w:r>
      <w:r w:rsidR="00065A6C" w:rsidRPr="002F3206">
        <w:rPr>
          <w:rFonts w:ascii="Arial" w:hAnsi="Arial" w:cs="Arial"/>
          <w:sz w:val="24"/>
          <w:szCs w:val="24"/>
        </w:rPr>
        <w:t>ward of the tender</w:t>
      </w:r>
      <w:r w:rsidR="004155F5">
        <w:rPr>
          <w:rFonts w:ascii="Arial" w:hAnsi="Arial" w:cs="Arial"/>
          <w:sz w:val="24"/>
          <w:szCs w:val="24"/>
        </w:rPr>
        <w:t xml:space="preserve"> to PIS</w:t>
      </w:r>
      <w:r w:rsidR="003011D0">
        <w:rPr>
          <w:rFonts w:ascii="Arial" w:hAnsi="Arial" w:cs="Arial"/>
          <w:sz w:val="24"/>
          <w:szCs w:val="24"/>
        </w:rPr>
        <w:t xml:space="preserve"> and what the consequences should be </w:t>
      </w:r>
      <w:r w:rsidR="00C511FA">
        <w:rPr>
          <w:rFonts w:ascii="Arial" w:hAnsi="Arial" w:cs="Arial"/>
          <w:sz w:val="24"/>
          <w:szCs w:val="24"/>
        </w:rPr>
        <w:t>if it was awarded unlawfully are still live issues</w:t>
      </w:r>
      <w:r w:rsidR="008D7F75">
        <w:rPr>
          <w:rFonts w:ascii="Arial" w:hAnsi="Arial" w:cs="Arial"/>
          <w:sz w:val="24"/>
          <w:szCs w:val="24"/>
        </w:rPr>
        <w:t xml:space="preserve"> between the parties.</w:t>
      </w:r>
    </w:p>
    <w:p w14:paraId="4AB140ED" w14:textId="77777777" w:rsidR="008D7F75" w:rsidRDefault="008D7F75" w:rsidP="00DA381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0D14952C" w14:textId="63C956B3" w:rsidR="008622A9" w:rsidRPr="001B379E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379E">
        <w:rPr>
          <w:rFonts w:ascii="Arial" w:hAnsi="Arial" w:cs="Arial"/>
          <w:sz w:val="24"/>
          <w:szCs w:val="24"/>
        </w:rPr>
        <w:t>[25]</w:t>
      </w:r>
      <w:r w:rsidRPr="001B379E">
        <w:rPr>
          <w:rFonts w:ascii="Arial" w:hAnsi="Arial" w:cs="Arial"/>
          <w:sz w:val="24"/>
          <w:szCs w:val="24"/>
        </w:rPr>
        <w:tab/>
      </w:r>
      <w:r w:rsidR="00D4424D">
        <w:rPr>
          <w:rFonts w:ascii="Arial" w:hAnsi="Arial" w:cs="Arial"/>
          <w:sz w:val="24"/>
          <w:szCs w:val="24"/>
        </w:rPr>
        <w:t>In the result</w:t>
      </w:r>
      <w:r w:rsidR="00E22721">
        <w:rPr>
          <w:rFonts w:ascii="Arial" w:hAnsi="Arial" w:cs="Arial"/>
          <w:sz w:val="24"/>
          <w:szCs w:val="24"/>
        </w:rPr>
        <w:t>,</w:t>
      </w:r>
      <w:r w:rsidR="008D7F75">
        <w:rPr>
          <w:rFonts w:ascii="Arial" w:hAnsi="Arial" w:cs="Arial"/>
          <w:sz w:val="24"/>
          <w:szCs w:val="24"/>
        </w:rPr>
        <w:t xml:space="preserve"> the mootness point taken</w:t>
      </w:r>
      <w:r w:rsidR="00747114">
        <w:rPr>
          <w:rFonts w:ascii="Arial" w:hAnsi="Arial" w:cs="Arial"/>
          <w:sz w:val="24"/>
          <w:szCs w:val="24"/>
        </w:rPr>
        <w:t xml:space="preserve"> on behalf of the respondents is</w:t>
      </w:r>
      <w:r w:rsidR="008D7F75">
        <w:rPr>
          <w:rFonts w:ascii="Arial" w:hAnsi="Arial" w:cs="Arial"/>
          <w:sz w:val="24"/>
          <w:szCs w:val="24"/>
        </w:rPr>
        <w:t xml:space="preserve"> </w:t>
      </w:r>
      <w:r w:rsidR="0014451A">
        <w:rPr>
          <w:rFonts w:ascii="Arial" w:hAnsi="Arial" w:cs="Arial"/>
          <w:sz w:val="24"/>
          <w:szCs w:val="24"/>
        </w:rPr>
        <w:t>rejected.</w:t>
      </w:r>
    </w:p>
    <w:p w14:paraId="69AB80FD" w14:textId="77777777" w:rsidR="0014451A" w:rsidRDefault="0014451A" w:rsidP="0014451A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Unclean hands</w:t>
      </w:r>
    </w:p>
    <w:p w14:paraId="7380591A" w14:textId="5F9149CE" w:rsidR="00870CBE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[26]</w:t>
      </w:r>
      <w:r>
        <w:rPr>
          <w:rFonts w:ascii="Arial" w:hAnsi="Arial" w:cs="Arial"/>
          <w:sz w:val="24"/>
          <w:szCs w:val="24"/>
        </w:rPr>
        <w:tab/>
      </w:r>
      <w:r w:rsidR="000D21E7">
        <w:rPr>
          <w:rFonts w:ascii="Arial" w:hAnsi="Arial" w:cs="Arial"/>
          <w:sz w:val="24"/>
          <w:szCs w:val="24"/>
        </w:rPr>
        <w:t xml:space="preserve">One of the </w:t>
      </w:r>
      <w:r w:rsidR="00C7030F">
        <w:rPr>
          <w:rFonts w:ascii="Arial" w:hAnsi="Arial" w:cs="Arial"/>
          <w:sz w:val="24"/>
          <w:szCs w:val="24"/>
        </w:rPr>
        <w:t>attack</w:t>
      </w:r>
      <w:r w:rsidR="00E22721">
        <w:rPr>
          <w:rFonts w:ascii="Arial" w:hAnsi="Arial" w:cs="Arial"/>
          <w:sz w:val="24"/>
          <w:szCs w:val="24"/>
        </w:rPr>
        <w:t>s</w:t>
      </w:r>
      <w:r w:rsidR="00C7030F">
        <w:rPr>
          <w:rFonts w:ascii="Arial" w:hAnsi="Arial" w:cs="Arial"/>
          <w:sz w:val="24"/>
          <w:szCs w:val="24"/>
        </w:rPr>
        <w:t xml:space="preserve"> mounted</w:t>
      </w:r>
      <w:r w:rsidR="000D21E7">
        <w:rPr>
          <w:rFonts w:ascii="Arial" w:hAnsi="Arial" w:cs="Arial"/>
          <w:sz w:val="24"/>
          <w:szCs w:val="24"/>
        </w:rPr>
        <w:t xml:space="preserve"> by </w:t>
      </w:r>
      <w:r w:rsidR="00816A9D">
        <w:rPr>
          <w:rFonts w:ascii="Arial" w:hAnsi="Arial" w:cs="Arial"/>
          <w:sz w:val="24"/>
          <w:szCs w:val="24"/>
        </w:rPr>
        <w:t>N</w:t>
      </w:r>
      <w:r w:rsidR="000D21E7">
        <w:rPr>
          <w:rFonts w:ascii="Arial" w:hAnsi="Arial" w:cs="Arial"/>
          <w:sz w:val="24"/>
          <w:szCs w:val="24"/>
        </w:rPr>
        <w:t>PS i</w:t>
      </w:r>
      <w:r w:rsidR="00453DFD">
        <w:rPr>
          <w:rFonts w:ascii="Arial" w:hAnsi="Arial" w:cs="Arial"/>
          <w:sz w:val="24"/>
          <w:szCs w:val="24"/>
        </w:rPr>
        <w:t>n</w:t>
      </w:r>
      <w:r w:rsidR="000D21E7">
        <w:rPr>
          <w:rFonts w:ascii="Arial" w:hAnsi="Arial" w:cs="Arial"/>
          <w:sz w:val="24"/>
          <w:szCs w:val="24"/>
        </w:rPr>
        <w:t xml:space="preserve"> the application to review and set aside </w:t>
      </w:r>
      <w:r w:rsidR="006C2F22">
        <w:rPr>
          <w:rFonts w:ascii="Arial" w:hAnsi="Arial" w:cs="Arial"/>
          <w:sz w:val="24"/>
          <w:szCs w:val="24"/>
        </w:rPr>
        <w:t xml:space="preserve">the decision </w:t>
      </w:r>
      <w:r w:rsidR="00FF2986">
        <w:rPr>
          <w:rFonts w:ascii="Arial" w:hAnsi="Arial" w:cs="Arial"/>
          <w:sz w:val="24"/>
          <w:szCs w:val="24"/>
        </w:rPr>
        <w:t xml:space="preserve">of the Review Panel was that PIS should not be able to seek the relief as it approached the </w:t>
      </w:r>
      <w:r w:rsidR="00F7280A">
        <w:rPr>
          <w:rFonts w:ascii="Arial" w:hAnsi="Arial" w:cs="Arial"/>
          <w:sz w:val="24"/>
          <w:szCs w:val="24"/>
        </w:rPr>
        <w:t>court with unclean hand</w:t>
      </w:r>
      <w:r w:rsidR="00453DFD">
        <w:rPr>
          <w:rFonts w:ascii="Arial" w:hAnsi="Arial" w:cs="Arial"/>
          <w:sz w:val="24"/>
          <w:szCs w:val="24"/>
        </w:rPr>
        <w:t>s</w:t>
      </w:r>
      <w:r w:rsidR="00F7280A">
        <w:rPr>
          <w:rFonts w:ascii="Arial" w:hAnsi="Arial" w:cs="Arial"/>
          <w:sz w:val="24"/>
          <w:szCs w:val="24"/>
        </w:rPr>
        <w:t>.</w:t>
      </w:r>
      <w:r w:rsidR="005941CB">
        <w:rPr>
          <w:rFonts w:ascii="Arial" w:hAnsi="Arial" w:cs="Arial"/>
          <w:sz w:val="24"/>
          <w:szCs w:val="24"/>
        </w:rPr>
        <w:t xml:space="preserve"> The conduct complained </w:t>
      </w:r>
      <w:r w:rsidR="00847C2A">
        <w:rPr>
          <w:rFonts w:ascii="Arial" w:hAnsi="Arial" w:cs="Arial"/>
          <w:sz w:val="24"/>
          <w:szCs w:val="24"/>
        </w:rPr>
        <w:t xml:space="preserve">of </w:t>
      </w:r>
      <w:r w:rsidR="005941CB">
        <w:rPr>
          <w:rFonts w:ascii="Arial" w:hAnsi="Arial" w:cs="Arial"/>
          <w:sz w:val="24"/>
          <w:szCs w:val="24"/>
        </w:rPr>
        <w:t>was that PIS did not comply with</w:t>
      </w:r>
      <w:r w:rsidR="00847C2A">
        <w:rPr>
          <w:rFonts w:ascii="Arial" w:hAnsi="Arial" w:cs="Arial"/>
          <w:sz w:val="24"/>
          <w:szCs w:val="24"/>
        </w:rPr>
        <w:t xml:space="preserve"> the labour legislation and it </w:t>
      </w:r>
      <w:r w:rsidR="00870CBE">
        <w:rPr>
          <w:rFonts w:ascii="Arial" w:hAnsi="Arial" w:cs="Arial"/>
          <w:sz w:val="24"/>
          <w:szCs w:val="24"/>
        </w:rPr>
        <w:t>failed to adhere to the minimum prescribed wages.</w:t>
      </w:r>
    </w:p>
    <w:p w14:paraId="1DE72991" w14:textId="77777777" w:rsidR="00870CBE" w:rsidRDefault="00870CBE" w:rsidP="00870CB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832618A" w14:textId="3E124FEF" w:rsidR="00E03D7A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[27]</w:t>
      </w:r>
      <w:r>
        <w:rPr>
          <w:rFonts w:ascii="Arial" w:hAnsi="Arial" w:cs="Arial"/>
          <w:sz w:val="24"/>
          <w:szCs w:val="24"/>
        </w:rPr>
        <w:tab/>
      </w:r>
      <w:r w:rsidR="00870CBE">
        <w:rPr>
          <w:rFonts w:ascii="Arial" w:hAnsi="Arial" w:cs="Arial"/>
          <w:sz w:val="24"/>
          <w:szCs w:val="24"/>
        </w:rPr>
        <w:t xml:space="preserve">The court </w:t>
      </w:r>
      <w:r w:rsidR="00870CBE">
        <w:rPr>
          <w:rFonts w:ascii="Arial" w:hAnsi="Arial" w:cs="Arial"/>
          <w:i/>
          <w:sz w:val="24"/>
          <w:szCs w:val="24"/>
        </w:rPr>
        <w:t xml:space="preserve">a quo </w:t>
      </w:r>
      <w:r w:rsidR="00747114">
        <w:rPr>
          <w:rFonts w:ascii="Arial" w:hAnsi="Arial" w:cs="Arial"/>
          <w:sz w:val="24"/>
          <w:szCs w:val="24"/>
        </w:rPr>
        <w:t>fou</w:t>
      </w:r>
      <w:r w:rsidR="00870CBE">
        <w:rPr>
          <w:rFonts w:ascii="Arial" w:hAnsi="Arial" w:cs="Arial"/>
          <w:sz w:val="24"/>
          <w:szCs w:val="24"/>
        </w:rPr>
        <w:t>nd that the in</w:t>
      </w:r>
      <w:r w:rsidR="00A4106F">
        <w:rPr>
          <w:rFonts w:ascii="Arial" w:hAnsi="Arial" w:cs="Arial"/>
          <w:sz w:val="24"/>
          <w:szCs w:val="24"/>
        </w:rPr>
        <w:t xml:space="preserve">stances where the minimum wages were allegedly not adhered to </w:t>
      </w:r>
      <w:r w:rsidR="00446541">
        <w:rPr>
          <w:rFonts w:ascii="Arial" w:hAnsi="Arial" w:cs="Arial"/>
          <w:sz w:val="24"/>
          <w:szCs w:val="24"/>
        </w:rPr>
        <w:t>w</w:t>
      </w:r>
      <w:r w:rsidR="0027751E">
        <w:rPr>
          <w:rFonts w:ascii="Arial" w:hAnsi="Arial" w:cs="Arial"/>
          <w:sz w:val="24"/>
          <w:szCs w:val="24"/>
        </w:rPr>
        <w:t>ere</w:t>
      </w:r>
      <w:r w:rsidR="00446541">
        <w:rPr>
          <w:rFonts w:ascii="Arial" w:hAnsi="Arial" w:cs="Arial"/>
          <w:sz w:val="24"/>
          <w:szCs w:val="24"/>
        </w:rPr>
        <w:t xml:space="preserve"> isolated instances unrelated to the bid </w:t>
      </w:r>
      <w:r w:rsidR="00555FB3">
        <w:rPr>
          <w:rFonts w:ascii="Arial" w:hAnsi="Arial" w:cs="Arial"/>
          <w:sz w:val="24"/>
          <w:szCs w:val="24"/>
        </w:rPr>
        <w:t xml:space="preserve">and were in some cases disputed and further that the alleged non-compliances were not of such a nature </w:t>
      </w:r>
      <w:r w:rsidR="00E03D7A">
        <w:rPr>
          <w:rFonts w:ascii="Arial" w:hAnsi="Arial" w:cs="Arial"/>
          <w:sz w:val="24"/>
          <w:szCs w:val="24"/>
        </w:rPr>
        <w:t xml:space="preserve">to disqualify PIS from seeking the relief </w:t>
      </w:r>
      <w:r w:rsidR="0030003A">
        <w:rPr>
          <w:rFonts w:ascii="Arial" w:hAnsi="Arial" w:cs="Arial"/>
          <w:sz w:val="24"/>
          <w:szCs w:val="24"/>
        </w:rPr>
        <w:t>it seeks</w:t>
      </w:r>
      <w:r w:rsidR="00E03D7A">
        <w:rPr>
          <w:rFonts w:ascii="Arial" w:hAnsi="Arial" w:cs="Arial"/>
          <w:sz w:val="24"/>
          <w:szCs w:val="24"/>
        </w:rPr>
        <w:t>.</w:t>
      </w:r>
    </w:p>
    <w:p w14:paraId="4FD4B802" w14:textId="77777777" w:rsidR="00E03D7A" w:rsidRDefault="00E03D7A" w:rsidP="00DA381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2EA40C81" w14:textId="60B5EB57" w:rsidR="00116B9C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[28]</w:t>
      </w:r>
      <w:r>
        <w:rPr>
          <w:rFonts w:ascii="Arial" w:hAnsi="Arial" w:cs="Arial"/>
          <w:sz w:val="24"/>
          <w:szCs w:val="24"/>
        </w:rPr>
        <w:tab/>
      </w:r>
      <w:r w:rsidR="0030003A">
        <w:rPr>
          <w:rFonts w:ascii="Arial" w:hAnsi="Arial" w:cs="Arial"/>
          <w:sz w:val="24"/>
          <w:szCs w:val="24"/>
        </w:rPr>
        <w:t xml:space="preserve">It is submitted on behalf of </w:t>
      </w:r>
      <w:r w:rsidR="00F36BD8">
        <w:rPr>
          <w:rFonts w:ascii="Arial" w:hAnsi="Arial" w:cs="Arial"/>
          <w:sz w:val="24"/>
          <w:szCs w:val="24"/>
        </w:rPr>
        <w:t>N</w:t>
      </w:r>
      <w:r w:rsidR="0030003A">
        <w:rPr>
          <w:rFonts w:ascii="Arial" w:hAnsi="Arial" w:cs="Arial"/>
          <w:sz w:val="24"/>
          <w:szCs w:val="24"/>
        </w:rPr>
        <w:t>PS</w:t>
      </w:r>
      <w:r w:rsidR="00BD7367">
        <w:rPr>
          <w:rFonts w:ascii="Arial" w:hAnsi="Arial" w:cs="Arial"/>
          <w:sz w:val="24"/>
          <w:szCs w:val="24"/>
        </w:rPr>
        <w:t xml:space="preserve"> </w:t>
      </w:r>
      <w:r w:rsidR="004A3589">
        <w:rPr>
          <w:rFonts w:ascii="Arial" w:hAnsi="Arial" w:cs="Arial"/>
          <w:sz w:val="24"/>
          <w:szCs w:val="24"/>
        </w:rPr>
        <w:t>that the court was wrong in this approach and that it should</w:t>
      </w:r>
      <w:r w:rsidR="00F62740">
        <w:rPr>
          <w:rFonts w:ascii="Arial" w:hAnsi="Arial" w:cs="Arial"/>
          <w:sz w:val="24"/>
          <w:szCs w:val="24"/>
        </w:rPr>
        <w:t xml:space="preserve"> have found th</w:t>
      </w:r>
      <w:r w:rsidR="00963ACA">
        <w:rPr>
          <w:rFonts w:ascii="Arial" w:hAnsi="Arial" w:cs="Arial"/>
          <w:sz w:val="24"/>
          <w:szCs w:val="24"/>
        </w:rPr>
        <w:t>at</w:t>
      </w:r>
      <w:r w:rsidR="00F62740">
        <w:rPr>
          <w:rFonts w:ascii="Arial" w:hAnsi="Arial" w:cs="Arial"/>
          <w:sz w:val="24"/>
          <w:szCs w:val="24"/>
        </w:rPr>
        <w:t xml:space="preserve"> PIS was acting dishonest</w:t>
      </w:r>
      <w:r w:rsidR="009F730B">
        <w:rPr>
          <w:rFonts w:ascii="Arial" w:hAnsi="Arial" w:cs="Arial"/>
          <w:sz w:val="24"/>
          <w:szCs w:val="24"/>
        </w:rPr>
        <w:t>l</w:t>
      </w:r>
      <w:r w:rsidR="00F62740">
        <w:rPr>
          <w:rFonts w:ascii="Arial" w:hAnsi="Arial" w:cs="Arial"/>
          <w:sz w:val="24"/>
          <w:szCs w:val="24"/>
        </w:rPr>
        <w:t xml:space="preserve">y. In this regard reliance is placed </w:t>
      </w:r>
      <w:r w:rsidR="00C7030F">
        <w:rPr>
          <w:rFonts w:ascii="Arial" w:hAnsi="Arial" w:cs="Arial"/>
          <w:sz w:val="24"/>
          <w:szCs w:val="24"/>
        </w:rPr>
        <w:t>o</w:t>
      </w:r>
      <w:r w:rsidR="008B0C55">
        <w:rPr>
          <w:rFonts w:ascii="Arial" w:hAnsi="Arial" w:cs="Arial"/>
          <w:sz w:val="24"/>
          <w:szCs w:val="24"/>
        </w:rPr>
        <w:t xml:space="preserve">n the principle </w:t>
      </w:r>
      <w:r w:rsidR="009F730B">
        <w:rPr>
          <w:rFonts w:ascii="Arial" w:hAnsi="Arial" w:cs="Arial"/>
          <w:sz w:val="24"/>
          <w:szCs w:val="24"/>
        </w:rPr>
        <w:t>that something done contrary to a dire</w:t>
      </w:r>
      <w:r w:rsidR="004659E3">
        <w:rPr>
          <w:rFonts w:ascii="Arial" w:hAnsi="Arial" w:cs="Arial"/>
          <w:sz w:val="24"/>
          <w:szCs w:val="24"/>
        </w:rPr>
        <w:t xml:space="preserve">ct prohibition of the law </w:t>
      </w:r>
      <w:r w:rsidR="00D434AE">
        <w:rPr>
          <w:rFonts w:ascii="Arial" w:hAnsi="Arial" w:cs="Arial"/>
          <w:sz w:val="24"/>
          <w:szCs w:val="24"/>
        </w:rPr>
        <w:t>is void and of no effect</w:t>
      </w:r>
      <w:r w:rsidR="008E7B34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116B9C">
        <w:rPr>
          <w:rFonts w:ascii="Arial" w:hAnsi="Arial" w:cs="Arial"/>
          <w:sz w:val="24"/>
          <w:szCs w:val="24"/>
        </w:rPr>
        <w:t>.</w:t>
      </w:r>
    </w:p>
    <w:p w14:paraId="66807A4A" w14:textId="77777777" w:rsidR="00116B9C" w:rsidRDefault="00116B9C" w:rsidP="00DA381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69E06962" w14:textId="6C6E5B6A" w:rsidR="004822C7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[29]</w:t>
      </w:r>
      <w:r>
        <w:rPr>
          <w:rFonts w:ascii="Arial" w:hAnsi="Arial" w:cs="Arial"/>
          <w:sz w:val="24"/>
          <w:szCs w:val="24"/>
        </w:rPr>
        <w:tab/>
      </w:r>
      <w:r w:rsidR="00116B9C">
        <w:rPr>
          <w:rFonts w:ascii="Arial" w:hAnsi="Arial" w:cs="Arial"/>
          <w:sz w:val="24"/>
          <w:szCs w:val="24"/>
        </w:rPr>
        <w:t xml:space="preserve">If the bid of PIS </w:t>
      </w:r>
      <w:r w:rsidR="00AC47A1">
        <w:rPr>
          <w:rFonts w:ascii="Arial" w:hAnsi="Arial" w:cs="Arial"/>
          <w:sz w:val="24"/>
          <w:szCs w:val="24"/>
        </w:rPr>
        <w:t>is</w:t>
      </w:r>
      <w:r w:rsidR="00116B9C">
        <w:rPr>
          <w:rFonts w:ascii="Arial" w:hAnsi="Arial" w:cs="Arial"/>
          <w:sz w:val="24"/>
          <w:szCs w:val="24"/>
        </w:rPr>
        <w:t xml:space="preserve"> premise</w:t>
      </w:r>
      <w:r w:rsidR="009444F6">
        <w:rPr>
          <w:rFonts w:ascii="Arial" w:hAnsi="Arial" w:cs="Arial"/>
          <w:sz w:val="24"/>
          <w:szCs w:val="24"/>
        </w:rPr>
        <w:t>d</w:t>
      </w:r>
      <w:r w:rsidR="00116B9C">
        <w:rPr>
          <w:rFonts w:ascii="Arial" w:hAnsi="Arial" w:cs="Arial"/>
          <w:sz w:val="24"/>
          <w:szCs w:val="24"/>
        </w:rPr>
        <w:t xml:space="preserve"> on the</w:t>
      </w:r>
      <w:r w:rsidR="009444F6">
        <w:rPr>
          <w:rFonts w:ascii="Arial" w:hAnsi="Arial" w:cs="Arial"/>
          <w:sz w:val="24"/>
          <w:szCs w:val="24"/>
        </w:rPr>
        <w:t xml:space="preserve"> payment of unlawfully low wages to its employees th</w:t>
      </w:r>
      <w:r w:rsidR="0027751E">
        <w:rPr>
          <w:rFonts w:ascii="Arial" w:hAnsi="Arial" w:cs="Arial"/>
          <w:sz w:val="24"/>
          <w:szCs w:val="24"/>
        </w:rPr>
        <w:t>e</w:t>
      </w:r>
      <w:r w:rsidR="009444F6">
        <w:rPr>
          <w:rFonts w:ascii="Arial" w:hAnsi="Arial" w:cs="Arial"/>
          <w:sz w:val="24"/>
          <w:szCs w:val="24"/>
        </w:rPr>
        <w:t xml:space="preserve">n it will be a ground for the review of the </w:t>
      </w:r>
      <w:r w:rsidR="00E55FA5">
        <w:rPr>
          <w:rFonts w:ascii="Arial" w:hAnsi="Arial" w:cs="Arial"/>
          <w:sz w:val="24"/>
          <w:szCs w:val="24"/>
        </w:rPr>
        <w:t>decision. In such instance it would be unlawful</w:t>
      </w:r>
      <w:r w:rsidR="00921498">
        <w:rPr>
          <w:rFonts w:ascii="Arial" w:hAnsi="Arial" w:cs="Arial"/>
          <w:sz w:val="24"/>
          <w:szCs w:val="24"/>
        </w:rPr>
        <w:t>ly</w:t>
      </w:r>
      <w:r w:rsidR="00D0590B">
        <w:rPr>
          <w:rFonts w:ascii="Arial" w:hAnsi="Arial" w:cs="Arial"/>
          <w:sz w:val="24"/>
          <w:szCs w:val="24"/>
        </w:rPr>
        <w:t xml:space="preserve"> undercutting the bids of others, would probably have to cut corners in </w:t>
      </w:r>
      <w:r w:rsidR="00E06A97">
        <w:rPr>
          <w:rFonts w:ascii="Arial" w:hAnsi="Arial" w:cs="Arial"/>
          <w:sz w:val="24"/>
          <w:szCs w:val="24"/>
        </w:rPr>
        <w:t xml:space="preserve">the execution of the work as its workers would not tolerate being paid such </w:t>
      </w:r>
      <w:r w:rsidR="00817296">
        <w:rPr>
          <w:rFonts w:ascii="Arial" w:hAnsi="Arial" w:cs="Arial"/>
          <w:sz w:val="24"/>
          <w:szCs w:val="24"/>
        </w:rPr>
        <w:t xml:space="preserve">low wages and may even have issues </w:t>
      </w:r>
      <w:r w:rsidR="00DD36B2">
        <w:rPr>
          <w:rFonts w:ascii="Arial" w:hAnsi="Arial" w:cs="Arial"/>
          <w:sz w:val="24"/>
          <w:szCs w:val="24"/>
        </w:rPr>
        <w:t xml:space="preserve">from the Labour Commissioner </w:t>
      </w:r>
      <w:r w:rsidR="000F7252">
        <w:rPr>
          <w:rFonts w:ascii="Arial" w:hAnsi="Arial" w:cs="Arial"/>
          <w:sz w:val="24"/>
          <w:szCs w:val="24"/>
        </w:rPr>
        <w:t>and face industrial action. In short</w:t>
      </w:r>
      <w:r w:rsidR="00747114">
        <w:rPr>
          <w:rFonts w:ascii="Arial" w:hAnsi="Arial" w:cs="Arial"/>
          <w:sz w:val="24"/>
          <w:szCs w:val="24"/>
        </w:rPr>
        <w:t>,</w:t>
      </w:r>
      <w:r w:rsidR="000F7252">
        <w:rPr>
          <w:rFonts w:ascii="Arial" w:hAnsi="Arial" w:cs="Arial"/>
          <w:sz w:val="24"/>
          <w:szCs w:val="24"/>
        </w:rPr>
        <w:t xml:space="preserve"> the consequences </w:t>
      </w:r>
      <w:r w:rsidR="00BC514F">
        <w:rPr>
          <w:rFonts w:ascii="Arial" w:hAnsi="Arial" w:cs="Arial"/>
          <w:sz w:val="24"/>
          <w:szCs w:val="24"/>
        </w:rPr>
        <w:t xml:space="preserve">will </w:t>
      </w:r>
      <w:r w:rsidR="000F7252">
        <w:rPr>
          <w:rFonts w:ascii="Arial" w:hAnsi="Arial" w:cs="Arial"/>
          <w:sz w:val="24"/>
          <w:szCs w:val="24"/>
        </w:rPr>
        <w:t xml:space="preserve">be such that the smooth </w:t>
      </w:r>
      <w:r w:rsidR="00C410B7">
        <w:rPr>
          <w:rFonts w:ascii="Arial" w:hAnsi="Arial" w:cs="Arial"/>
          <w:sz w:val="24"/>
          <w:szCs w:val="24"/>
        </w:rPr>
        <w:t xml:space="preserve">rendering of the </w:t>
      </w:r>
      <w:r w:rsidR="00C410B7">
        <w:rPr>
          <w:rFonts w:ascii="Arial" w:hAnsi="Arial" w:cs="Arial"/>
          <w:sz w:val="24"/>
          <w:szCs w:val="24"/>
        </w:rPr>
        <w:lastRenderedPageBreak/>
        <w:t xml:space="preserve">services it is supposed to render </w:t>
      </w:r>
      <w:r w:rsidR="009848A7">
        <w:rPr>
          <w:rFonts w:ascii="Arial" w:hAnsi="Arial" w:cs="Arial"/>
          <w:sz w:val="24"/>
          <w:szCs w:val="24"/>
        </w:rPr>
        <w:t xml:space="preserve">simply will not take place. In such circumstances the lowest bid </w:t>
      </w:r>
      <w:r w:rsidR="00B21199">
        <w:rPr>
          <w:rFonts w:ascii="Arial" w:hAnsi="Arial" w:cs="Arial"/>
          <w:sz w:val="24"/>
          <w:szCs w:val="24"/>
        </w:rPr>
        <w:t xml:space="preserve">(based on wages below the minimum) will simply </w:t>
      </w:r>
      <w:r w:rsidR="00315980">
        <w:rPr>
          <w:rFonts w:ascii="Arial" w:hAnsi="Arial" w:cs="Arial"/>
          <w:sz w:val="24"/>
          <w:szCs w:val="24"/>
        </w:rPr>
        <w:t xml:space="preserve">not be a sustainable bid as it would not be likely to </w:t>
      </w:r>
      <w:r w:rsidR="004822C7">
        <w:rPr>
          <w:rFonts w:ascii="Arial" w:hAnsi="Arial" w:cs="Arial"/>
          <w:sz w:val="24"/>
          <w:szCs w:val="24"/>
        </w:rPr>
        <w:t>deliver what was promised.</w:t>
      </w:r>
    </w:p>
    <w:p w14:paraId="6137C225" w14:textId="77777777" w:rsidR="004822C7" w:rsidRPr="00FE12BA" w:rsidRDefault="004822C7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31FF4B6" w14:textId="3A305D0C" w:rsidR="00AC19C3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[30]</w:t>
      </w:r>
      <w:r>
        <w:rPr>
          <w:rFonts w:ascii="Arial" w:hAnsi="Arial" w:cs="Arial"/>
          <w:sz w:val="24"/>
          <w:szCs w:val="24"/>
        </w:rPr>
        <w:tab/>
      </w:r>
      <w:r w:rsidR="004822C7">
        <w:rPr>
          <w:rFonts w:ascii="Arial" w:hAnsi="Arial" w:cs="Arial"/>
          <w:sz w:val="24"/>
          <w:szCs w:val="24"/>
        </w:rPr>
        <w:t>Where a bi</w:t>
      </w:r>
      <w:r w:rsidR="001E1F34">
        <w:rPr>
          <w:rFonts w:ascii="Arial" w:hAnsi="Arial" w:cs="Arial"/>
          <w:sz w:val="24"/>
          <w:szCs w:val="24"/>
        </w:rPr>
        <w:t xml:space="preserve">d </w:t>
      </w:r>
      <w:r w:rsidR="004822C7">
        <w:rPr>
          <w:rFonts w:ascii="Arial" w:hAnsi="Arial" w:cs="Arial"/>
          <w:sz w:val="24"/>
          <w:szCs w:val="24"/>
        </w:rPr>
        <w:t xml:space="preserve">is of such </w:t>
      </w:r>
      <w:r w:rsidR="00747114">
        <w:rPr>
          <w:rFonts w:ascii="Arial" w:hAnsi="Arial" w:cs="Arial"/>
          <w:sz w:val="24"/>
          <w:szCs w:val="24"/>
        </w:rPr>
        <w:t xml:space="preserve">a </w:t>
      </w:r>
      <w:r w:rsidR="004822C7">
        <w:rPr>
          <w:rFonts w:ascii="Arial" w:hAnsi="Arial" w:cs="Arial"/>
          <w:sz w:val="24"/>
          <w:szCs w:val="24"/>
        </w:rPr>
        <w:t xml:space="preserve">nature </w:t>
      </w:r>
      <w:r w:rsidR="00D05623">
        <w:rPr>
          <w:rFonts w:ascii="Arial" w:hAnsi="Arial" w:cs="Arial"/>
          <w:sz w:val="24"/>
          <w:szCs w:val="24"/>
        </w:rPr>
        <w:t xml:space="preserve">that </w:t>
      </w:r>
      <w:r w:rsidR="001E1F34">
        <w:rPr>
          <w:rFonts w:ascii="Arial" w:hAnsi="Arial" w:cs="Arial"/>
          <w:sz w:val="24"/>
          <w:szCs w:val="24"/>
        </w:rPr>
        <w:t>it will have to be performed by employees</w:t>
      </w:r>
      <w:r w:rsidR="00D05623">
        <w:rPr>
          <w:rFonts w:ascii="Arial" w:hAnsi="Arial" w:cs="Arial"/>
          <w:sz w:val="24"/>
          <w:szCs w:val="24"/>
        </w:rPr>
        <w:t xml:space="preserve"> </w:t>
      </w:r>
      <w:r w:rsidR="00E222CA">
        <w:rPr>
          <w:rFonts w:ascii="Arial" w:hAnsi="Arial" w:cs="Arial"/>
          <w:sz w:val="24"/>
          <w:szCs w:val="24"/>
        </w:rPr>
        <w:t xml:space="preserve">of a bidder it is implied that the applicable labour legislation relevant </w:t>
      </w:r>
      <w:r w:rsidR="002C33D7">
        <w:rPr>
          <w:rFonts w:ascii="Arial" w:hAnsi="Arial" w:cs="Arial"/>
          <w:sz w:val="24"/>
          <w:szCs w:val="24"/>
        </w:rPr>
        <w:t>to such employ</w:t>
      </w:r>
      <w:r w:rsidR="00EE3C02">
        <w:rPr>
          <w:rFonts w:ascii="Arial" w:hAnsi="Arial" w:cs="Arial"/>
          <w:sz w:val="24"/>
          <w:szCs w:val="24"/>
        </w:rPr>
        <w:t>ees will be adhered to as every</w:t>
      </w:r>
      <w:r w:rsidR="002C33D7">
        <w:rPr>
          <w:rFonts w:ascii="Arial" w:hAnsi="Arial" w:cs="Arial"/>
          <w:sz w:val="24"/>
          <w:szCs w:val="24"/>
        </w:rPr>
        <w:t>one</w:t>
      </w:r>
      <w:r w:rsidR="00EE3C02">
        <w:rPr>
          <w:rFonts w:ascii="Arial" w:hAnsi="Arial" w:cs="Arial"/>
          <w:sz w:val="24"/>
          <w:szCs w:val="24"/>
        </w:rPr>
        <w:t xml:space="preserve"> </w:t>
      </w:r>
      <w:r w:rsidR="00841D15">
        <w:rPr>
          <w:rFonts w:ascii="Arial" w:hAnsi="Arial" w:cs="Arial"/>
          <w:sz w:val="24"/>
          <w:szCs w:val="24"/>
        </w:rPr>
        <w:t xml:space="preserve">is supposed to obey the law. </w:t>
      </w:r>
      <w:r w:rsidR="00702255">
        <w:rPr>
          <w:rFonts w:ascii="Arial" w:hAnsi="Arial" w:cs="Arial"/>
          <w:sz w:val="24"/>
          <w:szCs w:val="24"/>
        </w:rPr>
        <w:t xml:space="preserve">It seems an undertaking was given in this matter by all the bidders </w:t>
      </w:r>
      <w:r w:rsidR="00C10759">
        <w:rPr>
          <w:rFonts w:ascii="Arial" w:hAnsi="Arial" w:cs="Arial"/>
          <w:sz w:val="24"/>
          <w:szCs w:val="24"/>
        </w:rPr>
        <w:t>in terms of s</w:t>
      </w:r>
      <w:r w:rsidR="00747114">
        <w:rPr>
          <w:rFonts w:ascii="Arial" w:hAnsi="Arial" w:cs="Arial"/>
          <w:sz w:val="24"/>
          <w:szCs w:val="24"/>
        </w:rPr>
        <w:t xml:space="preserve"> 138</w:t>
      </w:r>
      <w:r w:rsidR="00C10759">
        <w:rPr>
          <w:rFonts w:ascii="Arial" w:hAnsi="Arial" w:cs="Arial"/>
          <w:sz w:val="24"/>
          <w:szCs w:val="24"/>
        </w:rPr>
        <w:t>(2</w:t>
      </w:r>
      <w:r w:rsidR="00747114">
        <w:rPr>
          <w:rFonts w:ascii="Arial" w:hAnsi="Arial" w:cs="Arial"/>
          <w:sz w:val="24"/>
          <w:szCs w:val="24"/>
        </w:rPr>
        <w:t xml:space="preserve">) and (3) of the Labour Act </w:t>
      </w:r>
      <w:r w:rsidR="003C40C3">
        <w:rPr>
          <w:rFonts w:ascii="Arial" w:hAnsi="Arial" w:cs="Arial"/>
          <w:sz w:val="24"/>
          <w:szCs w:val="24"/>
        </w:rPr>
        <w:t xml:space="preserve">11 of 2007. </w:t>
      </w:r>
      <w:r w:rsidR="00434E38">
        <w:rPr>
          <w:rFonts w:ascii="Arial" w:hAnsi="Arial" w:cs="Arial"/>
          <w:sz w:val="24"/>
          <w:szCs w:val="24"/>
        </w:rPr>
        <w:t xml:space="preserve">Any </w:t>
      </w:r>
      <w:r w:rsidR="00EA57FA">
        <w:rPr>
          <w:rFonts w:ascii="Arial" w:hAnsi="Arial" w:cs="Arial"/>
          <w:sz w:val="24"/>
          <w:szCs w:val="24"/>
        </w:rPr>
        <w:t xml:space="preserve">non-compliance with </w:t>
      </w:r>
      <w:r w:rsidR="00EA57FA" w:rsidRPr="00072F8A">
        <w:rPr>
          <w:rFonts w:ascii="Arial" w:hAnsi="Arial" w:cs="Arial"/>
          <w:sz w:val="24"/>
          <w:szCs w:val="24"/>
        </w:rPr>
        <w:t xml:space="preserve">the </w:t>
      </w:r>
      <w:r w:rsidR="00747114" w:rsidRPr="00072F8A">
        <w:rPr>
          <w:rFonts w:ascii="Arial" w:hAnsi="Arial" w:cs="Arial"/>
          <w:sz w:val="24"/>
          <w:szCs w:val="24"/>
        </w:rPr>
        <w:t>Labour A</w:t>
      </w:r>
      <w:r w:rsidR="00EA57FA" w:rsidRPr="00072F8A">
        <w:rPr>
          <w:rFonts w:ascii="Arial" w:hAnsi="Arial" w:cs="Arial"/>
          <w:sz w:val="24"/>
          <w:szCs w:val="24"/>
        </w:rPr>
        <w:t>ct may</w:t>
      </w:r>
      <w:r w:rsidR="00EA57FA">
        <w:rPr>
          <w:rFonts w:ascii="Arial" w:hAnsi="Arial" w:cs="Arial"/>
          <w:sz w:val="24"/>
          <w:szCs w:val="24"/>
        </w:rPr>
        <w:t xml:space="preserve"> thus cause an order by the Labour Court </w:t>
      </w:r>
      <w:r w:rsidR="00601681">
        <w:rPr>
          <w:rFonts w:ascii="Arial" w:hAnsi="Arial" w:cs="Arial"/>
          <w:sz w:val="24"/>
          <w:szCs w:val="24"/>
        </w:rPr>
        <w:t>compelling compliance with the minimum wages</w:t>
      </w:r>
      <w:r w:rsidR="00D02951">
        <w:rPr>
          <w:rFonts w:ascii="Arial" w:hAnsi="Arial" w:cs="Arial"/>
          <w:sz w:val="24"/>
          <w:szCs w:val="24"/>
        </w:rPr>
        <w:t xml:space="preserve"> which would compel</w:t>
      </w:r>
      <w:r w:rsidR="00FA6E75">
        <w:rPr>
          <w:rFonts w:ascii="Arial" w:hAnsi="Arial" w:cs="Arial"/>
          <w:sz w:val="24"/>
          <w:szCs w:val="24"/>
        </w:rPr>
        <w:t xml:space="preserve"> a bidder </w:t>
      </w:r>
      <w:r w:rsidR="00D02951">
        <w:rPr>
          <w:rFonts w:ascii="Arial" w:hAnsi="Arial" w:cs="Arial"/>
          <w:sz w:val="24"/>
          <w:szCs w:val="24"/>
        </w:rPr>
        <w:t>to pay the minimum wages</w:t>
      </w:r>
      <w:r w:rsidR="00E22721">
        <w:rPr>
          <w:rFonts w:ascii="Arial" w:hAnsi="Arial" w:cs="Arial"/>
          <w:sz w:val="24"/>
          <w:szCs w:val="24"/>
        </w:rPr>
        <w:t>. Such an order will</w:t>
      </w:r>
      <w:r w:rsidR="00FA6E75">
        <w:rPr>
          <w:rFonts w:ascii="Arial" w:hAnsi="Arial" w:cs="Arial"/>
          <w:sz w:val="24"/>
          <w:szCs w:val="24"/>
        </w:rPr>
        <w:t xml:space="preserve"> not only</w:t>
      </w:r>
      <w:r w:rsidR="00072F8A">
        <w:rPr>
          <w:rFonts w:ascii="Arial" w:hAnsi="Arial" w:cs="Arial"/>
          <w:sz w:val="24"/>
          <w:szCs w:val="24"/>
        </w:rPr>
        <w:t xml:space="preserve"> a</w:t>
      </w:r>
      <w:r w:rsidR="004A6FE3">
        <w:rPr>
          <w:rFonts w:ascii="Arial" w:hAnsi="Arial" w:cs="Arial"/>
          <w:sz w:val="24"/>
          <w:szCs w:val="24"/>
        </w:rPr>
        <w:t>ffect such employe</w:t>
      </w:r>
      <w:r w:rsidR="006B2525">
        <w:rPr>
          <w:rFonts w:ascii="Arial" w:hAnsi="Arial" w:cs="Arial"/>
          <w:sz w:val="24"/>
          <w:szCs w:val="24"/>
        </w:rPr>
        <w:t xml:space="preserve">r’s </w:t>
      </w:r>
      <w:r w:rsidR="004A6FE3">
        <w:rPr>
          <w:rFonts w:ascii="Arial" w:hAnsi="Arial" w:cs="Arial"/>
          <w:sz w:val="24"/>
          <w:szCs w:val="24"/>
        </w:rPr>
        <w:t xml:space="preserve">reputation in respect of </w:t>
      </w:r>
      <w:r w:rsidR="002F0DB6">
        <w:rPr>
          <w:rFonts w:ascii="Arial" w:hAnsi="Arial" w:cs="Arial"/>
          <w:sz w:val="24"/>
          <w:szCs w:val="24"/>
        </w:rPr>
        <w:t xml:space="preserve">any </w:t>
      </w:r>
      <w:r w:rsidR="00BC514F">
        <w:rPr>
          <w:rFonts w:ascii="Arial" w:hAnsi="Arial" w:cs="Arial"/>
          <w:sz w:val="24"/>
          <w:szCs w:val="24"/>
        </w:rPr>
        <w:t xml:space="preserve">future </w:t>
      </w:r>
      <w:r w:rsidR="002F0DB6">
        <w:rPr>
          <w:rFonts w:ascii="Arial" w:hAnsi="Arial" w:cs="Arial"/>
          <w:sz w:val="24"/>
          <w:szCs w:val="24"/>
        </w:rPr>
        <w:t>bids envisaged</w:t>
      </w:r>
      <w:r w:rsidR="00E22721">
        <w:rPr>
          <w:rFonts w:ascii="Arial" w:hAnsi="Arial" w:cs="Arial"/>
          <w:sz w:val="24"/>
          <w:szCs w:val="24"/>
        </w:rPr>
        <w:t xml:space="preserve">, but </w:t>
      </w:r>
      <w:r w:rsidR="00B537E4">
        <w:rPr>
          <w:rFonts w:ascii="Arial" w:hAnsi="Arial" w:cs="Arial"/>
          <w:sz w:val="24"/>
          <w:szCs w:val="24"/>
        </w:rPr>
        <w:t xml:space="preserve">will </w:t>
      </w:r>
      <w:r w:rsidR="00E22721">
        <w:rPr>
          <w:rFonts w:ascii="Arial" w:hAnsi="Arial" w:cs="Arial"/>
          <w:sz w:val="24"/>
          <w:szCs w:val="24"/>
        </w:rPr>
        <w:t xml:space="preserve">also </w:t>
      </w:r>
      <w:r w:rsidR="002F0DB6">
        <w:rPr>
          <w:rFonts w:ascii="Arial" w:hAnsi="Arial" w:cs="Arial"/>
          <w:sz w:val="24"/>
          <w:szCs w:val="24"/>
        </w:rPr>
        <w:t xml:space="preserve">render the continuance </w:t>
      </w:r>
      <w:r w:rsidR="007B39F5">
        <w:rPr>
          <w:rFonts w:ascii="Arial" w:hAnsi="Arial" w:cs="Arial"/>
          <w:sz w:val="24"/>
          <w:szCs w:val="24"/>
        </w:rPr>
        <w:t xml:space="preserve">of the tender unaffordable </w:t>
      </w:r>
      <w:r w:rsidR="00CF1582">
        <w:rPr>
          <w:rFonts w:ascii="Arial" w:hAnsi="Arial" w:cs="Arial"/>
          <w:sz w:val="24"/>
          <w:szCs w:val="24"/>
        </w:rPr>
        <w:t>or, at least less profitable</w:t>
      </w:r>
      <w:r w:rsidR="00AC19C3">
        <w:rPr>
          <w:rFonts w:ascii="Arial" w:hAnsi="Arial" w:cs="Arial"/>
          <w:sz w:val="24"/>
          <w:szCs w:val="24"/>
        </w:rPr>
        <w:t>.</w:t>
      </w:r>
    </w:p>
    <w:p w14:paraId="6BFBB9D7" w14:textId="77777777" w:rsidR="00AC19C3" w:rsidRPr="00FE12BA" w:rsidRDefault="00AC19C3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3155123" w14:textId="2B717208" w:rsidR="00166AC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[31]</w:t>
      </w:r>
      <w:r>
        <w:rPr>
          <w:rFonts w:ascii="Arial" w:hAnsi="Arial" w:cs="Arial"/>
          <w:sz w:val="24"/>
          <w:szCs w:val="24"/>
        </w:rPr>
        <w:tab/>
      </w:r>
      <w:r w:rsidR="00AC19C3">
        <w:rPr>
          <w:rFonts w:ascii="Arial" w:hAnsi="Arial" w:cs="Arial"/>
          <w:sz w:val="24"/>
          <w:szCs w:val="24"/>
        </w:rPr>
        <w:t>In view of the above considerations</w:t>
      </w:r>
      <w:r w:rsidR="00872E48">
        <w:rPr>
          <w:rFonts w:ascii="Arial" w:hAnsi="Arial" w:cs="Arial"/>
          <w:sz w:val="24"/>
          <w:szCs w:val="24"/>
        </w:rPr>
        <w:t xml:space="preserve"> it</w:t>
      </w:r>
      <w:r w:rsidR="00AC19C3">
        <w:rPr>
          <w:rFonts w:ascii="Arial" w:hAnsi="Arial" w:cs="Arial"/>
          <w:sz w:val="24"/>
          <w:szCs w:val="24"/>
        </w:rPr>
        <w:t xml:space="preserve"> is highly unlikely </w:t>
      </w:r>
      <w:r w:rsidR="005A4EBF">
        <w:rPr>
          <w:rFonts w:ascii="Arial" w:hAnsi="Arial" w:cs="Arial"/>
          <w:sz w:val="24"/>
          <w:szCs w:val="24"/>
        </w:rPr>
        <w:t xml:space="preserve">that PIS, seeing </w:t>
      </w:r>
      <w:r w:rsidR="00872E48">
        <w:rPr>
          <w:rFonts w:ascii="Arial" w:hAnsi="Arial" w:cs="Arial"/>
          <w:sz w:val="24"/>
          <w:szCs w:val="24"/>
        </w:rPr>
        <w:t xml:space="preserve">its </w:t>
      </w:r>
      <w:r w:rsidR="0089548F">
        <w:rPr>
          <w:rFonts w:ascii="Arial" w:hAnsi="Arial" w:cs="Arial"/>
          <w:sz w:val="24"/>
          <w:szCs w:val="24"/>
        </w:rPr>
        <w:t xml:space="preserve">size, market, scale of operations </w:t>
      </w:r>
      <w:r w:rsidR="007358DB">
        <w:rPr>
          <w:rFonts w:ascii="Arial" w:hAnsi="Arial" w:cs="Arial"/>
          <w:sz w:val="24"/>
          <w:szCs w:val="24"/>
        </w:rPr>
        <w:t xml:space="preserve">and clientele, would have deliberately and dishonestly decided to ignore the </w:t>
      </w:r>
      <w:r w:rsidR="000B0E74">
        <w:rPr>
          <w:rFonts w:ascii="Arial" w:hAnsi="Arial" w:cs="Arial"/>
          <w:sz w:val="24"/>
          <w:szCs w:val="24"/>
        </w:rPr>
        <w:t xml:space="preserve">legal </w:t>
      </w:r>
      <w:r w:rsidR="007358DB">
        <w:rPr>
          <w:rFonts w:ascii="Arial" w:hAnsi="Arial" w:cs="Arial"/>
          <w:sz w:val="24"/>
          <w:szCs w:val="24"/>
        </w:rPr>
        <w:t>minimum wage</w:t>
      </w:r>
      <w:r w:rsidR="000B0E74">
        <w:rPr>
          <w:rFonts w:ascii="Arial" w:hAnsi="Arial" w:cs="Arial"/>
          <w:sz w:val="24"/>
          <w:szCs w:val="24"/>
        </w:rPr>
        <w:t xml:space="preserve"> when </w:t>
      </w:r>
      <w:r w:rsidR="00187CE4">
        <w:rPr>
          <w:rFonts w:ascii="Arial" w:hAnsi="Arial" w:cs="Arial"/>
          <w:sz w:val="24"/>
          <w:szCs w:val="24"/>
        </w:rPr>
        <w:t>submitting its bid</w:t>
      </w:r>
      <w:r w:rsidR="00166AC9">
        <w:rPr>
          <w:rFonts w:ascii="Arial" w:hAnsi="Arial" w:cs="Arial"/>
          <w:sz w:val="24"/>
          <w:szCs w:val="24"/>
        </w:rPr>
        <w:t>.</w:t>
      </w:r>
    </w:p>
    <w:p w14:paraId="53D67212" w14:textId="77777777" w:rsidR="00B11A06" w:rsidRPr="00FE12BA" w:rsidRDefault="00B11A06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4E30BE1" w14:textId="0962B975" w:rsidR="00DA381F" w:rsidRPr="008622A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622A9">
        <w:rPr>
          <w:rFonts w:ascii="Arial" w:hAnsi="Arial" w:cs="Arial"/>
          <w:sz w:val="24"/>
          <w:szCs w:val="24"/>
        </w:rPr>
        <w:t>[32]</w:t>
      </w:r>
      <w:r w:rsidRPr="008622A9">
        <w:rPr>
          <w:rFonts w:ascii="Arial" w:hAnsi="Arial" w:cs="Arial"/>
          <w:sz w:val="24"/>
          <w:szCs w:val="24"/>
        </w:rPr>
        <w:tab/>
      </w:r>
      <w:r w:rsidR="00B11A06">
        <w:rPr>
          <w:rFonts w:ascii="Arial" w:hAnsi="Arial" w:cs="Arial"/>
          <w:sz w:val="24"/>
          <w:szCs w:val="24"/>
        </w:rPr>
        <w:t xml:space="preserve">It is </w:t>
      </w:r>
      <w:r w:rsidR="00CB1686">
        <w:rPr>
          <w:rFonts w:ascii="Arial" w:hAnsi="Arial" w:cs="Arial"/>
          <w:sz w:val="24"/>
          <w:szCs w:val="24"/>
        </w:rPr>
        <w:t xml:space="preserve">not for the court to police PIS’s compliance with labour legislation. </w:t>
      </w:r>
      <w:r w:rsidR="00576893">
        <w:rPr>
          <w:rFonts w:ascii="Arial" w:hAnsi="Arial" w:cs="Arial"/>
          <w:sz w:val="24"/>
          <w:szCs w:val="24"/>
        </w:rPr>
        <w:t>Firstly, it</w:t>
      </w:r>
      <w:r w:rsidR="003A0B8B">
        <w:rPr>
          <w:rFonts w:ascii="Arial" w:hAnsi="Arial" w:cs="Arial"/>
          <w:sz w:val="24"/>
          <w:szCs w:val="24"/>
        </w:rPr>
        <w:t xml:space="preserve"> i</w:t>
      </w:r>
      <w:r w:rsidR="00576893">
        <w:rPr>
          <w:rFonts w:ascii="Arial" w:hAnsi="Arial" w:cs="Arial"/>
          <w:sz w:val="24"/>
          <w:szCs w:val="24"/>
        </w:rPr>
        <w:t xml:space="preserve">s implied </w:t>
      </w:r>
      <w:r w:rsidR="0050527D">
        <w:rPr>
          <w:rFonts w:ascii="Arial" w:hAnsi="Arial" w:cs="Arial"/>
          <w:sz w:val="24"/>
          <w:szCs w:val="24"/>
        </w:rPr>
        <w:t xml:space="preserve">that if they employ people to render the services for which they tendered </w:t>
      </w:r>
      <w:r w:rsidR="004155F5">
        <w:rPr>
          <w:rFonts w:ascii="Arial" w:hAnsi="Arial" w:cs="Arial"/>
          <w:sz w:val="24"/>
          <w:szCs w:val="24"/>
        </w:rPr>
        <w:t>that they will comply with the l</w:t>
      </w:r>
      <w:r w:rsidR="000311F1">
        <w:rPr>
          <w:rFonts w:ascii="Arial" w:hAnsi="Arial" w:cs="Arial"/>
          <w:sz w:val="24"/>
          <w:szCs w:val="24"/>
        </w:rPr>
        <w:t xml:space="preserve">abour </w:t>
      </w:r>
      <w:r w:rsidR="004155F5">
        <w:rPr>
          <w:rFonts w:ascii="Arial" w:hAnsi="Arial" w:cs="Arial"/>
          <w:sz w:val="24"/>
          <w:szCs w:val="24"/>
        </w:rPr>
        <w:t>l</w:t>
      </w:r>
      <w:r w:rsidR="000311F1">
        <w:rPr>
          <w:rFonts w:ascii="Arial" w:hAnsi="Arial" w:cs="Arial"/>
          <w:sz w:val="24"/>
          <w:szCs w:val="24"/>
        </w:rPr>
        <w:t>aw in respect of the</w:t>
      </w:r>
      <w:r w:rsidR="003A0B8B">
        <w:rPr>
          <w:rFonts w:ascii="Arial" w:hAnsi="Arial" w:cs="Arial"/>
          <w:sz w:val="24"/>
          <w:szCs w:val="24"/>
        </w:rPr>
        <w:t>ir</w:t>
      </w:r>
      <w:r w:rsidR="000311F1">
        <w:rPr>
          <w:rFonts w:ascii="Arial" w:hAnsi="Arial" w:cs="Arial"/>
          <w:sz w:val="24"/>
          <w:szCs w:val="24"/>
        </w:rPr>
        <w:t xml:space="preserve"> employees.</w:t>
      </w:r>
      <w:r w:rsidR="003A0B8B">
        <w:rPr>
          <w:rFonts w:ascii="Arial" w:hAnsi="Arial" w:cs="Arial"/>
          <w:sz w:val="24"/>
          <w:szCs w:val="24"/>
        </w:rPr>
        <w:t xml:space="preserve"> Secondly, </w:t>
      </w:r>
      <w:r w:rsidR="00C23CC5">
        <w:rPr>
          <w:rFonts w:ascii="Arial" w:hAnsi="Arial" w:cs="Arial"/>
          <w:sz w:val="24"/>
          <w:szCs w:val="24"/>
        </w:rPr>
        <w:t xml:space="preserve">they gave such an undertaking. Thirdly, compliance </w:t>
      </w:r>
      <w:r w:rsidR="00DE45DB">
        <w:rPr>
          <w:rFonts w:ascii="Arial" w:hAnsi="Arial" w:cs="Arial"/>
          <w:sz w:val="24"/>
          <w:szCs w:val="24"/>
        </w:rPr>
        <w:t>can be enforce</w:t>
      </w:r>
      <w:r w:rsidR="007515F6">
        <w:rPr>
          <w:rFonts w:ascii="Arial" w:hAnsi="Arial" w:cs="Arial"/>
          <w:sz w:val="24"/>
          <w:szCs w:val="24"/>
        </w:rPr>
        <w:t>d</w:t>
      </w:r>
      <w:r w:rsidR="00DE45DB">
        <w:rPr>
          <w:rFonts w:ascii="Arial" w:hAnsi="Arial" w:cs="Arial"/>
          <w:sz w:val="24"/>
          <w:szCs w:val="24"/>
        </w:rPr>
        <w:t xml:space="preserve"> </w:t>
      </w:r>
      <w:r w:rsidR="007515F6">
        <w:rPr>
          <w:rFonts w:ascii="Arial" w:hAnsi="Arial" w:cs="Arial"/>
          <w:sz w:val="24"/>
          <w:szCs w:val="24"/>
        </w:rPr>
        <w:t xml:space="preserve">via </w:t>
      </w:r>
      <w:r w:rsidR="00DE45DB">
        <w:rPr>
          <w:rFonts w:ascii="Arial" w:hAnsi="Arial" w:cs="Arial"/>
          <w:sz w:val="24"/>
          <w:szCs w:val="24"/>
        </w:rPr>
        <w:t>the labour</w:t>
      </w:r>
      <w:r w:rsidR="007515F6">
        <w:rPr>
          <w:rFonts w:ascii="Arial" w:hAnsi="Arial" w:cs="Arial"/>
          <w:sz w:val="24"/>
          <w:szCs w:val="24"/>
        </w:rPr>
        <w:t xml:space="preserve"> legislation and the office of the Labour Commissioner</w:t>
      </w:r>
      <w:r w:rsidR="006B2550">
        <w:rPr>
          <w:rFonts w:ascii="Arial" w:hAnsi="Arial" w:cs="Arial"/>
          <w:sz w:val="24"/>
          <w:szCs w:val="24"/>
        </w:rPr>
        <w:t>. F</w:t>
      </w:r>
      <w:r w:rsidR="006B2525">
        <w:rPr>
          <w:rFonts w:ascii="Arial" w:hAnsi="Arial" w:cs="Arial"/>
          <w:sz w:val="24"/>
          <w:szCs w:val="24"/>
        </w:rPr>
        <w:t>ourthly</w:t>
      </w:r>
      <w:r w:rsidR="004155F5">
        <w:rPr>
          <w:rFonts w:ascii="Arial" w:hAnsi="Arial" w:cs="Arial"/>
          <w:sz w:val="24"/>
          <w:szCs w:val="24"/>
        </w:rPr>
        <w:t>,</w:t>
      </w:r>
      <w:r w:rsidR="006B2525">
        <w:rPr>
          <w:rFonts w:ascii="Arial" w:hAnsi="Arial" w:cs="Arial"/>
          <w:sz w:val="24"/>
          <w:szCs w:val="24"/>
        </w:rPr>
        <w:t xml:space="preserve"> </w:t>
      </w:r>
      <w:r w:rsidR="006B2550">
        <w:rPr>
          <w:rFonts w:ascii="Arial" w:hAnsi="Arial" w:cs="Arial"/>
          <w:sz w:val="24"/>
          <w:szCs w:val="24"/>
        </w:rPr>
        <w:t>the possible consequences of non-compliance</w:t>
      </w:r>
      <w:r w:rsidR="00A74CBD">
        <w:rPr>
          <w:rFonts w:ascii="Arial" w:hAnsi="Arial" w:cs="Arial"/>
          <w:sz w:val="24"/>
          <w:szCs w:val="24"/>
        </w:rPr>
        <w:t xml:space="preserve"> on service delivery </w:t>
      </w:r>
      <w:proofErr w:type="gramStart"/>
      <w:r w:rsidR="00A74CBD">
        <w:rPr>
          <w:rFonts w:ascii="Arial" w:hAnsi="Arial" w:cs="Arial"/>
          <w:sz w:val="24"/>
          <w:szCs w:val="24"/>
        </w:rPr>
        <w:t>has</w:t>
      </w:r>
      <w:proofErr w:type="gramEnd"/>
      <w:r w:rsidR="00A74CBD">
        <w:rPr>
          <w:rFonts w:ascii="Arial" w:hAnsi="Arial" w:cs="Arial"/>
          <w:sz w:val="24"/>
          <w:szCs w:val="24"/>
        </w:rPr>
        <w:t xml:space="preserve"> been set out above</w:t>
      </w:r>
      <w:r w:rsidR="0067539F">
        <w:rPr>
          <w:rFonts w:ascii="Arial" w:hAnsi="Arial" w:cs="Arial"/>
          <w:sz w:val="24"/>
          <w:szCs w:val="24"/>
        </w:rPr>
        <w:t>. Lastly, non-compliance may lead to the cancellation of the contract awarded to</w:t>
      </w:r>
      <w:r w:rsidR="002B01EB">
        <w:rPr>
          <w:rFonts w:ascii="Arial" w:hAnsi="Arial" w:cs="Arial"/>
          <w:sz w:val="24"/>
          <w:szCs w:val="24"/>
        </w:rPr>
        <w:t xml:space="preserve"> PIS.</w:t>
      </w:r>
    </w:p>
    <w:p w14:paraId="754BB3CA" w14:textId="6C335C24" w:rsidR="00166AC9" w:rsidRPr="004155F5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155F5">
        <w:rPr>
          <w:rFonts w:ascii="Arial" w:hAnsi="Arial" w:cs="Arial"/>
          <w:sz w:val="24"/>
          <w:szCs w:val="24"/>
        </w:rPr>
        <w:lastRenderedPageBreak/>
        <w:t>[33]</w:t>
      </w:r>
      <w:r w:rsidRPr="004155F5">
        <w:rPr>
          <w:rFonts w:ascii="Arial" w:hAnsi="Arial" w:cs="Arial"/>
          <w:sz w:val="24"/>
          <w:szCs w:val="24"/>
        </w:rPr>
        <w:tab/>
      </w:r>
      <w:r w:rsidR="002B01EB">
        <w:rPr>
          <w:rFonts w:ascii="Arial" w:hAnsi="Arial" w:cs="Arial"/>
          <w:sz w:val="24"/>
          <w:szCs w:val="24"/>
        </w:rPr>
        <w:t xml:space="preserve">Whereas the response </w:t>
      </w:r>
      <w:r w:rsidR="00D17917">
        <w:rPr>
          <w:rFonts w:ascii="Arial" w:hAnsi="Arial" w:cs="Arial"/>
          <w:sz w:val="24"/>
          <w:szCs w:val="24"/>
        </w:rPr>
        <w:t xml:space="preserve">by PIS to the allegations that they would not </w:t>
      </w:r>
      <w:r w:rsidR="00C23974">
        <w:rPr>
          <w:rFonts w:ascii="Arial" w:hAnsi="Arial" w:cs="Arial"/>
          <w:sz w:val="24"/>
          <w:szCs w:val="24"/>
        </w:rPr>
        <w:t>adhere to the payment of minimum wages is not satisfactory a</w:t>
      </w:r>
      <w:r w:rsidR="00D43934">
        <w:rPr>
          <w:rFonts w:ascii="Arial" w:hAnsi="Arial" w:cs="Arial"/>
          <w:sz w:val="24"/>
          <w:szCs w:val="24"/>
        </w:rPr>
        <w:t>nd</w:t>
      </w:r>
      <w:r w:rsidR="00C239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3974">
        <w:rPr>
          <w:rFonts w:ascii="Arial" w:hAnsi="Arial" w:cs="Arial"/>
          <w:sz w:val="24"/>
          <w:szCs w:val="24"/>
        </w:rPr>
        <w:t xml:space="preserve">in the nature of </w:t>
      </w:r>
      <w:r w:rsidR="00AB6DCC">
        <w:rPr>
          <w:rFonts w:ascii="Arial" w:hAnsi="Arial" w:cs="Arial"/>
          <w:sz w:val="24"/>
          <w:szCs w:val="24"/>
        </w:rPr>
        <w:t>a</w:t>
      </w:r>
      <w:proofErr w:type="gramEnd"/>
      <w:r w:rsidR="00AB6DCC">
        <w:rPr>
          <w:rFonts w:ascii="Arial" w:hAnsi="Arial" w:cs="Arial"/>
          <w:sz w:val="24"/>
          <w:szCs w:val="24"/>
        </w:rPr>
        <w:t xml:space="preserve"> bar</w:t>
      </w:r>
      <w:r w:rsidR="00D43934">
        <w:rPr>
          <w:rFonts w:ascii="Arial" w:hAnsi="Arial" w:cs="Arial"/>
          <w:sz w:val="24"/>
          <w:szCs w:val="24"/>
        </w:rPr>
        <w:t>e</w:t>
      </w:r>
      <w:r w:rsidR="00AB6DCC">
        <w:rPr>
          <w:rFonts w:ascii="Arial" w:hAnsi="Arial" w:cs="Arial"/>
          <w:sz w:val="24"/>
          <w:szCs w:val="24"/>
        </w:rPr>
        <w:t xml:space="preserve"> denial coupled by evasively referring to </w:t>
      </w:r>
      <w:r w:rsidR="00607EBD">
        <w:rPr>
          <w:rFonts w:ascii="Arial" w:hAnsi="Arial" w:cs="Arial"/>
          <w:sz w:val="24"/>
          <w:szCs w:val="24"/>
        </w:rPr>
        <w:t>the financial criteria in the bid document</w:t>
      </w:r>
      <w:r w:rsidR="00D43934">
        <w:rPr>
          <w:rFonts w:ascii="Arial" w:hAnsi="Arial" w:cs="Arial"/>
          <w:sz w:val="24"/>
          <w:szCs w:val="24"/>
        </w:rPr>
        <w:t>,</w:t>
      </w:r>
      <w:r w:rsidR="005606D2">
        <w:rPr>
          <w:rFonts w:ascii="Arial" w:hAnsi="Arial" w:cs="Arial"/>
          <w:sz w:val="24"/>
          <w:szCs w:val="24"/>
        </w:rPr>
        <w:t xml:space="preserve"> </w:t>
      </w:r>
      <w:r w:rsidR="00D43934">
        <w:rPr>
          <w:rFonts w:ascii="Arial" w:hAnsi="Arial" w:cs="Arial"/>
          <w:sz w:val="24"/>
          <w:szCs w:val="24"/>
        </w:rPr>
        <w:t>i</w:t>
      </w:r>
      <w:r w:rsidR="005606D2">
        <w:rPr>
          <w:rFonts w:ascii="Arial" w:hAnsi="Arial" w:cs="Arial"/>
          <w:sz w:val="24"/>
          <w:szCs w:val="24"/>
        </w:rPr>
        <w:t xml:space="preserve">t is still not clear that PIS intentionally </w:t>
      </w:r>
      <w:r w:rsidR="00BF5659">
        <w:rPr>
          <w:rFonts w:ascii="Arial" w:hAnsi="Arial" w:cs="Arial"/>
          <w:sz w:val="24"/>
          <w:szCs w:val="24"/>
        </w:rPr>
        <w:t>lodge</w:t>
      </w:r>
      <w:r w:rsidR="00B76473">
        <w:rPr>
          <w:rFonts w:ascii="Arial" w:hAnsi="Arial" w:cs="Arial"/>
          <w:sz w:val="24"/>
          <w:szCs w:val="24"/>
        </w:rPr>
        <w:t>d</w:t>
      </w:r>
      <w:r w:rsidR="00BF5659">
        <w:rPr>
          <w:rFonts w:ascii="Arial" w:hAnsi="Arial" w:cs="Arial"/>
          <w:sz w:val="24"/>
          <w:szCs w:val="24"/>
        </w:rPr>
        <w:t xml:space="preserve"> a bid</w:t>
      </w:r>
      <w:r w:rsidR="003E1677">
        <w:rPr>
          <w:rFonts w:ascii="Arial" w:hAnsi="Arial" w:cs="Arial"/>
          <w:sz w:val="24"/>
          <w:szCs w:val="24"/>
        </w:rPr>
        <w:t xml:space="preserve"> based on unlawful minimum wages seeing </w:t>
      </w:r>
      <w:r w:rsidR="00CD63AB">
        <w:rPr>
          <w:rFonts w:ascii="Arial" w:hAnsi="Arial" w:cs="Arial"/>
          <w:sz w:val="24"/>
          <w:szCs w:val="24"/>
        </w:rPr>
        <w:t>the</w:t>
      </w:r>
      <w:r w:rsidR="003E1677">
        <w:rPr>
          <w:rFonts w:ascii="Arial" w:hAnsi="Arial" w:cs="Arial"/>
          <w:sz w:val="24"/>
          <w:szCs w:val="24"/>
        </w:rPr>
        <w:t xml:space="preserve"> potential negative fallout</w:t>
      </w:r>
      <w:r w:rsidR="00C266F1">
        <w:rPr>
          <w:rFonts w:ascii="Arial" w:hAnsi="Arial" w:cs="Arial"/>
          <w:sz w:val="24"/>
          <w:szCs w:val="24"/>
        </w:rPr>
        <w:t xml:space="preserve"> from such action. I am thus of the view that it cannot be said that </w:t>
      </w:r>
      <w:r w:rsidR="00594D7C">
        <w:rPr>
          <w:rFonts w:ascii="Arial" w:hAnsi="Arial" w:cs="Arial"/>
          <w:sz w:val="24"/>
          <w:szCs w:val="24"/>
        </w:rPr>
        <w:t>the defence of</w:t>
      </w:r>
      <w:r w:rsidR="00CD63AB">
        <w:rPr>
          <w:rFonts w:ascii="Arial" w:hAnsi="Arial" w:cs="Arial"/>
          <w:sz w:val="24"/>
          <w:szCs w:val="24"/>
        </w:rPr>
        <w:t xml:space="preserve"> the bid awarded to them by challenging </w:t>
      </w:r>
      <w:r w:rsidR="00594D7C">
        <w:rPr>
          <w:rFonts w:ascii="Arial" w:hAnsi="Arial" w:cs="Arial"/>
          <w:sz w:val="24"/>
          <w:szCs w:val="24"/>
        </w:rPr>
        <w:t xml:space="preserve">the </w:t>
      </w:r>
      <w:r w:rsidR="00213565">
        <w:rPr>
          <w:rFonts w:ascii="Arial" w:hAnsi="Arial" w:cs="Arial"/>
          <w:sz w:val="24"/>
          <w:szCs w:val="24"/>
        </w:rPr>
        <w:t xml:space="preserve">decision of the Review Panel is contaminated by dishonesty </w:t>
      </w:r>
      <w:r w:rsidR="009050C0">
        <w:rPr>
          <w:rFonts w:ascii="Arial" w:hAnsi="Arial" w:cs="Arial"/>
          <w:sz w:val="24"/>
          <w:szCs w:val="24"/>
        </w:rPr>
        <w:t xml:space="preserve">to the </w:t>
      </w:r>
      <w:r w:rsidR="000171B8">
        <w:rPr>
          <w:rFonts w:ascii="Arial" w:hAnsi="Arial" w:cs="Arial"/>
          <w:sz w:val="24"/>
          <w:szCs w:val="24"/>
        </w:rPr>
        <w:t>extent</w:t>
      </w:r>
      <w:r w:rsidR="009050C0">
        <w:rPr>
          <w:rFonts w:ascii="Arial" w:hAnsi="Arial" w:cs="Arial"/>
          <w:sz w:val="24"/>
          <w:szCs w:val="24"/>
        </w:rPr>
        <w:t xml:space="preserve"> that the doors of the court </w:t>
      </w:r>
      <w:r w:rsidR="00D759AD">
        <w:rPr>
          <w:rFonts w:ascii="Arial" w:hAnsi="Arial" w:cs="Arial"/>
          <w:sz w:val="24"/>
          <w:szCs w:val="24"/>
        </w:rPr>
        <w:t>should be closed to PIS</w:t>
      </w:r>
      <w:r w:rsidR="00D759AD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33235D">
        <w:rPr>
          <w:rFonts w:ascii="Arial" w:hAnsi="Arial" w:cs="Arial"/>
          <w:sz w:val="24"/>
          <w:szCs w:val="24"/>
        </w:rPr>
        <w:t xml:space="preserve">. </w:t>
      </w:r>
      <w:r w:rsidR="00A066F5">
        <w:rPr>
          <w:rFonts w:ascii="Arial" w:hAnsi="Arial" w:cs="Arial"/>
          <w:sz w:val="24"/>
          <w:szCs w:val="24"/>
        </w:rPr>
        <w:t xml:space="preserve">I thus cannot fault the court </w:t>
      </w:r>
      <w:r w:rsidR="00A066F5">
        <w:rPr>
          <w:rFonts w:ascii="Arial" w:hAnsi="Arial" w:cs="Arial"/>
          <w:i/>
          <w:sz w:val="24"/>
          <w:szCs w:val="24"/>
        </w:rPr>
        <w:t xml:space="preserve">a quo </w:t>
      </w:r>
      <w:r w:rsidR="00A066F5">
        <w:rPr>
          <w:rFonts w:ascii="Arial" w:hAnsi="Arial" w:cs="Arial"/>
          <w:sz w:val="24"/>
          <w:szCs w:val="24"/>
        </w:rPr>
        <w:t xml:space="preserve">for deciding not to </w:t>
      </w:r>
      <w:r w:rsidR="00666E99">
        <w:rPr>
          <w:rFonts w:ascii="Arial" w:hAnsi="Arial" w:cs="Arial"/>
          <w:sz w:val="24"/>
          <w:szCs w:val="24"/>
        </w:rPr>
        <w:t xml:space="preserve">apply the doctrine of </w:t>
      </w:r>
      <w:r w:rsidR="00DA381F">
        <w:rPr>
          <w:rFonts w:ascii="Arial" w:hAnsi="Arial" w:cs="Arial"/>
          <w:sz w:val="24"/>
          <w:szCs w:val="24"/>
        </w:rPr>
        <w:t>un</w:t>
      </w:r>
      <w:r w:rsidR="00666E99">
        <w:rPr>
          <w:rFonts w:ascii="Arial" w:hAnsi="Arial" w:cs="Arial"/>
          <w:sz w:val="24"/>
          <w:szCs w:val="24"/>
        </w:rPr>
        <w:t>clean hands against PIS.</w:t>
      </w:r>
    </w:p>
    <w:p w14:paraId="743D52A7" w14:textId="77777777" w:rsidR="00B11895" w:rsidRDefault="00B11895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F98BDB0" w14:textId="77777777" w:rsidR="00B11895" w:rsidRPr="00B11895" w:rsidRDefault="00B11895" w:rsidP="00B1189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Sufficient time granted to potential </w:t>
      </w:r>
      <w:proofErr w:type="gramStart"/>
      <w:r>
        <w:rPr>
          <w:rFonts w:ascii="Arial" w:hAnsi="Arial" w:cs="Arial"/>
          <w:sz w:val="24"/>
          <w:szCs w:val="24"/>
          <w:u w:val="single"/>
        </w:rPr>
        <w:t>bidders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1B1EDDD" w14:textId="03A8578D" w:rsidR="00984A2C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[34]</w:t>
      </w:r>
      <w:r>
        <w:rPr>
          <w:rFonts w:ascii="Arial" w:hAnsi="Arial" w:cs="Arial"/>
          <w:sz w:val="24"/>
          <w:szCs w:val="24"/>
        </w:rPr>
        <w:tab/>
      </w:r>
      <w:r w:rsidR="00752EE4">
        <w:rPr>
          <w:rFonts w:ascii="Arial" w:hAnsi="Arial" w:cs="Arial"/>
          <w:sz w:val="24"/>
          <w:szCs w:val="24"/>
        </w:rPr>
        <w:t>As pointed out above</w:t>
      </w:r>
      <w:r w:rsidR="004155F5">
        <w:rPr>
          <w:rFonts w:ascii="Arial" w:hAnsi="Arial" w:cs="Arial"/>
          <w:sz w:val="24"/>
          <w:szCs w:val="24"/>
        </w:rPr>
        <w:t>,</w:t>
      </w:r>
      <w:r w:rsidR="00752EE4">
        <w:rPr>
          <w:rFonts w:ascii="Arial" w:hAnsi="Arial" w:cs="Arial"/>
          <w:sz w:val="24"/>
          <w:szCs w:val="24"/>
        </w:rPr>
        <w:t xml:space="preserve"> potential bidders were given 29 days instead of </w:t>
      </w:r>
      <w:r w:rsidR="00CD336A">
        <w:rPr>
          <w:rFonts w:ascii="Arial" w:hAnsi="Arial" w:cs="Arial"/>
          <w:sz w:val="24"/>
          <w:szCs w:val="24"/>
        </w:rPr>
        <w:t>30 days as prescribed in the regulations to present their bids. Th</w:t>
      </w:r>
      <w:r w:rsidR="0018166A">
        <w:rPr>
          <w:rFonts w:ascii="Arial" w:hAnsi="Arial" w:cs="Arial"/>
          <w:sz w:val="24"/>
          <w:szCs w:val="24"/>
        </w:rPr>
        <w:t>is</w:t>
      </w:r>
      <w:r w:rsidR="00CD336A">
        <w:rPr>
          <w:rFonts w:ascii="Arial" w:hAnsi="Arial" w:cs="Arial"/>
          <w:sz w:val="24"/>
          <w:szCs w:val="24"/>
        </w:rPr>
        <w:t xml:space="preserve"> </w:t>
      </w:r>
      <w:r w:rsidR="00024B1A">
        <w:rPr>
          <w:rFonts w:ascii="Arial" w:hAnsi="Arial" w:cs="Arial"/>
          <w:sz w:val="24"/>
          <w:szCs w:val="24"/>
        </w:rPr>
        <w:t xml:space="preserve">the </w:t>
      </w:r>
      <w:r w:rsidR="00CD336A">
        <w:rPr>
          <w:rFonts w:ascii="Arial" w:hAnsi="Arial" w:cs="Arial"/>
          <w:sz w:val="24"/>
          <w:szCs w:val="24"/>
        </w:rPr>
        <w:t>Review Panel</w:t>
      </w:r>
      <w:r w:rsidR="0018166A">
        <w:rPr>
          <w:rFonts w:ascii="Arial" w:hAnsi="Arial" w:cs="Arial"/>
          <w:sz w:val="24"/>
          <w:szCs w:val="24"/>
        </w:rPr>
        <w:t xml:space="preserve"> gave </w:t>
      </w:r>
      <w:r w:rsidR="00B51ABB">
        <w:rPr>
          <w:rFonts w:ascii="Arial" w:hAnsi="Arial" w:cs="Arial"/>
          <w:sz w:val="24"/>
          <w:szCs w:val="24"/>
        </w:rPr>
        <w:t>a</w:t>
      </w:r>
      <w:r w:rsidR="0018166A">
        <w:rPr>
          <w:rFonts w:ascii="Arial" w:hAnsi="Arial" w:cs="Arial"/>
          <w:sz w:val="24"/>
          <w:szCs w:val="24"/>
        </w:rPr>
        <w:t xml:space="preserve">s one of </w:t>
      </w:r>
      <w:r w:rsidR="00706AE3">
        <w:rPr>
          <w:rFonts w:ascii="Arial" w:hAnsi="Arial" w:cs="Arial"/>
          <w:sz w:val="24"/>
          <w:szCs w:val="24"/>
        </w:rPr>
        <w:t xml:space="preserve">its grounds to order that the process had to start afresh. Counsel for </w:t>
      </w:r>
      <w:r w:rsidR="00BB25AF">
        <w:rPr>
          <w:rFonts w:ascii="Arial" w:hAnsi="Arial" w:cs="Arial"/>
          <w:sz w:val="24"/>
          <w:szCs w:val="24"/>
        </w:rPr>
        <w:t>NPS support</w:t>
      </w:r>
      <w:r w:rsidR="00B51ABB">
        <w:rPr>
          <w:rFonts w:ascii="Arial" w:hAnsi="Arial" w:cs="Arial"/>
          <w:sz w:val="24"/>
          <w:szCs w:val="24"/>
        </w:rPr>
        <w:t>s</w:t>
      </w:r>
      <w:r w:rsidR="00BB25AF">
        <w:rPr>
          <w:rFonts w:ascii="Arial" w:hAnsi="Arial" w:cs="Arial"/>
          <w:sz w:val="24"/>
          <w:szCs w:val="24"/>
        </w:rPr>
        <w:t xml:space="preserve"> th</w:t>
      </w:r>
      <w:r w:rsidR="006F59EA">
        <w:rPr>
          <w:rFonts w:ascii="Arial" w:hAnsi="Arial" w:cs="Arial"/>
          <w:sz w:val="24"/>
          <w:szCs w:val="24"/>
        </w:rPr>
        <w:t>is</w:t>
      </w:r>
      <w:r w:rsidR="00BB25AF">
        <w:rPr>
          <w:rFonts w:ascii="Arial" w:hAnsi="Arial" w:cs="Arial"/>
          <w:sz w:val="24"/>
          <w:szCs w:val="24"/>
        </w:rPr>
        <w:t xml:space="preserve"> approach and submit</w:t>
      </w:r>
      <w:r w:rsidR="004155F5">
        <w:rPr>
          <w:rFonts w:ascii="Arial" w:hAnsi="Arial" w:cs="Arial"/>
          <w:sz w:val="24"/>
          <w:szCs w:val="24"/>
        </w:rPr>
        <w:t>s that the</w:t>
      </w:r>
      <w:r w:rsidR="00BB25AF">
        <w:rPr>
          <w:rFonts w:ascii="Arial" w:hAnsi="Arial" w:cs="Arial"/>
          <w:sz w:val="24"/>
          <w:szCs w:val="24"/>
        </w:rPr>
        <w:t xml:space="preserve"> non-compliance </w:t>
      </w:r>
      <w:r w:rsidR="00654449">
        <w:rPr>
          <w:rFonts w:ascii="Arial" w:hAnsi="Arial" w:cs="Arial"/>
          <w:sz w:val="24"/>
          <w:szCs w:val="24"/>
        </w:rPr>
        <w:t xml:space="preserve">with the regulations was fatal to the case of PIS </w:t>
      </w:r>
      <w:r w:rsidR="00984A2C">
        <w:rPr>
          <w:rFonts w:ascii="Arial" w:hAnsi="Arial" w:cs="Arial"/>
          <w:sz w:val="24"/>
          <w:szCs w:val="24"/>
        </w:rPr>
        <w:t>and its intended review of the Review Panel</w:t>
      </w:r>
      <w:r w:rsidR="004155F5">
        <w:rPr>
          <w:rFonts w:ascii="Arial" w:hAnsi="Arial" w:cs="Arial"/>
          <w:sz w:val="24"/>
          <w:szCs w:val="24"/>
        </w:rPr>
        <w:t>’s decision</w:t>
      </w:r>
      <w:r w:rsidR="00984A2C">
        <w:rPr>
          <w:rFonts w:ascii="Arial" w:hAnsi="Arial" w:cs="Arial"/>
          <w:sz w:val="24"/>
          <w:szCs w:val="24"/>
        </w:rPr>
        <w:t>.</w:t>
      </w:r>
    </w:p>
    <w:p w14:paraId="31FF2AE7" w14:textId="77777777" w:rsidR="00984A2C" w:rsidRDefault="00984A2C" w:rsidP="00984A2C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51D9DD0" w14:textId="22828155" w:rsidR="00166AC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[35]</w:t>
      </w:r>
      <w:r>
        <w:rPr>
          <w:rFonts w:ascii="Arial" w:hAnsi="Arial" w:cs="Arial"/>
          <w:sz w:val="24"/>
          <w:szCs w:val="24"/>
        </w:rPr>
        <w:tab/>
      </w:r>
      <w:r w:rsidR="005862B8">
        <w:rPr>
          <w:rFonts w:ascii="Arial" w:hAnsi="Arial" w:cs="Arial"/>
          <w:sz w:val="24"/>
          <w:szCs w:val="24"/>
        </w:rPr>
        <w:t xml:space="preserve">The court </w:t>
      </w:r>
      <w:r w:rsidR="005862B8">
        <w:rPr>
          <w:rFonts w:ascii="Arial" w:hAnsi="Arial" w:cs="Arial"/>
          <w:i/>
          <w:sz w:val="24"/>
          <w:szCs w:val="24"/>
        </w:rPr>
        <w:t xml:space="preserve">a quo </w:t>
      </w:r>
      <w:r w:rsidR="00294945">
        <w:rPr>
          <w:rFonts w:ascii="Arial" w:hAnsi="Arial" w:cs="Arial"/>
          <w:sz w:val="24"/>
          <w:szCs w:val="24"/>
        </w:rPr>
        <w:t xml:space="preserve">after </w:t>
      </w:r>
      <w:r w:rsidR="005862B8">
        <w:rPr>
          <w:rFonts w:ascii="Arial" w:hAnsi="Arial" w:cs="Arial"/>
          <w:sz w:val="24"/>
          <w:szCs w:val="24"/>
        </w:rPr>
        <w:t xml:space="preserve">considering </w:t>
      </w:r>
      <w:r w:rsidR="00294945">
        <w:rPr>
          <w:rFonts w:ascii="Arial" w:hAnsi="Arial" w:cs="Arial"/>
          <w:sz w:val="24"/>
          <w:szCs w:val="24"/>
        </w:rPr>
        <w:t>s 47 of the Act he</w:t>
      </w:r>
      <w:r w:rsidR="00515DBE">
        <w:rPr>
          <w:rFonts w:ascii="Arial" w:hAnsi="Arial" w:cs="Arial"/>
          <w:sz w:val="24"/>
          <w:szCs w:val="24"/>
        </w:rPr>
        <w:t xml:space="preserve">ld that the prescribed </w:t>
      </w:r>
      <w:proofErr w:type="gramStart"/>
      <w:r w:rsidR="00515DBE">
        <w:rPr>
          <w:rFonts w:ascii="Arial" w:hAnsi="Arial" w:cs="Arial"/>
          <w:sz w:val="24"/>
          <w:szCs w:val="24"/>
        </w:rPr>
        <w:t>time period</w:t>
      </w:r>
      <w:proofErr w:type="gramEnd"/>
      <w:r w:rsidR="00515DBE">
        <w:rPr>
          <w:rFonts w:ascii="Arial" w:hAnsi="Arial" w:cs="Arial"/>
          <w:sz w:val="24"/>
          <w:szCs w:val="24"/>
        </w:rPr>
        <w:t xml:space="preserve"> </w:t>
      </w:r>
      <w:r w:rsidR="00757200">
        <w:rPr>
          <w:rFonts w:ascii="Arial" w:hAnsi="Arial" w:cs="Arial"/>
          <w:sz w:val="24"/>
          <w:szCs w:val="24"/>
        </w:rPr>
        <w:t xml:space="preserve">of 30 days was directive and not peremptory </w:t>
      </w:r>
      <w:r w:rsidR="004E5ADA">
        <w:rPr>
          <w:rFonts w:ascii="Arial" w:hAnsi="Arial" w:cs="Arial"/>
          <w:sz w:val="24"/>
          <w:szCs w:val="24"/>
        </w:rPr>
        <w:t xml:space="preserve">and hence did not agree that the 29 days’ notice instead of </w:t>
      </w:r>
      <w:r w:rsidR="00EC5167">
        <w:rPr>
          <w:rFonts w:ascii="Arial" w:hAnsi="Arial" w:cs="Arial"/>
          <w:sz w:val="24"/>
          <w:szCs w:val="24"/>
        </w:rPr>
        <w:t>30 days was fatal to the whole bidding process.</w:t>
      </w:r>
      <w:r w:rsidR="00951496">
        <w:rPr>
          <w:rFonts w:ascii="Arial" w:hAnsi="Arial" w:cs="Arial"/>
          <w:sz w:val="24"/>
          <w:szCs w:val="24"/>
        </w:rPr>
        <w:t xml:space="preserve"> In coming to its conclusion</w:t>
      </w:r>
      <w:r w:rsidR="004155F5">
        <w:rPr>
          <w:rFonts w:ascii="Arial" w:hAnsi="Arial" w:cs="Arial"/>
          <w:sz w:val="24"/>
          <w:szCs w:val="24"/>
        </w:rPr>
        <w:t>,</w:t>
      </w:r>
      <w:r w:rsidR="00951496">
        <w:rPr>
          <w:rFonts w:ascii="Arial" w:hAnsi="Arial" w:cs="Arial"/>
          <w:sz w:val="24"/>
          <w:szCs w:val="24"/>
        </w:rPr>
        <w:t xml:space="preserve"> the court </w:t>
      </w:r>
      <w:r w:rsidR="00951496">
        <w:rPr>
          <w:rFonts w:ascii="Arial" w:hAnsi="Arial" w:cs="Arial"/>
          <w:i/>
          <w:sz w:val="24"/>
          <w:szCs w:val="24"/>
        </w:rPr>
        <w:t xml:space="preserve">a quo </w:t>
      </w:r>
      <w:r w:rsidR="007D2C62">
        <w:rPr>
          <w:rFonts w:ascii="Arial" w:hAnsi="Arial" w:cs="Arial"/>
          <w:sz w:val="24"/>
          <w:szCs w:val="24"/>
        </w:rPr>
        <w:t xml:space="preserve">referred to the decisions of this court to the effect that not all non-compliances </w:t>
      </w:r>
      <w:r w:rsidR="00D412DF">
        <w:rPr>
          <w:rFonts w:ascii="Arial" w:hAnsi="Arial" w:cs="Arial"/>
          <w:sz w:val="24"/>
          <w:szCs w:val="24"/>
        </w:rPr>
        <w:t xml:space="preserve">with </w:t>
      </w:r>
      <w:r w:rsidR="007D2C62">
        <w:rPr>
          <w:rFonts w:ascii="Arial" w:hAnsi="Arial" w:cs="Arial"/>
          <w:sz w:val="24"/>
          <w:szCs w:val="24"/>
        </w:rPr>
        <w:t xml:space="preserve">statutory </w:t>
      </w:r>
      <w:r w:rsidR="00DA381F">
        <w:rPr>
          <w:rFonts w:ascii="Arial" w:hAnsi="Arial" w:cs="Arial"/>
          <w:sz w:val="24"/>
          <w:szCs w:val="24"/>
        </w:rPr>
        <w:t xml:space="preserve">provisions necessarily lead </w:t>
      </w:r>
      <w:r w:rsidR="001D1F26">
        <w:rPr>
          <w:rFonts w:ascii="Arial" w:hAnsi="Arial" w:cs="Arial"/>
          <w:sz w:val="24"/>
          <w:szCs w:val="24"/>
        </w:rPr>
        <w:t xml:space="preserve">to </w:t>
      </w:r>
      <w:r w:rsidR="0075252C">
        <w:rPr>
          <w:rFonts w:ascii="Arial" w:hAnsi="Arial" w:cs="Arial"/>
          <w:sz w:val="24"/>
          <w:szCs w:val="24"/>
        </w:rPr>
        <w:t>invalid</w:t>
      </w:r>
      <w:r w:rsidR="00FB7755">
        <w:rPr>
          <w:rFonts w:ascii="Arial" w:hAnsi="Arial" w:cs="Arial"/>
          <w:sz w:val="24"/>
          <w:szCs w:val="24"/>
        </w:rPr>
        <w:t>it</w:t>
      </w:r>
      <w:r w:rsidR="0075252C">
        <w:rPr>
          <w:rFonts w:ascii="Arial" w:hAnsi="Arial" w:cs="Arial"/>
          <w:sz w:val="24"/>
          <w:szCs w:val="24"/>
        </w:rPr>
        <w:t>y</w:t>
      </w:r>
      <w:r w:rsidR="00AB1D03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4155F5">
        <w:rPr>
          <w:rFonts w:ascii="Arial" w:hAnsi="Arial" w:cs="Arial"/>
          <w:sz w:val="24"/>
          <w:szCs w:val="24"/>
        </w:rPr>
        <w:t xml:space="preserve">. </w:t>
      </w:r>
      <w:r w:rsidR="00BD546F">
        <w:rPr>
          <w:rFonts w:ascii="Arial" w:hAnsi="Arial" w:cs="Arial"/>
          <w:sz w:val="24"/>
          <w:szCs w:val="24"/>
        </w:rPr>
        <w:t xml:space="preserve">Where non-compliance </w:t>
      </w:r>
      <w:r w:rsidR="00DA381F">
        <w:rPr>
          <w:rFonts w:ascii="Arial" w:hAnsi="Arial" w:cs="Arial"/>
          <w:sz w:val="24"/>
          <w:szCs w:val="24"/>
        </w:rPr>
        <w:t>with</w:t>
      </w:r>
      <w:r w:rsidR="00BD546F">
        <w:rPr>
          <w:rFonts w:ascii="Arial" w:hAnsi="Arial" w:cs="Arial"/>
          <w:sz w:val="24"/>
          <w:szCs w:val="24"/>
        </w:rPr>
        <w:t xml:space="preserve"> a statutory </w:t>
      </w:r>
      <w:r w:rsidR="008D5EA1">
        <w:rPr>
          <w:rFonts w:ascii="Arial" w:hAnsi="Arial" w:cs="Arial"/>
          <w:sz w:val="24"/>
          <w:szCs w:val="24"/>
        </w:rPr>
        <w:t>provision does not necessari</w:t>
      </w:r>
      <w:r w:rsidR="004155F5">
        <w:rPr>
          <w:rFonts w:ascii="Arial" w:hAnsi="Arial" w:cs="Arial"/>
          <w:sz w:val="24"/>
          <w:szCs w:val="24"/>
        </w:rPr>
        <w:t>ly lead</w:t>
      </w:r>
      <w:r w:rsidR="00EB3D20">
        <w:rPr>
          <w:rFonts w:ascii="Arial" w:hAnsi="Arial" w:cs="Arial"/>
          <w:sz w:val="24"/>
          <w:szCs w:val="24"/>
        </w:rPr>
        <w:t xml:space="preserve"> to invalid</w:t>
      </w:r>
      <w:r w:rsidR="00FB7755">
        <w:rPr>
          <w:rFonts w:ascii="Arial" w:hAnsi="Arial" w:cs="Arial"/>
          <w:sz w:val="24"/>
          <w:szCs w:val="24"/>
        </w:rPr>
        <w:t>it</w:t>
      </w:r>
      <w:r w:rsidR="00EB3D20">
        <w:rPr>
          <w:rFonts w:ascii="Arial" w:hAnsi="Arial" w:cs="Arial"/>
          <w:sz w:val="24"/>
          <w:szCs w:val="24"/>
        </w:rPr>
        <w:t xml:space="preserve">y such </w:t>
      </w:r>
      <w:r w:rsidR="00EB3D20">
        <w:rPr>
          <w:rFonts w:ascii="Arial" w:hAnsi="Arial" w:cs="Arial"/>
          <w:sz w:val="24"/>
          <w:szCs w:val="24"/>
        </w:rPr>
        <w:lastRenderedPageBreak/>
        <w:t>provision is referred to as being ‘directory</w:t>
      </w:r>
      <w:r w:rsidR="00141733">
        <w:rPr>
          <w:rFonts w:ascii="Arial" w:hAnsi="Arial" w:cs="Arial"/>
          <w:sz w:val="24"/>
          <w:szCs w:val="24"/>
        </w:rPr>
        <w:t xml:space="preserve">’. </w:t>
      </w:r>
      <w:proofErr w:type="gramStart"/>
      <w:r w:rsidR="00141733">
        <w:rPr>
          <w:rFonts w:ascii="Arial" w:hAnsi="Arial" w:cs="Arial"/>
          <w:sz w:val="24"/>
          <w:szCs w:val="24"/>
        </w:rPr>
        <w:t xml:space="preserve">It should be pointed </w:t>
      </w:r>
      <w:r w:rsidR="002B29C5">
        <w:rPr>
          <w:rFonts w:ascii="Arial" w:hAnsi="Arial" w:cs="Arial"/>
          <w:sz w:val="24"/>
          <w:szCs w:val="24"/>
        </w:rPr>
        <w:t>out</w:t>
      </w:r>
      <w:r w:rsidR="006F59EA">
        <w:rPr>
          <w:rFonts w:ascii="Arial" w:hAnsi="Arial" w:cs="Arial"/>
          <w:sz w:val="24"/>
          <w:szCs w:val="24"/>
        </w:rPr>
        <w:t xml:space="preserve"> that the</w:t>
      </w:r>
      <w:proofErr w:type="gramEnd"/>
      <w:r w:rsidR="006F59EA">
        <w:rPr>
          <w:rFonts w:ascii="Arial" w:hAnsi="Arial" w:cs="Arial"/>
          <w:sz w:val="24"/>
          <w:szCs w:val="24"/>
        </w:rPr>
        <w:t xml:space="preserve"> word</w:t>
      </w:r>
      <w:r w:rsidR="002B29C5">
        <w:rPr>
          <w:rFonts w:ascii="Arial" w:hAnsi="Arial" w:cs="Arial"/>
          <w:sz w:val="24"/>
          <w:szCs w:val="24"/>
        </w:rPr>
        <w:t xml:space="preserve"> ‘directory’ used in this context </w:t>
      </w:r>
      <w:r w:rsidR="00865B65">
        <w:rPr>
          <w:rFonts w:ascii="Arial" w:hAnsi="Arial" w:cs="Arial"/>
          <w:sz w:val="24"/>
          <w:szCs w:val="24"/>
        </w:rPr>
        <w:t>does not mean</w:t>
      </w:r>
      <w:r w:rsidR="00402431">
        <w:rPr>
          <w:rFonts w:ascii="Arial" w:hAnsi="Arial" w:cs="Arial"/>
          <w:sz w:val="24"/>
          <w:szCs w:val="24"/>
        </w:rPr>
        <w:t xml:space="preserve"> it</w:t>
      </w:r>
      <w:r w:rsidR="00865B65">
        <w:rPr>
          <w:rFonts w:ascii="Arial" w:hAnsi="Arial" w:cs="Arial"/>
          <w:sz w:val="24"/>
          <w:szCs w:val="24"/>
        </w:rPr>
        <w:t xml:space="preserve"> is left open </w:t>
      </w:r>
      <w:r w:rsidR="00402431">
        <w:rPr>
          <w:rFonts w:ascii="Arial" w:hAnsi="Arial" w:cs="Arial"/>
          <w:sz w:val="24"/>
          <w:szCs w:val="24"/>
        </w:rPr>
        <w:t>f</w:t>
      </w:r>
      <w:r w:rsidR="00865B65">
        <w:rPr>
          <w:rFonts w:ascii="Arial" w:hAnsi="Arial" w:cs="Arial"/>
          <w:sz w:val="24"/>
          <w:szCs w:val="24"/>
        </w:rPr>
        <w:t>o</w:t>
      </w:r>
      <w:r w:rsidR="00402431">
        <w:rPr>
          <w:rFonts w:ascii="Arial" w:hAnsi="Arial" w:cs="Arial"/>
          <w:sz w:val="24"/>
          <w:szCs w:val="24"/>
        </w:rPr>
        <w:t>r</w:t>
      </w:r>
      <w:r w:rsidR="00865B65">
        <w:rPr>
          <w:rFonts w:ascii="Arial" w:hAnsi="Arial" w:cs="Arial"/>
          <w:sz w:val="24"/>
          <w:szCs w:val="24"/>
        </w:rPr>
        <w:t xml:space="preserve"> a party to decide whether the provisions should or should not </w:t>
      </w:r>
      <w:r w:rsidR="003C3530">
        <w:rPr>
          <w:rFonts w:ascii="Arial" w:hAnsi="Arial" w:cs="Arial"/>
          <w:sz w:val="24"/>
          <w:szCs w:val="24"/>
        </w:rPr>
        <w:t>be adhered to</w:t>
      </w:r>
      <w:r w:rsidR="0094714B">
        <w:rPr>
          <w:rFonts w:ascii="Arial" w:hAnsi="Arial" w:cs="Arial"/>
          <w:sz w:val="24"/>
          <w:szCs w:val="24"/>
        </w:rPr>
        <w:t>. As it</w:t>
      </w:r>
      <w:r w:rsidR="00C57616">
        <w:rPr>
          <w:rFonts w:ascii="Arial" w:hAnsi="Arial" w:cs="Arial"/>
          <w:sz w:val="24"/>
          <w:szCs w:val="24"/>
        </w:rPr>
        <w:t xml:space="preserve"> is part of a statute or regulations it must be adhered </w:t>
      </w:r>
      <w:r w:rsidR="00FB7755">
        <w:rPr>
          <w:rFonts w:ascii="Arial" w:hAnsi="Arial" w:cs="Arial"/>
          <w:sz w:val="24"/>
          <w:szCs w:val="24"/>
        </w:rPr>
        <w:t xml:space="preserve">to </w:t>
      </w:r>
      <w:r w:rsidR="00C57616">
        <w:rPr>
          <w:rFonts w:ascii="Arial" w:hAnsi="Arial" w:cs="Arial"/>
          <w:sz w:val="24"/>
          <w:szCs w:val="24"/>
        </w:rPr>
        <w:t>by all.</w:t>
      </w:r>
      <w:r w:rsidR="006662D3">
        <w:rPr>
          <w:rFonts w:ascii="Arial" w:hAnsi="Arial" w:cs="Arial"/>
          <w:sz w:val="24"/>
          <w:szCs w:val="24"/>
        </w:rPr>
        <w:t xml:space="preserve"> The question is what is to happen when </w:t>
      </w:r>
      <w:r w:rsidR="00F37329">
        <w:rPr>
          <w:rFonts w:ascii="Arial" w:hAnsi="Arial" w:cs="Arial"/>
          <w:sz w:val="24"/>
          <w:szCs w:val="24"/>
        </w:rPr>
        <w:t>it</w:t>
      </w:r>
      <w:r w:rsidR="00DA381F">
        <w:rPr>
          <w:rFonts w:ascii="Arial" w:hAnsi="Arial" w:cs="Arial"/>
          <w:sz w:val="24"/>
          <w:szCs w:val="24"/>
        </w:rPr>
        <w:t xml:space="preserve"> i</w:t>
      </w:r>
      <w:r w:rsidR="00F37329">
        <w:rPr>
          <w:rFonts w:ascii="Arial" w:hAnsi="Arial" w:cs="Arial"/>
          <w:sz w:val="24"/>
          <w:szCs w:val="24"/>
        </w:rPr>
        <w:t>s</w:t>
      </w:r>
      <w:r w:rsidR="006662D3">
        <w:rPr>
          <w:rFonts w:ascii="Arial" w:hAnsi="Arial" w:cs="Arial"/>
          <w:sz w:val="24"/>
          <w:szCs w:val="24"/>
        </w:rPr>
        <w:t xml:space="preserve"> not adhered to</w:t>
      </w:r>
      <w:r w:rsidR="0096183E">
        <w:rPr>
          <w:rFonts w:ascii="Arial" w:hAnsi="Arial" w:cs="Arial"/>
          <w:sz w:val="24"/>
          <w:szCs w:val="24"/>
        </w:rPr>
        <w:t xml:space="preserve">. If the non-adherence does not lead to </w:t>
      </w:r>
      <w:proofErr w:type="gramStart"/>
      <w:r w:rsidR="0096183E">
        <w:rPr>
          <w:rFonts w:ascii="Arial" w:hAnsi="Arial" w:cs="Arial"/>
          <w:sz w:val="24"/>
          <w:szCs w:val="24"/>
        </w:rPr>
        <w:t>invalid</w:t>
      </w:r>
      <w:r w:rsidR="00FB7755">
        <w:rPr>
          <w:rFonts w:ascii="Arial" w:hAnsi="Arial" w:cs="Arial"/>
          <w:sz w:val="24"/>
          <w:szCs w:val="24"/>
        </w:rPr>
        <w:t>it</w:t>
      </w:r>
      <w:r w:rsidR="0096183E">
        <w:rPr>
          <w:rFonts w:ascii="Arial" w:hAnsi="Arial" w:cs="Arial"/>
          <w:sz w:val="24"/>
          <w:szCs w:val="24"/>
        </w:rPr>
        <w:t>y</w:t>
      </w:r>
      <w:proofErr w:type="gramEnd"/>
      <w:r w:rsidR="0096183E">
        <w:rPr>
          <w:rFonts w:ascii="Arial" w:hAnsi="Arial" w:cs="Arial"/>
          <w:sz w:val="24"/>
          <w:szCs w:val="24"/>
        </w:rPr>
        <w:t xml:space="preserve"> </w:t>
      </w:r>
      <w:r w:rsidR="00967AF7">
        <w:rPr>
          <w:rFonts w:ascii="Arial" w:hAnsi="Arial" w:cs="Arial"/>
          <w:sz w:val="24"/>
          <w:szCs w:val="24"/>
        </w:rPr>
        <w:t xml:space="preserve">then the word ‘directory’ is the </w:t>
      </w:r>
      <w:r w:rsidR="00CB2CF3">
        <w:rPr>
          <w:rFonts w:ascii="Arial" w:hAnsi="Arial" w:cs="Arial"/>
          <w:sz w:val="24"/>
          <w:szCs w:val="24"/>
        </w:rPr>
        <w:t>l</w:t>
      </w:r>
      <w:r w:rsidR="00967AF7">
        <w:rPr>
          <w:rFonts w:ascii="Arial" w:hAnsi="Arial" w:cs="Arial"/>
          <w:sz w:val="24"/>
          <w:szCs w:val="24"/>
        </w:rPr>
        <w:t>egal</w:t>
      </w:r>
      <w:r w:rsidR="0024408F">
        <w:rPr>
          <w:rFonts w:ascii="Arial" w:hAnsi="Arial" w:cs="Arial"/>
          <w:sz w:val="24"/>
          <w:szCs w:val="24"/>
        </w:rPr>
        <w:t>e</w:t>
      </w:r>
      <w:r w:rsidR="00967AF7">
        <w:rPr>
          <w:rFonts w:ascii="Arial" w:hAnsi="Arial" w:cs="Arial"/>
          <w:sz w:val="24"/>
          <w:szCs w:val="24"/>
        </w:rPr>
        <w:t>se to describe this effect.</w:t>
      </w:r>
    </w:p>
    <w:p w14:paraId="7C3BE962" w14:textId="77777777" w:rsidR="00166AC9" w:rsidRPr="00FE12BA" w:rsidRDefault="00166AC9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17556FB" w14:textId="1830C857" w:rsidR="00C04134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[36]</w:t>
      </w:r>
      <w:r>
        <w:rPr>
          <w:rFonts w:ascii="Arial" w:hAnsi="Arial" w:cs="Arial"/>
          <w:sz w:val="24"/>
          <w:szCs w:val="24"/>
        </w:rPr>
        <w:tab/>
      </w:r>
      <w:r w:rsidR="009B3E03">
        <w:rPr>
          <w:rFonts w:ascii="Arial" w:hAnsi="Arial" w:cs="Arial"/>
          <w:sz w:val="24"/>
          <w:szCs w:val="24"/>
        </w:rPr>
        <w:t>Section 47</w:t>
      </w:r>
      <w:r w:rsidR="004155F5">
        <w:rPr>
          <w:rFonts w:ascii="Arial" w:hAnsi="Arial" w:cs="Arial"/>
          <w:sz w:val="24"/>
          <w:szCs w:val="24"/>
        </w:rPr>
        <w:t xml:space="preserve">(1) of the Act reads as follows </w:t>
      </w:r>
      <w:r w:rsidR="0024408F">
        <w:rPr>
          <w:rFonts w:ascii="Arial" w:hAnsi="Arial" w:cs="Arial"/>
          <w:sz w:val="24"/>
          <w:szCs w:val="24"/>
        </w:rPr>
        <w:t xml:space="preserve">(I quote only </w:t>
      </w:r>
      <w:r w:rsidR="000306A3">
        <w:rPr>
          <w:rFonts w:ascii="Arial" w:hAnsi="Arial" w:cs="Arial"/>
          <w:sz w:val="24"/>
          <w:szCs w:val="24"/>
        </w:rPr>
        <w:t xml:space="preserve">the </w:t>
      </w:r>
      <w:r w:rsidR="009478B3">
        <w:rPr>
          <w:rFonts w:ascii="Arial" w:hAnsi="Arial" w:cs="Arial"/>
          <w:sz w:val="24"/>
          <w:szCs w:val="24"/>
        </w:rPr>
        <w:t>portion</w:t>
      </w:r>
      <w:r w:rsidR="000306A3">
        <w:rPr>
          <w:rFonts w:ascii="Arial" w:hAnsi="Arial" w:cs="Arial"/>
          <w:sz w:val="24"/>
          <w:szCs w:val="24"/>
        </w:rPr>
        <w:t xml:space="preserve"> relevant to this appeal)</w:t>
      </w:r>
      <w:r w:rsidR="004155F5">
        <w:rPr>
          <w:rFonts w:ascii="Arial" w:hAnsi="Arial" w:cs="Arial"/>
          <w:sz w:val="24"/>
          <w:szCs w:val="24"/>
        </w:rPr>
        <w:t>:</w:t>
      </w:r>
    </w:p>
    <w:p w14:paraId="2D9690C2" w14:textId="77777777" w:rsidR="004155F5" w:rsidRDefault="004155F5" w:rsidP="004155F5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43C3773" w14:textId="77777777" w:rsidR="00C04134" w:rsidRPr="00C04134" w:rsidRDefault="004155F5" w:rsidP="006F7DF8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‘The Board . . .</w:t>
      </w:r>
      <w:r w:rsidR="002F2ABA">
        <w:rPr>
          <w:rFonts w:ascii="Arial" w:hAnsi="Arial" w:cs="Arial"/>
        </w:rPr>
        <w:t xml:space="preserve"> must set a </w:t>
      </w:r>
      <w:r w:rsidR="008F00CE">
        <w:rPr>
          <w:rFonts w:ascii="Arial" w:hAnsi="Arial" w:cs="Arial"/>
        </w:rPr>
        <w:t>deadline</w:t>
      </w:r>
      <w:r w:rsidR="002F2ABA">
        <w:rPr>
          <w:rFonts w:ascii="Arial" w:hAnsi="Arial" w:cs="Arial"/>
        </w:rPr>
        <w:t xml:space="preserve"> for the submission of bids</w:t>
      </w:r>
      <w:r>
        <w:rPr>
          <w:rFonts w:ascii="Arial" w:hAnsi="Arial" w:cs="Arial"/>
        </w:rPr>
        <w:t xml:space="preserve"> . . . </w:t>
      </w:r>
      <w:r w:rsidR="008F00CE">
        <w:rPr>
          <w:rFonts w:ascii="Arial" w:hAnsi="Arial" w:cs="Arial"/>
        </w:rPr>
        <w:t xml:space="preserve">so as to </w:t>
      </w:r>
      <w:r w:rsidR="0039137C">
        <w:rPr>
          <w:rFonts w:ascii="Arial" w:hAnsi="Arial" w:cs="Arial"/>
        </w:rPr>
        <w:t xml:space="preserve">allow </w:t>
      </w:r>
      <w:r w:rsidR="008F00CE">
        <w:rPr>
          <w:rFonts w:ascii="Arial" w:hAnsi="Arial" w:cs="Arial"/>
        </w:rPr>
        <w:t>sufficient time</w:t>
      </w:r>
      <w:r w:rsidR="0039137C">
        <w:rPr>
          <w:rFonts w:ascii="Arial" w:hAnsi="Arial" w:cs="Arial"/>
        </w:rPr>
        <w:t xml:space="preserve"> for the preparation and submission, with a</w:t>
      </w:r>
      <w:r w:rsidR="00C259D1">
        <w:rPr>
          <w:rFonts w:ascii="Arial" w:hAnsi="Arial" w:cs="Arial"/>
        </w:rPr>
        <w:t xml:space="preserve"> view to maximiz</w:t>
      </w:r>
      <w:r w:rsidR="00FD71C2">
        <w:rPr>
          <w:rFonts w:ascii="Arial" w:hAnsi="Arial" w:cs="Arial"/>
        </w:rPr>
        <w:t>ing competition, which may not be less than</w:t>
      </w:r>
      <w:r w:rsidR="00C259D1">
        <w:rPr>
          <w:rFonts w:ascii="Arial" w:hAnsi="Arial" w:cs="Arial"/>
        </w:rPr>
        <w:t xml:space="preserve"> the prescribed minimum period.’</w:t>
      </w:r>
    </w:p>
    <w:p w14:paraId="1527E982" w14:textId="77777777" w:rsidR="00C04134" w:rsidRPr="004155F5" w:rsidRDefault="00C04134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735D294" w14:textId="5485483A" w:rsidR="0045631C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[37]</w:t>
      </w:r>
      <w:r>
        <w:rPr>
          <w:rFonts w:ascii="Arial" w:hAnsi="Arial" w:cs="Arial"/>
          <w:sz w:val="24"/>
          <w:szCs w:val="24"/>
        </w:rPr>
        <w:tab/>
      </w:r>
      <w:r w:rsidR="000306A3">
        <w:rPr>
          <w:rFonts w:ascii="Arial" w:hAnsi="Arial" w:cs="Arial"/>
          <w:sz w:val="24"/>
          <w:szCs w:val="24"/>
        </w:rPr>
        <w:t xml:space="preserve">Regulation </w:t>
      </w:r>
      <w:r w:rsidR="00185DDC">
        <w:rPr>
          <w:rFonts w:ascii="Arial" w:hAnsi="Arial" w:cs="Arial"/>
          <w:sz w:val="24"/>
          <w:szCs w:val="24"/>
        </w:rPr>
        <w:t>35 pre</w:t>
      </w:r>
      <w:r w:rsidR="00CF0DD4">
        <w:rPr>
          <w:rFonts w:ascii="Arial" w:hAnsi="Arial" w:cs="Arial"/>
          <w:sz w:val="24"/>
          <w:szCs w:val="24"/>
        </w:rPr>
        <w:t>scribe</w:t>
      </w:r>
      <w:r w:rsidR="00ED0EB0">
        <w:rPr>
          <w:rFonts w:ascii="Arial" w:hAnsi="Arial" w:cs="Arial"/>
          <w:sz w:val="24"/>
          <w:szCs w:val="24"/>
        </w:rPr>
        <w:t>s</w:t>
      </w:r>
      <w:r w:rsidR="00CF0DD4">
        <w:rPr>
          <w:rFonts w:ascii="Arial" w:hAnsi="Arial" w:cs="Arial"/>
          <w:sz w:val="24"/>
          <w:szCs w:val="24"/>
        </w:rPr>
        <w:t xml:space="preserve"> the minimum period which ‘may not be</w:t>
      </w:r>
      <w:r w:rsidR="0045631C">
        <w:rPr>
          <w:rFonts w:ascii="Arial" w:hAnsi="Arial" w:cs="Arial"/>
          <w:sz w:val="24"/>
          <w:szCs w:val="24"/>
        </w:rPr>
        <w:t xml:space="preserve"> less than 30 days from the date of such invitation’.</w:t>
      </w:r>
    </w:p>
    <w:p w14:paraId="26DC5401" w14:textId="77777777" w:rsidR="0045631C" w:rsidRDefault="0045631C" w:rsidP="00C259D1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D8F74D7" w14:textId="5746DC7B" w:rsidR="007D168B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[38]</w:t>
      </w:r>
      <w:r>
        <w:rPr>
          <w:rFonts w:ascii="Arial" w:hAnsi="Arial" w:cs="Arial"/>
          <w:sz w:val="24"/>
          <w:szCs w:val="24"/>
        </w:rPr>
        <w:tab/>
      </w:r>
      <w:r w:rsidR="0045631C">
        <w:rPr>
          <w:rFonts w:ascii="Arial" w:hAnsi="Arial" w:cs="Arial"/>
          <w:sz w:val="24"/>
          <w:szCs w:val="24"/>
        </w:rPr>
        <w:t>The Act provides no m</w:t>
      </w:r>
      <w:r w:rsidR="00A67C25">
        <w:rPr>
          <w:rFonts w:ascii="Arial" w:hAnsi="Arial" w:cs="Arial"/>
          <w:sz w:val="24"/>
          <w:szCs w:val="24"/>
        </w:rPr>
        <w:t xml:space="preserve">inimum time but </w:t>
      </w:r>
      <w:r w:rsidR="00ED0EB0">
        <w:rPr>
          <w:rFonts w:ascii="Arial" w:hAnsi="Arial" w:cs="Arial"/>
          <w:sz w:val="24"/>
          <w:szCs w:val="24"/>
        </w:rPr>
        <w:t xml:space="preserve">leaves </w:t>
      </w:r>
      <w:r w:rsidR="00C259D1">
        <w:rPr>
          <w:rFonts w:ascii="Arial" w:hAnsi="Arial" w:cs="Arial"/>
          <w:sz w:val="24"/>
          <w:szCs w:val="24"/>
        </w:rPr>
        <w:t>this for the m</w:t>
      </w:r>
      <w:r w:rsidR="00FD51C8">
        <w:rPr>
          <w:rFonts w:ascii="Arial" w:hAnsi="Arial" w:cs="Arial"/>
          <w:sz w:val="24"/>
          <w:szCs w:val="24"/>
        </w:rPr>
        <w:t xml:space="preserve">inister </w:t>
      </w:r>
      <w:r w:rsidR="00ED0EB0">
        <w:rPr>
          <w:rFonts w:ascii="Arial" w:hAnsi="Arial" w:cs="Arial"/>
          <w:sz w:val="24"/>
          <w:szCs w:val="24"/>
        </w:rPr>
        <w:t xml:space="preserve">to </w:t>
      </w:r>
      <w:r w:rsidR="00FD51C8">
        <w:rPr>
          <w:rFonts w:ascii="Arial" w:hAnsi="Arial" w:cs="Arial"/>
          <w:sz w:val="24"/>
          <w:szCs w:val="24"/>
        </w:rPr>
        <w:t>determin</w:t>
      </w:r>
      <w:r w:rsidR="00ED0EB0">
        <w:rPr>
          <w:rFonts w:ascii="Arial" w:hAnsi="Arial" w:cs="Arial"/>
          <w:sz w:val="24"/>
          <w:szCs w:val="24"/>
        </w:rPr>
        <w:t>e</w:t>
      </w:r>
      <w:r w:rsidR="000F6A17">
        <w:rPr>
          <w:rFonts w:ascii="Arial" w:hAnsi="Arial" w:cs="Arial"/>
          <w:sz w:val="24"/>
          <w:szCs w:val="24"/>
        </w:rPr>
        <w:t xml:space="preserve"> in</w:t>
      </w:r>
      <w:r w:rsidR="00C259D1">
        <w:rPr>
          <w:rFonts w:ascii="Arial" w:hAnsi="Arial" w:cs="Arial"/>
          <w:sz w:val="24"/>
          <w:szCs w:val="24"/>
        </w:rPr>
        <w:t xml:space="preserve"> the</w:t>
      </w:r>
      <w:r w:rsidR="00FD51C8">
        <w:rPr>
          <w:rFonts w:ascii="Arial" w:hAnsi="Arial" w:cs="Arial"/>
          <w:sz w:val="24"/>
          <w:szCs w:val="24"/>
        </w:rPr>
        <w:t xml:space="preserve"> regulations. </w:t>
      </w:r>
      <w:r w:rsidR="00F443C2">
        <w:rPr>
          <w:rFonts w:ascii="Arial" w:hAnsi="Arial" w:cs="Arial"/>
          <w:sz w:val="24"/>
          <w:szCs w:val="24"/>
        </w:rPr>
        <w:t xml:space="preserve">The Act even makes it clear what </w:t>
      </w:r>
      <w:r w:rsidR="000F6A17">
        <w:rPr>
          <w:rFonts w:ascii="Arial" w:hAnsi="Arial" w:cs="Arial"/>
          <w:sz w:val="24"/>
          <w:szCs w:val="24"/>
        </w:rPr>
        <w:t xml:space="preserve">the </w:t>
      </w:r>
      <w:r w:rsidR="00F443C2">
        <w:rPr>
          <w:rFonts w:ascii="Arial" w:hAnsi="Arial" w:cs="Arial"/>
          <w:sz w:val="24"/>
          <w:szCs w:val="24"/>
        </w:rPr>
        <w:t xml:space="preserve">objectives are which must be met when setting a deadline. </w:t>
      </w:r>
      <w:r w:rsidR="0032633F">
        <w:rPr>
          <w:rFonts w:ascii="Arial" w:hAnsi="Arial" w:cs="Arial"/>
          <w:sz w:val="24"/>
          <w:szCs w:val="24"/>
        </w:rPr>
        <w:t xml:space="preserve">Such deadline must ensure time for the proper preparation of </w:t>
      </w:r>
      <w:r w:rsidR="006734DA">
        <w:rPr>
          <w:rFonts w:ascii="Arial" w:hAnsi="Arial" w:cs="Arial"/>
          <w:sz w:val="24"/>
          <w:szCs w:val="24"/>
        </w:rPr>
        <w:t xml:space="preserve">bids and </w:t>
      </w:r>
      <w:r w:rsidR="008E166B">
        <w:rPr>
          <w:rFonts w:ascii="Arial" w:hAnsi="Arial" w:cs="Arial"/>
          <w:sz w:val="24"/>
          <w:szCs w:val="24"/>
        </w:rPr>
        <w:t xml:space="preserve">be such </w:t>
      </w:r>
      <w:r w:rsidR="006734DA">
        <w:rPr>
          <w:rFonts w:ascii="Arial" w:hAnsi="Arial" w:cs="Arial"/>
          <w:sz w:val="24"/>
          <w:szCs w:val="24"/>
        </w:rPr>
        <w:t xml:space="preserve">that all potential bidders interested in the bid will put in proposals. </w:t>
      </w:r>
      <w:r w:rsidR="007D168B">
        <w:rPr>
          <w:rFonts w:ascii="Arial" w:hAnsi="Arial" w:cs="Arial"/>
          <w:sz w:val="24"/>
          <w:szCs w:val="24"/>
        </w:rPr>
        <w:t xml:space="preserve">This is to ensure proper competition </w:t>
      </w:r>
      <w:r w:rsidR="008E166B">
        <w:rPr>
          <w:rFonts w:ascii="Arial" w:hAnsi="Arial" w:cs="Arial"/>
          <w:sz w:val="24"/>
          <w:szCs w:val="24"/>
        </w:rPr>
        <w:t>among bidders</w:t>
      </w:r>
      <w:r w:rsidR="007D168B">
        <w:rPr>
          <w:rFonts w:ascii="Arial" w:hAnsi="Arial" w:cs="Arial"/>
          <w:sz w:val="24"/>
          <w:szCs w:val="24"/>
        </w:rPr>
        <w:t>.</w:t>
      </w:r>
    </w:p>
    <w:p w14:paraId="33824B13" w14:textId="77777777" w:rsidR="008622A9" w:rsidRPr="008622A9" w:rsidRDefault="008622A9" w:rsidP="008622A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886F231" w14:textId="4EE23638" w:rsidR="00006E76" w:rsidRPr="007C78A2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C78A2">
        <w:rPr>
          <w:rFonts w:ascii="Arial" w:hAnsi="Arial" w:cs="Arial"/>
          <w:sz w:val="24"/>
          <w:szCs w:val="24"/>
        </w:rPr>
        <w:t>[39]</w:t>
      </w:r>
      <w:r w:rsidRPr="007C78A2">
        <w:rPr>
          <w:rFonts w:ascii="Arial" w:hAnsi="Arial" w:cs="Arial"/>
          <w:sz w:val="24"/>
          <w:szCs w:val="24"/>
        </w:rPr>
        <w:tab/>
      </w:r>
      <w:r w:rsidR="007D168B">
        <w:rPr>
          <w:rFonts w:ascii="Arial" w:hAnsi="Arial" w:cs="Arial"/>
          <w:sz w:val="24"/>
          <w:szCs w:val="24"/>
        </w:rPr>
        <w:t xml:space="preserve">On the facts of this matter all the objectives spelled out </w:t>
      </w:r>
      <w:r w:rsidR="00C259D1">
        <w:rPr>
          <w:rFonts w:ascii="Arial" w:hAnsi="Arial" w:cs="Arial"/>
          <w:sz w:val="24"/>
          <w:szCs w:val="24"/>
        </w:rPr>
        <w:t>in s 47</w:t>
      </w:r>
      <w:r w:rsidR="00272599">
        <w:rPr>
          <w:rFonts w:ascii="Arial" w:hAnsi="Arial" w:cs="Arial"/>
          <w:sz w:val="24"/>
          <w:szCs w:val="24"/>
        </w:rPr>
        <w:t xml:space="preserve">(1) of the Act were </w:t>
      </w:r>
      <w:r w:rsidR="006D239D">
        <w:rPr>
          <w:rFonts w:ascii="Arial" w:hAnsi="Arial" w:cs="Arial"/>
          <w:sz w:val="24"/>
          <w:szCs w:val="24"/>
        </w:rPr>
        <w:t>attain</w:t>
      </w:r>
      <w:r w:rsidR="008E166B">
        <w:rPr>
          <w:rFonts w:ascii="Arial" w:hAnsi="Arial" w:cs="Arial"/>
          <w:sz w:val="24"/>
          <w:szCs w:val="24"/>
        </w:rPr>
        <w:t>ed</w:t>
      </w:r>
      <w:r w:rsidR="006D239D">
        <w:rPr>
          <w:rFonts w:ascii="Arial" w:hAnsi="Arial" w:cs="Arial"/>
          <w:sz w:val="24"/>
          <w:szCs w:val="24"/>
        </w:rPr>
        <w:t xml:space="preserve">. Nineteen bidders partook without a single complaint </w:t>
      </w:r>
      <w:r w:rsidR="004507D3">
        <w:rPr>
          <w:rFonts w:ascii="Arial" w:hAnsi="Arial" w:cs="Arial"/>
          <w:sz w:val="24"/>
          <w:szCs w:val="24"/>
        </w:rPr>
        <w:t xml:space="preserve">about the time afforded them to prepare their bids. There is also no suggestion that more </w:t>
      </w:r>
      <w:r w:rsidR="00774B74">
        <w:rPr>
          <w:rFonts w:ascii="Arial" w:hAnsi="Arial" w:cs="Arial"/>
          <w:sz w:val="24"/>
          <w:szCs w:val="24"/>
        </w:rPr>
        <w:t xml:space="preserve">bidders </w:t>
      </w:r>
      <w:r w:rsidR="00774B74">
        <w:rPr>
          <w:rFonts w:ascii="Arial" w:hAnsi="Arial" w:cs="Arial"/>
          <w:sz w:val="24"/>
          <w:szCs w:val="24"/>
        </w:rPr>
        <w:lastRenderedPageBreak/>
        <w:t xml:space="preserve">would be forthcoming had one more day been given to potential bidders. In such circumstances </w:t>
      </w:r>
      <w:r w:rsidR="00321013">
        <w:rPr>
          <w:rFonts w:ascii="Arial" w:hAnsi="Arial" w:cs="Arial"/>
          <w:sz w:val="24"/>
          <w:szCs w:val="24"/>
        </w:rPr>
        <w:t xml:space="preserve">the day short notice, when regard is had </w:t>
      </w:r>
      <w:r w:rsidR="00CF6999">
        <w:rPr>
          <w:rFonts w:ascii="Arial" w:hAnsi="Arial" w:cs="Arial"/>
          <w:sz w:val="24"/>
          <w:szCs w:val="24"/>
        </w:rPr>
        <w:t>to the regulations</w:t>
      </w:r>
      <w:r w:rsidR="0020615C">
        <w:rPr>
          <w:rFonts w:ascii="Arial" w:hAnsi="Arial" w:cs="Arial"/>
          <w:sz w:val="24"/>
          <w:szCs w:val="24"/>
        </w:rPr>
        <w:t>,</w:t>
      </w:r>
      <w:r w:rsidR="00CF6999">
        <w:rPr>
          <w:rFonts w:ascii="Arial" w:hAnsi="Arial" w:cs="Arial"/>
          <w:sz w:val="24"/>
          <w:szCs w:val="24"/>
        </w:rPr>
        <w:t xml:space="preserve"> cannot be said to have been fatal to the bidding </w:t>
      </w:r>
      <w:r w:rsidR="00CF6999" w:rsidRPr="00072F8A">
        <w:rPr>
          <w:rFonts w:ascii="Arial" w:hAnsi="Arial" w:cs="Arial"/>
          <w:sz w:val="24"/>
          <w:szCs w:val="24"/>
        </w:rPr>
        <w:t>process</w:t>
      </w:r>
      <w:r w:rsidR="00024B1A" w:rsidRPr="00072F8A">
        <w:rPr>
          <w:rFonts w:ascii="Arial" w:hAnsi="Arial" w:cs="Arial"/>
          <w:sz w:val="24"/>
          <w:szCs w:val="24"/>
        </w:rPr>
        <w:t>.</w:t>
      </w:r>
      <w:r w:rsidR="00CF6999" w:rsidRPr="00072F8A">
        <w:rPr>
          <w:rFonts w:ascii="Arial" w:hAnsi="Arial" w:cs="Arial"/>
          <w:sz w:val="24"/>
          <w:szCs w:val="24"/>
        </w:rPr>
        <w:t xml:space="preserve"> </w:t>
      </w:r>
      <w:r w:rsidR="00024B1A" w:rsidRPr="00072F8A">
        <w:rPr>
          <w:rFonts w:ascii="Arial" w:hAnsi="Arial" w:cs="Arial"/>
          <w:sz w:val="24"/>
          <w:szCs w:val="24"/>
        </w:rPr>
        <w:t>T</w:t>
      </w:r>
      <w:r w:rsidR="003334D2" w:rsidRPr="00072F8A">
        <w:rPr>
          <w:rFonts w:ascii="Arial" w:hAnsi="Arial" w:cs="Arial"/>
          <w:sz w:val="24"/>
          <w:szCs w:val="24"/>
        </w:rPr>
        <w:t xml:space="preserve">he short notice was </w:t>
      </w:r>
      <w:r w:rsidR="00C16D29" w:rsidRPr="00072F8A">
        <w:rPr>
          <w:rFonts w:ascii="Arial" w:hAnsi="Arial" w:cs="Arial"/>
          <w:sz w:val="24"/>
          <w:szCs w:val="24"/>
        </w:rPr>
        <w:t xml:space="preserve">thus </w:t>
      </w:r>
      <w:r w:rsidR="003334D2" w:rsidRPr="00072F8A">
        <w:rPr>
          <w:rFonts w:ascii="Arial" w:hAnsi="Arial" w:cs="Arial"/>
          <w:sz w:val="24"/>
          <w:szCs w:val="24"/>
        </w:rPr>
        <w:t>pro</w:t>
      </w:r>
      <w:r w:rsidR="00D44757" w:rsidRPr="00072F8A">
        <w:rPr>
          <w:rFonts w:ascii="Arial" w:hAnsi="Arial" w:cs="Arial"/>
          <w:sz w:val="24"/>
          <w:szCs w:val="24"/>
        </w:rPr>
        <w:t xml:space="preserve">perly </w:t>
      </w:r>
      <w:r w:rsidR="003334D2" w:rsidRPr="00072F8A">
        <w:rPr>
          <w:rFonts w:ascii="Arial" w:hAnsi="Arial" w:cs="Arial"/>
          <w:sz w:val="24"/>
          <w:szCs w:val="24"/>
        </w:rPr>
        <w:t xml:space="preserve">not regarded </w:t>
      </w:r>
      <w:r w:rsidR="003E6A76" w:rsidRPr="00072F8A">
        <w:rPr>
          <w:rFonts w:ascii="Arial" w:hAnsi="Arial" w:cs="Arial"/>
          <w:sz w:val="24"/>
          <w:szCs w:val="24"/>
        </w:rPr>
        <w:t xml:space="preserve">as being fatal by the court </w:t>
      </w:r>
      <w:r w:rsidR="003E6A76" w:rsidRPr="00072F8A">
        <w:rPr>
          <w:rFonts w:ascii="Arial" w:hAnsi="Arial" w:cs="Arial"/>
          <w:i/>
          <w:sz w:val="24"/>
          <w:szCs w:val="24"/>
        </w:rPr>
        <w:t>a quo</w:t>
      </w:r>
      <w:r w:rsidR="00072F8A" w:rsidRPr="00072F8A">
        <w:rPr>
          <w:rFonts w:ascii="Arial" w:hAnsi="Arial" w:cs="Arial"/>
          <w:sz w:val="24"/>
          <w:szCs w:val="24"/>
        </w:rPr>
        <w:t>. H</w:t>
      </w:r>
      <w:r w:rsidR="00253CA7" w:rsidRPr="00072F8A">
        <w:rPr>
          <w:rFonts w:ascii="Arial" w:hAnsi="Arial" w:cs="Arial"/>
          <w:sz w:val="24"/>
          <w:szCs w:val="24"/>
        </w:rPr>
        <w:t>ere</w:t>
      </w:r>
      <w:r w:rsidR="00072F8A">
        <w:rPr>
          <w:rFonts w:ascii="Arial" w:hAnsi="Arial" w:cs="Arial"/>
          <w:sz w:val="24"/>
          <w:szCs w:val="24"/>
        </w:rPr>
        <w:t xml:space="preserve"> </w:t>
      </w:r>
      <w:r w:rsidR="00C259D1">
        <w:rPr>
          <w:rFonts w:ascii="Arial" w:hAnsi="Arial" w:cs="Arial"/>
          <w:sz w:val="24"/>
          <w:szCs w:val="24"/>
        </w:rPr>
        <w:t>it must be noted that in this matter there was no prejudice to potential bidders</w:t>
      </w:r>
      <w:r w:rsidR="003E6A76">
        <w:rPr>
          <w:rFonts w:ascii="Arial" w:hAnsi="Arial" w:cs="Arial"/>
          <w:sz w:val="24"/>
          <w:szCs w:val="24"/>
        </w:rPr>
        <w:t xml:space="preserve">. There is no express provision </w:t>
      </w:r>
      <w:r w:rsidR="00373305">
        <w:rPr>
          <w:rFonts w:ascii="Arial" w:hAnsi="Arial" w:cs="Arial"/>
          <w:sz w:val="24"/>
          <w:szCs w:val="24"/>
        </w:rPr>
        <w:t>in the Act that renders any act contrary to the prescribed</w:t>
      </w:r>
      <w:r w:rsidR="000C0629">
        <w:rPr>
          <w:rFonts w:ascii="Arial" w:hAnsi="Arial" w:cs="Arial"/>
          <w:sz w:val="24"/>
          <w:szCs w:val="24"/>
        </w:rPr>
        <w:t xml:space="preserve"> </w:t>
      </w:r>
      <w:r w:rsidR="00847167">
        <w:rPr>
          <w:rFonts w:ascii="Arial" w:hAnsi="Arial" w:cs="Arial"/>
          <w:sz w:val="24"/>
          <w:szCs w:val="24"/>
        </w:rPr>
        <w:t xml:space="preserve">time period a </w:t>
      </w:r>
      <w:r w:rsidR="000C0629">
        <w:rPr>
          <w:rFonts w:ascii="Arial" w:hAnsi="Arial" w:cs="Arial"/>
          <w:sz w:val="24"/>
          <w:szCs w:val="24"/>
        </w:rPr>
        <w:t>nullity</w:t>
      </w:r>
      <w:r w:rsidR="00847167">
        <w:rPr>
          <w:rFonts w:ascii="Arial" w:hAnsi="Arial" w:cs="Arial"/>
          <w:sz w:val="24"/>
          <w:szCs w:val="24"/>
        </w:rPr>
        <w:t xml:space="preserve"> </w:t>
      </w:r>
      <w:r w:rsidR="00A6152F">
        <w:rPr>
          <w:rFonts w:ascii="Arial" w:hAnsi="Arial" w:cs="Arial"/>
          <w:sz w:val="24"/>
          <w:szCs w:val="24"/>
        </w:rPr>
        <w:t>no</w:t>
      </w:r>
      <w:r w:rsidR="00C16D29">
        <w:rPr>
          <w:rFonts w:ascii="Arial" w:hAnsi="Arial" w:cs="Arial"/>
          <w:sz w:val="24"/>
          <w:szCs w:val="24"/>
        </w:rPr>
        <w:t>r</w:t>
      </w:r>
      <w:r w:rsidR="00A6152F">
        <w:rPr>
          <w:rFonts w:ascii="Arial" w:hAnsi="Arial" w:cs="Arial"/>
          <w:sz w:val="24"/>
          <w:szCs w:val="24"/>
        </w:rPr>
        <w:t xml:space="preserve"> </w:t>
      </w:r>
      <w:r w:rsidR="008A680E">
        <w:rPr>
          <w:rFonts w:ascii="Arial" w:hAnsi="Arial" w:cs="Arial"/>
          <w:sz w:val="24"/>
          <w:szCs w:val="24"/>
        </w:rPr>
        <w:t>h</w:t>
      </w:r>
      <w:r w:rsidR="00A6152F" w:rsidRPr="007C78A2">
        <w:rPr>
          <w:rFonts w:ascii="Arial" w:hAnsi="Arial" w:cs="Arial"/>
          <w:sz w:val="24"/>
          <w:szCs w:val="24"/>
        </w:rPr>
        <w:t xml:space="preserve">as any such provision in the regulations </w:t>
      </w:r>
      <w:r w:rsidR="00933218" w:rsidRPr="007C78A2">
        <w:rPr>
          <w:rFonts w:ascii="Arial" w:hAnsi="Arial" w:cs="Arial"/>
          <w:sz w:val="24"/>
          <w:szCs w:val="24"/>
        </w:rPr>
        <w:t>be</w:t>
      </w:r>
      <w:r w:rsidR="00EC2289" w:rsidRPr="007C78A2">
        <w:rPr>
          <w:rFonts w:ascii="Arial" w:hAnsi="Arial" w:cs="Arial"/>
          <w:sz w:val="24"/>
          <w:szCs w:val="24"/>
        </w:rPr>
        <w:t>en</w:t>
      </w:r>
      <w:r w:rsidR="00933218" w:rsidRPr="007C78A2">
        <w:rPr>
          <w:rFonts w:ascii="Arial" w:hAnsi="Arial" w:cs="Arial"/>
          <w:sz w:val="24"/>
          <w:szCs w:val="24"/>
        </w:rPr>
        <w:t xml:space="preserve"> referred to</w:t>
      </w:r>
      <w:r w:rsidR="00EC2289" w:rsidRPr="007C78A2">
        <w:rPr>
          <w:rFonts w:ascii="Arial" w:hAnsi="Arial" w:cs="Arial"/>
          <w:sz w:val="24"/>
          <w:szCs w:val="24"/>
        </w:rPr>
        <w:t xml:space="preserve"> by counsel</w:t>
      </w:r>
      <w:r w:rsidR="00933218" w:rsidRPr="007C78A2">
        <w:rPr>
          <w:rFonts w:ascii="Arial" w:hAnsi="Arial" w:cs="Arial"/>
          <w:sz w:val="24"/>
          <w:szCs w:val="24"/>
        </w:rPr>
        <w:t xml:space="preserve">. As was stated </w:t>
      </w:r>
      <w:r w:rsidR="0021766B" w:rsidRPr="007C78A2">
        <w:rPr>
          <w:rFonts w:ascii="Arial" w:hAnsi="Arial" w:cs="Arial"/>
          <w:sz w:val="24"/>
          <w:szCs w:val="24"/>
        </w:rPr>
        <w:t xml:space="preserve">by Malan J in </w:t>
      </w:r>
      <w:r w:rsidR="00C259D1">
        <w:rPr>
          <w:rFonts w:ascii="Arial" w:hAnsi="Arial" w:cs="Arial"/>
          <w:i/>
          <w:sz w:val="24"/>
          <w:szCs w:val="24"/>
        </w:rPr>
        <w:t>Volschenk</w:t>
      </w:r>
      <w:r w:rsidR="00C259D1" w:rsidRPr="00C259D1">
        <w:rPr>
          <w:rFonts w:ascii="Arial" w:hAnsi="Arial" w:cs="Arial"/>
          <w:i/>
          <w:sz w:val="24"/>
          <w:szCs w:val="24"/>
        </w:rPr>
        <w:t xml:space="preserve"> v Volschenk</w:t>
      </w:r>
      <w:r w:rsidR="00C259D1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C259D1">
        <w:rPr>
          <w:rFonts w:ascii="Arial" w:hAnsi="Arial" w:cs="Arial"/>
          <w:sz w:val="24"/>
          <w:szCs w:val="24"/>
        </w:rPr>
        <w:t>:</w:t>
      </w:r>
    </w:p>
    <w:p w14:paraId="5C0616EB" w14:textId="77777777" w:rsidR="00006E76" w:rsidRDefault="00006E76" w:rsidP="00DA381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70AA1C65" w14:textId="77777777" w:rsidR="005D4FE0" w:rsidRPr="00FD51C8" w:rsidRDefault="00C259D1" w:rsidP="005A0332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‘</w:t>
      </w:r>
      <w:r w:rsidR="005A12C1">
        <w:rPr>
          <w:rFonts w:ascii="Arial" w:hAnsi="Arial" w:cs="Arial"/>
        </w:rPr>
        <w:t>I am not aware of any decision laying down a general rule that</w:t>
      </w:r>
      <w:r w:rsidR="00553EC0">
        <w:rPr>
          <w:rFonts w:ascii="Arial" w:hAnsi="Arial" w:cs="Arial"/>
        </w:rPr>
        <w:t xml:space="preserve"> all provisions with respect to time are necessar</w:t>
      </w:r>
      <w:r>
        <w:rPr>
          <w:rFonts w:ascii="Arial" w:hAnsi="Arial" w:cs="Arial"/>
        </w:rPr>
        <w:t>il</w:t>
      </w:r>
      <w:r w:rsidR="00553EC0">
        <w:rPr>
          <w:rFonts w:ascii="Arial" w:hAnsi="Arial" w:cs="Arial"/>
        </w:rPr>
        <w:t xml:space="preserve">y </w:t>
      </w:r>
      <w:r w:rsidR="00287B3F">
        <w:rPr>
          <w:rFonts w:ascii="Arial" w:hAnsi="Arial" w:cs="Arial"/>
        </w:rPr>
        <w:t>obligatory, and that failure to</w:t>
      </w:r>
      <w:r w:rsidR="00DB0B95">
        <w:rPr>
          <w:rFonts w:ascii="Arial" w:hAnsi="Arial" w:cs="Arial"/>
        </w:rPr>
        <w:t xml:space="preserve"> comply strictly therewith </w:t>
      </w:r>
      <w:r w:rsidR="00287B3F">
        <w:rPr>
          <w:rFonts w:ascii="Arial" w:hAnsi="Arial" w:cs="Arial"/>
        </w:rPr>
        <w:t>result</w:t>
      </w:r>
      <w:r w:rsidR="00DB0B95">
        <w:rPr>
          <w:rFonts w:ascii="Arial" w:hAnsi="Arial" w:cs="Arial"/>
        </w:rPr>
        <w:t>s</w:t>
      </w:r>
      <w:r w:rsidR="00287B3F">
        <w:rPr>
          <w:rFonts w:ascii="Arial" w:hAnsi="Arial" w:cs="Arial"/>
        </w:rPr>
        <w:t xml:space="preserve"> </w:t>
      </w:r>
      <w:r w:rsidR="00797309">
        <w:rPr>
          <w:rFonts w:ascii="Arial" w:hAnsi="Arial" w:cs="Arial"/>
        </w:rPr>
        <w:t xml:space="preserve">in nullifying </w:t>
      </w:r>
      <w:r>
        <w:rPr>
          <w:rFonts w:ascii="Arial" w:hAnsi="Arial" w:cs="Arial"/>
        </w:rPr>
        <w:t>all a</w:t>
      </w:r>
      <w:r w:rsidR="00DB0B95">
        <w:rPr>
          <w:rFonts w:ascii="Arial" w:hAnsi="Arial" w:cs="Arial"/>
        </w:rPr>
        <w:t>cts done pursuant there</w:t>
      </w:r>
      <w:r w:rsidR="00DB0B95" w:rsidRPr="00C6456A">
        <w:rPr>
          <w:rFonts w:ascii="Arial" w:hAnsi="Arial" w:cs="Arial"/>
        </w:rPr>
        <w:t>to</w:t>
      </w:r>
      <w:r w:rsidR="00C6456A" w:rsidRPr="00C6456A">
        <w:rPr>
          <w:rFonts w:ascii="Arial" w:hAnsi="Arial" w:cs="Arial"/>
        </w:rPr>
        <w:t>. The re</w:t>
      </w:r>
      <w:r w:rsidR="00C6456A">
        <w:rPr>
          <w:rFonts w:ascii="Arial" w:hAnsi="Arial" w:cs="Arial"/>
        </w:rPr>
        <w:t xml:space="preserve">al intention of the </w:t>
      </w:r>
      <w:r>
        <w:rPr>
          <w:rFonts w:ascii="Arial" w:hAnsi="Arial" w:cs="Arial"/>
        </w:rPr>
        <w:t>L</w:t>
      </w:r>
      <w:r w:rsidR="00BC59E7">
        <w:rPr>
          <w:rFonts w:ascii="Arial" w:hAnsi="Arial" w:cs="Arial"/>
        </w:rPr>
        <w:t xml:space="preserve">egislator should in all cases </w:t>
      </w:r>
      <w:r w:rsidR="00135039">
        <w:rPr>
          <w:rFonts w:ascii="Arial" w:hAnsi="Arial" w:cs="Arial"/>
        </w:rPr>
        <w:t xml:space="preserve">be enquired into </w:t>
      </w:r>
      <w:r w:rsidR="00B377E5">
        <w:rPr>
          <w:rFonts w:ascii="Arial" w:hAnsi="Arial" w:cs="Arial"/>
        </w:rPr>
        <w:t>and the reasons ascertain</w:t>
      </w:r>
      <w:r>
        <w:rPr>
          <w:rFonts w:ascii="Arial" w:hAnsi="Arial" w:cs="Arial"/>
        </w:rPr>
        <w:t>ed why the L</w:t>
      </w:r>
      <w:r w:rsidR="005A0332">
        <w:rPr>
          <w:rFonts w:ascii="Arial" w:hAnsi="Arial" w:cs="Arial"/>
        </w:rPr>
        <w:t xml:space="preserve">egislator should have </w:t>
      </w:r>
      <w:r w:rsidR="000A36E2">
        <w:rPr>
          <w:rFonts w:ascii="Arial" w:hAnsi="Arial" w:cs="Arial"/>
        </w:rPr>
        <w:t>wished to create a nullity</w:t>
      </w:r>
      <w:r w:rsidR="005D3D40">
        <w:rPr>
          <w:rFonts w:ascii="Arial" w:hAnsi="Arial" w:cs="Arial"/>
        </w:rPr>
        <w:t xml:space="preserve">. An important consideration should be whether by failure to </w:t>
      </w:r>
      <w:r>
        <w:rPr>
          <w:rFonts w:ascii="Arial" w:hAnsi="Arial" w:cs="Arial"/>
        </w:rPr>
        <w:t>adhere to a</w:t>
      </w:r>
      <w:r w:rsidR="0042095B">
        <w:rPr>
          <w:rFonts w:ascii="Arial" w:hAnsi="Arial" w:cs="Arial"/>
        </w:rPr>
        <w:t xml:space="preserve"> strict compliance </w:t>
      </w:r>
      <w:r w:rsidR="009A4690">
        <w:rPr>
          <w:rFonts w:ascii="Arial" w:hAnsi="Arial" w:cs="Arial"/>
        </w:rPr>
        <w:t>with the time provision</w:t>
      </w:r>
      <w:r w:rsidR="00B53A3D">
        <w:rPr>
          <w:rFonts w:ascii="Arial" w:hAnsi="Arial" w:cs="Arial"/>
        </w:rPr>
        <w:t xml:space="preserve"> substantial prejudice would result to the persons o</w:t>
      </w:r>
      <w:r>
        <w:rPr>
          <w:rFonts w:ascii="Arial" w:hAnsi="Arial" w:cs="Arial"/>
        </w:rPr>
        <w:t>r</w:t>
      </w:r>
      <w:r w:rsidR="00B53A3D">
        <w:rPr>
          <w:rFonts w:ascii="Arial" w:hAnsi="Arial" w:cs="Arial"/>
        </w:rPr>
        <w:t xml:space="preserve"> classes intended to </w:t>
      </w:r>
      <w:r>
        <w:rPr>
          <w:rFonts w:ascii="Arial" w:hAnsi="Arial" w:cs="Arial"/>
        </w:rPr>
        <w:t>be protected and if prejudice</w:t>
      </w:r>
      <w:r w:rsidR="00640580">
        <w:rPr>
          <w:rFonts w:ascii="Arial" w:hAnsi="Arial" w:cs="Arial"/>
        </w:rPr>
        <w:t xml:space="preserve"> may result whether it</w:t>
      </w:r>
      <w:r>
        <w:rPr>
          <w:rFonts w:ascii="Arial" w:hAnsi="Arial" w:cs="Arial"/>
        </w:rPr>
        <w:t xml:space="preserve"> is irremediable or whether it</w:t>
      </w:r>
      <w:r w:rsidR="00640580">
        <w:rPr>
          <w:rFonts w:ascii="Arial" w:hAnsi="Arial" w:cs="Arial"/>
        </w:rPr>
        <w:t xml:space="preserve"> may be </w:t>
      </w:r>
      <w:r>
        <w:rPr>
          <w:rFonts w:ascii="Arial" w:hAnsi="Arial" w:cs="Arial"/>
        </w:rPr>
        <w:t>cured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>’</w:t>
      </w:r>
    </w:p>
    <w:p w14:paraId="49104587" w14:textId="77777777" w:rsidR="0083261D" w:rsidRDefault="0083261D" w:rsidP="00DA381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1048292F" w14:textId="75B57F51" w:rsidR="008622A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[40]</w:t>
      </w:r>
      <w:r>
        <w:rPr>
          <w:rFonts w:ascii="Arial" w:hAnsi="Arial" w:cs="Arial"/>
          <w:sz w:val="24"/>
          <w:szCs w:val="24"/>
        </w:rPr>
        <w:tab/>
      </w:r>
      <w:r w:rsidR="00154AF2">
        <w:rPr>
          <w:rFonts w:ascii="Arial" w:hAnsi="Arial" w:cs="Arial"/>
          <w:sz w:val="24"/>
          <w:szCs w:val="24"/>
        </w:rPr>
        <w:t xml:space="preserve">As </w:t>
      </w:r>
      <w:r w:rsidR="007C78A2">
        <w:rPr>
          <w:rFonts w:ascii="Arial" w:hAnsi="Arial" w:cs="Arial"/>
          <w:sz w:val="24"/>
          <w:szCs w:val="24"/>
        </w:rPr>
        <w:t xml:space="preserve">is </w:t>
      </w:r>
      <w:r w:rsidR="00154AF2">
        <w:rPr>
          <w:rFonts w:ascii="Arial" w:hAnsi="Arial" w:cs="Arial"/>
          <w:sz w:val="24"/>
          <w:szCs w:val="24"/>
        </w:rPr>
        <w:t>eviden</w:t>
      </w:r>
      <w:r w:rsidR="007C78A2">
        <w:rPr>
          <w:rFonts w:ascii="Arial" w:hAnsi="Arial" w:cs="Arial"/>
          <w:sz w:val="24"/>
          <w:szCs w:val="24"/>
        </w:rPr>
        <w:t>t</w:t>
      </w:r>
      <w:r w:rsidR="00154AF2">
        <w:rPr>
          <w:rFonts w:ascii="Arial" w:hAnsi="Arial" w:cs="Arial"/>
          <w:sz w:val="24"/>
          <w:szCs w:val="24"/>
        </w:rPr>
        <w:t xml:space="preserve"> from the facts and the wording of s 4</w:t>
      </w:r>
      <w:r w:rsidR="007C78A2">
        <w:rPr>
          <w:rFonts w:ascii="Arial" w:hAnsi="Arial" w:cs="Arial"/>
          <w:sz w:val="24"/>
          <w:szCs w:val="24"/>
        </w:rPr>
        <w:t>7</w:t>
      </w:r>
      <w:r w:rsidR="00154AF2">
        <w:rPr>
          <w:rFonts w:ascii="Arial" w:hAnsi="Arial" w:cs="Arial"/>
          <w:sz w:val="24"/>
          <w:szCs w:val="24"/>
        </w:rPr>
        <w:t>(</w:t>
      </w:r>
      <w:r w:rsidR="007C78A2">
        <w:rPr>
          <w:rFonts w:ascii="Arial" w:hAnsi="Arial" w:cs="Arial"/>
          <w:sz w:val="24"/>
          <w:szCs w:val="24"/>
        </w:rPr>
        <w:t>1</w:t>
      </w:r>
      <w:r w:rsidR="00154AF2">
        <w:rPr>
          <w:rFonts w:ascii="Arial" w:hAnsi="Arial" w:cs="Arial"/>
          <w:sz w:val="24"/>
          <w:szCs w:val="24"/>
        </w:rPr>
        <w:t xml:space="preserve">) all the </w:t>
      </w:r>
      <w:r w:rsidR="00321B44">
        <w:rPr>
          <w:rFonts w:ascii="Arial" w:hAnsi="Arial" w:cs="Arial"/>
          <w:sz w:val="24"/>
          <w:szCs w:val="24"/>
        </w:rPr>
        <w:t xml:space="preserve">factors mentioned in </w:t>
      </w:r>
      <w:r w:rsidR="00FB5643">
        <w:rPr>
          <w:rFonts w:ascii="Arial" w:hAnsi="Arial" w:cs="Arial"/>
          <w:i/>
          <w:sz w:val="24"/>
          <w:szCs w:val="24"/>
        </w:rPr>
        <w:t xml:space="preserve">Volschenk </w:t>
      </w:r>
      <w:r w:rsidR="00FB5643">
        <w:rPr>
          <w:rFonts w:ascii="Arial" w:hAnsi="Arial" w:cs="Arial"/>
          <w:sz w:val="24"/>
          <w:szCs w:val="24"/>
        </w:rPr>
        <w:t>points to the non-</w:t>
      </w:r>
      <w:r w:rsidR="00C61534">
        <w:rPr>
          <w:rFonts w:ascii="Arial" w:hAnsi="Arial" w:cs="Arial"/>
          <w:sz w:val="24"/>
          <w:szCs w:val="24"/>
        </w:rPr>
        <w:t xml:space="preserve">compliance </w:t>
      </w:r>
      <w:r w:rsidR="00F867ED">
        <w:rPr>
          <w:rFonts w:ascii="Arial" w:hAnsi="Arial" w:cs="Arial"/>
          <w:sz w:val="24"/>
          <w:szCs w:val="24"/>
        </w:rPr>
        <w:t xml:space="preserve">in the present matter </w:t>
      </w:r>
      <w:r w:rsidR="00F0007E">
        <w:rPr>
          <w:rFonts w:ascii="Arial" w:hAnsi="Arial" w:cs="Arial"/>
          <w:sz w:val="24"/>
          <w:szCs w:val="24"/>
        </w:rPr>
        <w:t xml:space="preserve">with </w:t>
      </w:r>
      <w:r w:rsidR="00F867ED">
        <w:rPr>
          <w:rFonts w:ascii="Arial" w:hAnsi="Arial" w:cs="Arial"/>
          <w:sz w:val="24"/>
          <w:szCs w:val="24"/>
        </w:rPr>
        <w:t>the 30 day time period to be non-fatal</w:t>
      </w:r>
      <w:r w:rsidR="00ED7DAC">
        <w:rPr>
          <w:rFonts w:ascii="Arial" w:hAnsi="Arial" w:cs="Arial"/>
          <w:sz w:val="24"/>
          <w:szCs w:val="24"/>
        </w:rPr>
        <w:t xml:space="preserve">. I point out finally that in this country this has been the </w:t>
      </w:r>
      <w:r w:rsidR="00213DC4">
        <w:rPr>
          <w:rFonts w:ascii="Arial" w:hAnsi="Arial" w:cs="Arial"/>
          <w:sz w:val="24"/>
          <w:szCs w:val="24"/>
        </w:rPr>
        <w:t>approach for a long time</w:t>
      </w:r>
      <w:r w:rsidR="00213DC4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631DC0">
        <w:rPr>
          <w:rFonts w:ascii="Arial" w:hAnsi="Arial" w:cs="Arial"/>
          <w:sz w:val="24"/>
          <w:szCs w:val="24"/>
        </w:rPr>
        <w:t>.</w:t>
      </w:r>
    </w:p>
    <w:p w14:paraId="3B609B15" w14:textId="77777777" w:rsidR="008622A9" w:rsidRPr="008622A9" w:rsidRDefault="008622A9" w:rsidP="008622A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42A5883" w14:textId="10570708" w:rsidR="009017C8" w:rsidRPr="008622A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622A9">
        <w:rPr>
          <w:rFonts w:ascii="Arial" w:hAnsi="Arial" w:cs="Arial"/>
          <w:sz w:val="24"/>
          <w:szCs w:val="24"/>
        </w:rPr>
        <w:t>[41]</w:t>
      </w:r>
      <w:r w:rsidRPr="008622A9">
        <w:rPr>
          <w:rFonts w:ascii="Arial" w:hAnsi="Arial" w:cs="Arial"/>
          <w:sz w:val="24"/>
          <w:szCs w:val="24"/>
        </w:rPr>
        <w:tab/>
      </w:r>
      <w:r w:rsidR="00631DC0">
        <w:rPr>
          <w:rFonts w:ascii="Arial" w:hAnsi="Arial" w:cs="Arial"/>
          <w:sz w:val="24"/>
          <w:szCs w:val="24"/>
        </w:rPr>
        <w:t>In the result</w:t>
      </w:r>
      <w:r w:rsidR="00C259D1">
        <w:rPr>
          <w:rFonts w:ascii="Arial" w:hAnsi="Arial" w:cs="Arial"/>
          <w:sz w:val="24"/>
          <w:szCs w:val="24"/>
        </w:rPr>
        <w:t>,</w:t>
      </w:r>
      <w:r w:rsidR="00631DC0">
        <w:rPr>
          <w:rFonts w:ascii="Arial" w:hAnsi="Arial" w:cs="Arial"/>
          <w:sz w:val="24"/>
          <w:szCs w:val="24"/>
        </w:rPr>
        <w:t xml:space="preserve"> </w:t>
      </w:r>
      <w:r w:rsidR="008D30A4">
        <w:rPr>
          <w:rFonts w:ascii="Arial" w:hAnsi="Arial" w:cs="Arial"/>
          <w:sz w:val="24"/>
          <w:szCs w:val="24"/>
        </w:rPr>
        <w:t xml:space="preserve">the reliance on strict compliance with the time period </w:t>
      </w:r>
      <w:r w:rsidR="00A868D2">
        <w:rPr>
          <w:rFonts w:ascii="Arial" w:hAnsi="Arial" w:cs="Arial"/>
          <w:sz w:val="24"/>
          <w:szCs w:val="24"/>
        </w:rPr>
        <w:t>contained in reg 35 does not avail NPS and did not amount to a fa</w:t>
      </w:r>
      <w:r w:rsidR="00FA4DD0">
        <w:rPr>
          <w:rFonts w:ascii="Arial" w:hAnsi="Arial" w:cs="Arial"/>
          <w:sz w:val="24"/>
          <w:szCs w:val="24"/>
        </w:rPr>
        <w:t xml:space="preserve">tal </w:t>
      </w:r>
      <w:r w:rsidR="00415CE6">
        <w:rPr>
          <w:rFonts w:ascii="Arial" w:hAnsi="Arial" w:cs="Arial"/>
          <w:sz w:val="24"/>
          <w:szCs w:val="24"/>
        </w:rPr>
        <w:t xml:space="preserve">irregularity in the procurement process as submitted </w:t>
      </w:r>
      <w:r w:rsidR="00841DAC">
        <w:rPr>
          <w:rFonts w:ascii="Arial" w:hAnsi="Arial" w:cs="Arial"/>
          <w:sz w:val="24"/>
          <w:szCs w:val="24"/>
        </w:rPr>
        <w:t>on</w:t>
      </w:r>
      <w:r w:rsidR="00FA4DD0">
        <w:rPr>
          <w:rFonts w:ascii="Arial" w:hAnsi="Arial" w:cs="Arial"/>
          <w:sz w:val="24"/>
          <w:szCs w:val="24"/>
        </w:rPr>
        <w:t xml:space="preserve"> behalf of NPS.</w:t>
      </w:r>
      <w:r w:rsidR="00ED7DAC">
        <w:rPr>
          <w:rFonts w:ascii="Arial" w:hAnsi="Arial" w:cs="Arial"/>
          <w:sz w:val="24"/>
          <w:szCs w:val="24"/>
        </w:rPr>
        <w:t xml:space="preserve"> </w:t>
      </w:r>
    </w:p>
    <w:p w14:paraId="679251EF" w14:textId="77777777" w:rsidR="00157E5E" w:rsidRPr="00F56588" w:rsidRDefault="00157E5E" w:rsidP="00F5658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Review Panel’s failure to provide </w:t>
      </w:r>
      <w:proofErr w:type="gramStart"/>
      <w:r>
        <w:rPr>
          <w:rFonts w:ascii="Arial" w:hAnsi="Arial" w:cs="Arial"/>
          <w:sz w:val="24"/>
          <w:szCs w:val="24"/>
          <w:u w:val="single"/>
        </w:rPr>
        <w:t>reasons</w:t>
      </w:r>
      <w:proofErr w:type="gramEnd"/>
    </w:p>
    <w:p w14:paraId="735E2E70" w14:textId="15845253" w:rsidR="00D60A2B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[42]</w:t>
      </w:r>
      <w:r>
        <w:rPr>
          <w:rFonts w:ascii="Arial" w:hAnsi="Arial" w:cs="Arial"/>
          <w:sz w:val="24"/>
          <w:szCs w:val="24"/>
        </w:rPr>
        <w:tab/>
      </w:r>
      <w:r w:rsidR="00FA0BF2">
        <w:rPr>
          <w:rFonts w:ascii="Arial" w:hAnsi="Arial" w:cs="Arial"/>
          <w:sz w:val="24"/>
          <w:szCs w:val="24"/>
        </w:rPr>
        <w:t xml:space="preserve">The Review Panel’s absence when it came to the </w:t>
      </w:r>
      <w:r w:rsidR="00186B63">
        <w:rPr>
          <w:rFonts w:ascii="Arial" w:hAnsi="Arial" w:cs="Arial"/>
          <w:sz w:val="24"/>
          <w:szCs w:val="24"/>
        </w:rPr>
        <w:t xml:space="preserve">review of their decision was commented on </w:t>
      </w:r>
      <w:r w:rsidR="00186B63">
        <w:rPr>
          <w:rFonts w:ascii="Arial" w:hAnsi="Arial" w:cs="Arial"/>
          <w:i/>
          <w:sz w:val="24"/>
          <w:szCs w:val="24"/>
        </w:rPr>
        <w:t xml:space="preserve">a quo </w:t>
      </w:r>
      <w:r w:rsidR="00186B63">
        <w:rPr>
          <w:rFonts w:ascii="Arial" w:hAnsi="Arial" w:cs="Arial"/>
          <w:sz w:val="24"/>
          <w:szCs w:val="24"/>
        </w:rPr>
        <w:t xml:space="preserve">and it was pointed out </w:t>
      </w:r>
      <w:r w:rsidR="00C14D5A">
        <w:rPr>
          <w:rFonts w:ascii="Arial" w:hAnsi="Arial" w:cs="Arial"/>
          <w:sz w:val="24"/>
          <w:szCs w:val="24"/>
        </w:rPr>
        <w:t xml:space="preserve">that the refusal by the Review Panel to provide reasons for their decision </w:t>
      </w:r>
      <w:r w:rsidR="00D4250B">
        <w:rPr>
          <w:rFonts w:ascii="Arial" w:hAnsi="Arial" w:cs="Arial"/>
          <w:sz w:val="24"/>
          <w:szCs w:val="24"/>
        </w:rPr>
        <w:t xml:space="preserve">either prior to the review application being </w:t>
      </w:r>
      <w:r w:rsidR="00E638C1">
        <w:rPr>
          <w:rFonts w:ascii="Arial" w:hAnsi="Arial" w:cs="Arial"/>
          <w:sz w:val="24"/>
          <w:szCs w:val="24"/>
        </w:rPr>
        <w:t xml:space="preserve">lodged or in an affidavit in answer to the review application </w:t>
      </w:r>
      <w:r w:rsidR="00D82F92">
        <w:rPr>
          <w:rFonts w:ascii="Arial" w:hAnsi="Arial" w:cs="Arial"/>
          <w:sz w:val="24"/>
          <w:szCs w:val="24"/>
        </w:rPr>
        <w:t xml:space="preserve">was unacceptable. It is also clear from the judgment </w:t>
      </w:r>
      <w:r w:rsidR="00D82F92">
        <w:rPr>
          <w:rFonts w:ascii="Arial" w:hAnsi="Arial" w:cs="Arial"/>
          <w:i/>
          <w:sz w:val="24"/>
          <w:szCs w:val="24"/>
        </w:rPr>
        <w:t xml:space="preserve">a quo </w:t>
      </w:r>
      <w:r w:rsidR="00D82F92">
        <w:rPr>
          <w:rFonts w:ascii="Arial" w:hAnsi="Arial" w:cs="Arial"/>
          <w:sz w:val="24"/>
          <w:szCs w:val="24"/>
        </w:rPr>
        <w:t xml:space="preserve">that this was not the first time that this </w:t>
      </w:r>
      <w:r w:rsidR="00544820">
        <w:rPr>
          <w:rFonts w:ascii="Arial" w:hAnsi="Arial" w:cs="Arial"/>
          <w:sz w:val="24"/>
          <w:szCs w:val="24"/>
        </w:rPr>
        <w:t xml:space="preserve">happened. The explanation for this given by the chairperson </w:t>
      </w:r>
      <w:r w:rsidR="009017C8">
        <w:rPr>
          <w:rFonts w:ascii="Arial" w:hAnsi="Arial" w:cs="Arial"/>
          <w:sz w:val="24"/>
          <w:szCs w:val="24"/>
        </w:rPr>
        <w:t>of the b</w:t>
      </w:r>
      <w:r w:rsidR="00035654">
        <w:rPr>
          <w:rFonts w:ascii="Arial" w:hAnsi="Arial" w:cs="Arial"/>
          <w:sz w:val="24"/>
          <w:szCs w:val="24"/>
        </w:rPr>
        <w:t xml:space="preserve">oard is that the Review Panel consists of </w:t>
      </w:r>
      <w:r w:rsidR="00EE5487">
        <w:rPr>
          <w:rFonts w:ascii="Arial" w:hAnsi="Arial" w:cs="Arial"/>
          <w:sz w:val="24"/>
          <w:szCs w:val="24"/>
        </w:rPr>
        <w:t>persons appointed for th</w:t>
      </w:r>
      <w:r w:rsidR="007F1927">
        <w:rPr>
          <w:rFonts w:ascii="Arial" w:hAnsi="Arial" w:cs="Arial"/>
          <w:sz w:val="24"/>
          <w:szCs w:val="24"/>
        </w:rPr>
        <w:t xml:space="preserve">is task on an </w:t>
      </w:r>
      <w:r w:rsidR="007F1927">
        <w:rPr>
          <w:rFonts w:ascii="Arial" w:hAnsi="Arial" w:cs="Arial"/>
          <w:i/>
          <w:sz w:val="24"/>
          <w:szCs w:val="24"/>
        </w:rPr>
        <w:t xml:space="preserve">ad hoc </w:t>
      </w:r>
      <w:r w:rsidR="007F1927">
        <w:rPr>
          <w:rFonts w:ascii="Arial" w:hAnsi="Arial" w:cs="Arial"/>
          <w:sz w:val="24"/>
          <w:szCs w:val="24"/>
        </w:rPr>
        <w:t xml:space="preserve">basis in respect of tenders </w:t>
      </w:r>
      <w:r w:rsidR="005A7289">
        <w:rPr>
          <w:rFonts w:ascii="Arial" w:hAnsi="Arial" w:cs="Arial"/>
          <w:sz w:val="24"/>
          <w:szCs w:val="24"/>
        </w:rPr>
        <w:t xml:space="preserve">if and when the need arise for this. Once a decision </w:t>
      </w:r>
      <w:r w:rsidR="009F0E1A">
        <w:rPr>
          <w:rFonts w:ascii="Arial" w:hAnsi="Arial" w:cs="Arial"/>
          <w:sz w:val="24"/>
          <w:szCs w:val="24"/>
        </w:rPr>
        <w:t xml:space="preserve">is </w:t>
      </w:r>
      <w:r w:rsidR="005A7289">
        <w:rPr>
          <w:rFonts w:ascii="Arial" w:hAnsi="Arial" w:cs="Arial"/>
          <w:sz w:val="24"/>
          <w:szCs w:val="24"/>
        </w:rPr>
        <w:t>made by the Review Panel</w:t>
      </w:r>
      <w:r w:rsidR="009017C8">
        <w:rPr>
          <w:rFonts w:ascii="Arial" w:hAnsi="Arial" w:cs="Arial"/>
          <w:sz w:val="24"/>
          <w:szCs w:val="24"/>
        </w:rPr>
        <w:t>,</w:t>
      </w:r>
      <w:r w:rsidR="009F0E1A">
        <w:rPr>
          <w:rFonts w:ascii="Arial" w:hAnsi="Arial" w:cs="Arial"/>
          <w:sz w:val="24"/>
          <w:szCs w:val="24"/>
        </w:rPr>
        <w:t xml:space="preserve"> the persons who constitute such panel </w:t>
      </w:r>
      <w:r w:rsidR="00DF521C">
        <w:rPr>
          <w:rFonts w:ascii="Arial" w:hAnsi="Arial" w:cs="Arial"/>
          <w:sz w:val="24"/>
          <w:szCs w:val="24"/>
        </w:rPr>
        <w:t>then dis</w:t>
      </w:r>
      <w:r w:rsidR="00252C79">
        <w:rPr>
          <w:rFonts w:ascii="Arial" w:hAnsi="Arial" w:cs="Arial"/>
          <w:sz w:val="24"/>
          <w:szCs w:val="24"/>
        </w:rPr>
        <w:t>pe</w:t>
      </w:r>
      <w:r w:rsidR="00FB7755">
        <w:rPr>
          <w:rFonts w:ascii="Arial" w:hAnsi="Arial" w:cs="Arial"/>
          <w:sz w:val="24"/>
          <w:szCs w:val="24"/>
        </w:rPr>
        <w:t>r</w:t>
      </w:r>
      <w:r w:rsidR="00252C79">
        <w:rPr>
          <w:rFonts w:ascii="Arial" w:hAnsi="Arial" w:cs="Arial"/>
          <w:sz w:val="24"/>
          <w:szCs w:val="24"/>
        </w:rPr>
        <w:t>se</w:t>
      </w:r>
      <w:r w:rsidR="00DF521C">
        <w:rPr>
          <w:rFonts w:ascii="Arial" w:hAnsi="Arial" w:cs="Arial"/>
          <w:sz w:val="24"/>
          <w:szCs w:val="24"/>
        </w:rPr>
        <w:t xml:space="preserve"> and hence that specific Review Panel ceases </w:t>
      </w:r>
      <w:r w:rsidR="00771597">
        <w:rPr>
          <w:rFonts w:ascii="Arial" w:hAnsi="Arial" w:cs="Arial"/>
          <w:sz w:val="24"/>
          <w:szCs w:val="24"/>
        </w:rPr>
        <w:t>to exist</w:t>
      </w:r>
      <w:r w:rsidR="00D60A2B">
        <w:rPr>
          <w:rFonts w:ascii="Arial" w:hAnsi="Arial" w:cs="Arial"/>
          <w:sz w:val="24"/>
          <w:szCs w:val="24"/>
        </w:rPr>
        <w:t>.</w:t>
      </w:r>
    </w:p>
    <w:p w14:paraId="7F287F1C" w14:textId="77777777" w:rsidR="00D60A2B" w:rsidRDefault="00D60A2B" w:rsidP="00D60A2B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FA16243" w14:textId="25D91EEE" w:rsidR="00E5621D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[43]</w:t>
      </w:r>
      <w:r>
        <w:rPr>
          <w:rFonts w:ascii="Arial" w:hAnsi="Arial" w:cs="Arial"/>
          <w:sz w:val="24"/>
          <w:szCs w:val="24"/>
        </w:rPr>
        <w:tab/>
      </w:r>
      <w:r w:rsidR="009017C8">
        <w:rPr>
          <w:rFonts w:ascii="Arial" w:hAnsi="Arial" w:cs="Arial"/>
          <w:sz w:val="24"/>
          <w:szCs w:val="24"/>
        </w:rPr>
        <w:t>I a</w:t>
      </w:r>
      <w:r w:rsidR="00D60A2B">
        <w:rPr>
          <w:rFonts w:ascii="Arial" w:hAnsi="Arial" w:cs="Arial"/>
          <w:sz w:val="24"/>
          <w:szCs w:val="24"/>
        </w:rPr>
        <w:t xml:space="preserve">m afraid that the </w:t>
      </w:r>
      <w:r w:rsidR="00876A54">
        <w:rPr>
          <w:rFonts w:ascii="Arial" w:hAnsi="Arial" w:cs="Arial"/>
          <w:sz w:val="24"/>
          <w:szCs w:val="24"/>
        </w:rPr>
        <w:t>explanation is not acceptable. The erstwhile m</w:t>
      </w:r>
      <w:r w:rsidR="000F2294">
        <w:rPr>
          <w:rFonts w:ascii="Arial" w:hAnsi="Arial" w:cs="Arial"/>
          <w:sz w:val="24"/>
          <w:szCs w:val="24"/>
        </w:rPr>
        <w:t xml:space="preserve">embers of a Review Panel </w:t>
      </w:r>
      <w:r w:rsidR="0037307E">
        <w:rPr>
          <w:rFonts w:ascii="Arial" w:hAnsi="Arial" w:cs="Arial"/>
          <w:sz w:val="24"/>
          <w:szCs w:val="24"/>
        </w:rPr>
        <w:t xml:space="preserve">do not disappear into thin air once their job is done. The </w:t>
      </w:r>
      <w:r w:rsidR="009017C8">
        <w:rPr>
          <w:rFonts w:ascii="Arial" w:hAnsi="Arial" w:cs="Arial"/>
          <w:sz w:val="24"/>
          <w:szCs w:val="24"/>
        </w:rPr>
        <w:t>c</w:t>
      </w:r>
      <w:r w:rsidR="0037307E">
        <w:rPr>
          <w:rFonts w:ascii="Arial" w:hAnsi="Arial" w:cs="Arial"/>
          <w:sz w:val="24"/>
          <w:szCs w:val="24"/>
        </w:rPr>
        <w:t xml:space="preserve">hairperson </w:t>
      </w:r>
      <w:r w:rsidR="0057783B">
        <w:rPr>
          <w:rFonts w:ascii="Arial" w:hAnsi="Arial" w:cs="Arial"/>
          <w:sz w:val="24"/>
          <w:szCs w:val="24"/>
        </w:rPr>
        <w:t xml:space="preserve">of the panel, or </w:t>
      </w:r>
      <w:r w:rsidR="001B03EC">
        <w:rPr>
          <w:rFonts w:ascii="Arial" w:hAnsi="Arial" w:cs="Arial"/>
          <w:sz w:val="24"/>
          <w:szCs w:val="24"/>
        </w:rPr>
        <w:t>f</w:t>
      </w:r>
      <w:r w:rsidR="00252C79">
        <w:rPr>
          <w:rFonts w:ascii="Arial" w:hAnsi="Arial" w:cs="Arial"/>
          <w:sz w:val="24"/>
          <w:szCs w:val="24"/>
        </w:rPr>
        <w:t xml:space="preserve">ailing </w:t>
      </w:r>
      <w:r w:rsidR="0050787C">
        <w:rPr>
          <w:rFonts w:ascii="Arial" w:hAnsi="Arial" w:cs="Arial"/>
          <w:sz w:val="24"/>
          <w:szCs w:val="24"/>
        </w:rPr>
        <w:t>the</w:t>
      </w:r>
      <w:r w:rsidR="001B03EC">
        <w:rPr>
          <w:rFonts w:ascii="Arial" w:hAnsi="Arial" w:cs="Arial"/>
          <w:sz w:val="24"/>
          <w:szCs w:val="24"/>
        </w:rPr>
        <w:t xml:space="preserve"> chairperson</w:t>
      </w:r>
      <w:r w:rsidR="004C0FDD">
        <w:rPr>
          <w:rFonts w:ascii="Arial" w:hAnsi="Arial" w:cs="Arial"/>
          <w:sz w:val="24"/>
          <w:szCs w:val="24"/>
        </w:rPr>
        <w:t xml:space="preserve">, one of the members of such panel </w:t>
      </w:r>
      <w:r w:rsidR="008A343B">
        <w:rPr>
          <w:rFonts w:ascii="Arial" w:hAnsi="Arial" w:cs="Arial"/>
          <w:sz w:val="24"/>
          <w:szCs w:val="24"/>
        </w:rPr>
        <w:t>must provide the reasons for the decision made by the Review Panel</w:t>
      </w:r>
      <w:r w:rsidR="00857C48">
        <w:rPr>
          <w:rFonts w:ascii="Arial" w:hAnsi="Arial" w:cs="Arial"/>
          <w:sz w:val="24"/>
          <w:szCs w:val="24"/>
        </w:rPr>
        <w:t xml:space="preserve"> on which he or she served. The fact that they no longer </w:t>
      </w:r>
      <w:r w:rsidR="003D35DF">
        <w:rPr>
          <w:rFonts w:ascii="Arial" w:hAnsi="Arial" w:cs="Arial"/>
          <w:sz w:val="24"/>
          <w:szCs w:val="24"/>
        </w:rPr>
        <w:t xml:space="preserve">are members of the Review Panel does not absolve them </w:t>
      </w:r>
      <w:r w:rsidR="00F9013A">
        <w:rPr>
          <w:rFonts w:ascii="Arial" w:hAnsi="Arial" w:cs="Arial"/>
          <w:sz w:val="24"/>
          <w:szCs w:val="24"/>
        </w:rPr>
        <w:t xml:space="preserve">from this duty </w:t>
      </w:r>
      <w:r w:rsidR="00DE481F">
        <w:rPr>
          <w:rFonts w:ascii="Arial" w:hAnsi="Arial" w:cs="Arial"/>
          <w:sz w:val="24"/>
          <w:szCs w:val="24"/>
        </w:rPr>
        <w:t>where</w:t>
      </w:r>
      <w:r w:rsidR="00F9013A">
        <w:rPr>
          <w:rFonts w:ascii="Arial" w:hAnsi="Arial" w:cs="Arial"/>
          <w:sz w:val="24"/>
          <w:szCs w:val="24"/>
        </w:rPr>
        <w:t xml:space="preserve"> a decision </w:t>
      </w:r>
      <w:r w:rsidR="00FC6278">
        <w:rPr>
          <w:rFonts w:ascii="Arial" w:hAnsi="Arial" w:cs="Arial"/>
          <w:sz w:val="24"/>
          <w:szCs w:val="24"/>
        </w:rPr>
        <w:t xml:space="preserve">to which </w:t>
      </w:r>
      <w:r w:rsidR="00F9013A">
        <w:rPr>
          <w:rFonts w:ascii="Arial" w:hAnsi="Arial" w:cs="Arial"/>
          <w:sz w:val="24"/>
          <w:szCs w:val="24"/>
        </w:rPr>
        <w:t xml:space="preserve">they were parties </w:t>
      </w:r>
      <w:r w:rsidR="00DE481F">
        <w:rPr>
          <w:rFonts w:ascii="Arial" w:hAnsi="Arial" w:cs="Arial"/>
          <w:sz w:val="24"/>
          <w:szCs w:val="24"/>
        </w:rPr>
        <w:t xml:space="preserve">is </w:t>
      </w:r>
      <w:r w:rsidR="00FC6278">
        <w:rPr>
          <w:rFonts w:ascii="Arial" w:hAnsi="Arial" w:cs="Arial"/>
          <w:sz w:val="24"/>
          <w:szCs w:val="24"/>
        </w:rPr>
        <w:t xml:space="preserve">being sought to </w:t>
      </w:r>
      <w:r w:rsidR="005266D5">
        <w:rPr>
          <w:rFonts w:ascii="Arial" w:hAnsi="Arial" w:cs="Arial"/>
          <w:sz w:val="24"/>
          <w:szCs w:val="24"/>
        </w:rPr>
        <w:t xml:space="preserve">be reviewed in a court. If they are not informed of this duty prior to </w:t>
      </w:r>
      <w:r w:rsidR="008B5CFD">
        <w:rPr>
          <w:rFonts w:ascii="Arial" w:hAnsi="Arial" w:cs="Arial"/>
          <w:sz w:val="24"/>
          <w:szCs w:val="24"/>
        </w:rPr>
        <w:t xml:space="preserve">being appointed to the Review Panel </w:t>
      </w:r>
      <w:r w:rsidR="00E5621D">
        <w:rPr>
          <w:rFonts w:ascii="Arial" w:hAnsi="Arial" w:cs="Arial"/>
          <w:sz w:val="24"/>
          <w:szCs w:val="24"/>
        </w:rPr>
        <w:t xml:space="preserve">they </w:t>
      </w:r>
      <w:r w:rsidR="008B5CFD">
        <w:rPr>
          <w:rFonts w:ascii="Arial" w:hAnsi="Arial" w:cs="Arial"/>
          <w:sz w:val="24"/>
          <w:szCs w:val="24"/>
        </w:rPr>
        <w:t>should be so informed</w:t>
      </w:r>
      <w:r w:rsidR="00E5621D">
        <w:rPr>
          <w:rFonts w:ascii="Arial" w:hAnsi="Arial" w:cs="Arial"/>
          <w:sz w:val="24"/>
          <w:szCs w:val="24"/>
        </w:rPr>
        <w:t xml:space="preserve"> in future.</w:t>
      </w:r>
    </w:p>
    <w:p w14:paraId="7D437F60" w14:textId="77777777" w:rsidR="008622A9" w:rsidRDefault="008622A9" w:rsidP="008622A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17A7A51" w14:textId="5FC8650A" w:rsidR="008622A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[44]</w:t>
      </w:r>
      <w:r>
        <w:rPr>
          <w:rFonts w:ascii="Arial" w:hAnsi="Arial" w:cs="Arial"/>
          <w:sz w:val="24"/>
          <w:szCs w:val="24"/>
        </w:rPr>
        <w:tab/>
      </w:r>
      <w:r w:rsidR="00C779EB">
        <w:rPr>
          <w:rFonts w:ascii="Arial" w:hAnsi="Arial" w:cs="Arial"/>
          <w:sz w:val="24"/>
          <w:szCs w:val="24"/>
        </w:rPr>
        <w:t xml:space="preserve">It is important from the perspective of </w:t>
      </w:r>
      <w:r w:rsidR="00775BF5">
        <w:rPr>
          <w:rFonts w:ascii="Arial" w:hAnsi="Arial" w:cs="Arial"/>
          <w:sz w:val="24"/>
          <w:szCs w:val="24"/>
        </w:rPr>
        <w:t xml:space="preserve">accountability and transparency that such reasons are given.  </w:t>
      </w:r>
      <w:r w:rsidR="002310A2">
        <w:rPr>
          <w:rFonts w:ascii="Arial" w:hAnsi="Arial" w:cs="Arial"/>
          <w:sz w:val="24"/>
          <w:szCs w:val="24"/>
        </w:rPr>
        <w:t>In fact</w:t>
      </w:r>
      <w:r w:rsidR="00DA381F">
        <w:rPr>
          <w:rFonts w:ascii="Arial" w:hAnsi="Arial" w:cs="Arial"/>
          <w:sz w:val="24"/>
          <w:szCs w:val="24"/>
        </w:rPr>
        <w:t>,</w:t>
      </w:r>
      <w:r w:rsidR="002310A2">
        <w:rPr>
          <w:rFonts w:ascii="Arial" w:hAnsi="Arial" w:cs="Arial"/>
          <w:sz w:val="24"/>
          <w:szCs w:val="24"/>
        </w:rPr>
        <w:t xml:space="preserve"> t</w:t>
      </w:r>
      <w:r w:rsidR="00775BF5">
        <w:rPr>
          <w:rFonts w:ascii="Arial" w:hAnsi="Arial" w:cs="Arial"/>
          <w:sz w:val="24"/>
          <w:szCs w:val="24"/>
        </w:rPr>
        <w:t xml:space="preserve">here </w:t>
      </w:r>
      <w:r w:rsidR="00E056D7">
        <w:rPr>
          <w:rFonts w:ascii="Arial" w:hAnsi="Arial" w:cs="Arial"/>
          <w:sz w:val="24"/>
          <w:szCs w:val="24"/>
        </w:rPr>
        <w:t>is a legal duty to give reasons by bodies such as the Review Panel</w:t>
      </w:r>
      <w:r w:rsidR="00DD041B">
        <w:rPr>
          <w:rFonts w:ascii="Arial" w:hAnsi="Arial" w:cs="Arial"/>
          <w:sz w:val="24"/>
          <w:szCs w:val="24"/>
        </w:rPr>
        <w:t xml:space="preserve">. As was pointed out by Strydom, CJ in </w:t>
      </w:r>
      <w:r w:rsidR="00DD041B" w:rsidRPr="00C45812">
        <w:rPr>
          <w:rFonts w:ascii="Arial" w:hAnsi="Arial" w:cs="Arial"/>
          <w:i/>
          <w:sz w:val="24"/>
          <w:szCs w:val="24"/>
        </w:rPr>
        <w:t>Chai</w:t>
      </w:r>
      <w:r w:rsidR="00C9561A">
        <w:rPr>
          <w:rFonts w:ascii="Arial" w:hAnsi="Arial" w:cs="Arial"/>
          <w:i/>
          <w:sz w:val="24"/>
          <w:szCs w:val="24"/>
        </w:rPr>
        <w:t>r</w:t>
      </w:r>
      <w:r w:rsidR="00DD041B" w:rsidRPr="00C45812">
        <w:rPr>
          <w:rFonts w:ascii="Arial" w:hAnsi="Arial" w:cs="Arial"/>
          <w:i/>
          <w:sz w:val="24"/>
          <w:szCs w:val="24"/>
        </w:rPr>
        <w:t xml:space="preserve">person of the Immigration </w:t>
      </w:r>
      <w:r w:rsidR="00DD041B" w:rsidRPr="00C45812">
        <w:rPr>
          <w:rFonts w:ascii="Arial" w:hAnsi="Arial" w:cs="Arial"/>
          <w:i/>
          <w:sz w:val="24"/>
          <w:szCs w:val="24"/>
        </w:rPr>
        <w:lastRenderedPageBreak/>
        <w:t xml:space="preserve">Selection Board </w:t>
      </w:r>
      <w:r w:rsidR="0050787C">
        <w:rPr>
          <w:rFonts w:ascii="Arial" w:hAnsi="Arial" w:cs="Arial"/>
          <w:i/>
          <w:sz w:val="24"/>
          <w:szCs w:val="24"/>
        </w:rPr>
        <w:t>v Frank &amp;</w:t>
      </w:r>
      <w:r w:rsidR="00C45812" w:rsidRPr="00C45812">
        <w:rPr>
          <w:rFonts w:ascii="Arial" w:hAnsi="Arial" w:cs="Arial"/>
          <w:i/>
          <w:sz w:val="24"/>
          <w:szCs w:val="24"/>
        </w:rPr>
        <w:t xml:space="preserve"> </w:t>
      </w:r>
      <w:r w:rsidR="00224516">
        <w:rPr>
          <w:rFonts w:ascii="Arial" w:hAnsi="Arial" w:cs="Arial"/>
          <w:i/>
          <w:sz w:val="24"/>
          <w:szCs w:val="24"/>
        </w:rPr>
        <w:t>a</w:t>
      </w:r>
      <w:r w:rsidR="00C45812" w:rsidRPr="00C45812">
        <w:rPr>
          <w:rFonts w:ascii="Arial" w:hAnsi="Arial" w:cs="Arial"/>
          <w:i/>
          <w:sz w:val="24"/>
          <w:szCs w:val="24"/>
        </w:rPr>
        <w:t>nother</w:t>
      </w:r>
      <w:r w:rsidR="0092447A" w:rsidRPr="00DA381F"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C45812">
        <w:rPr>
          <w:rFonts w:ascii="Arial" w:hAnsi="Arial" w:cs="Arial"/>
          <w:sz w:val="24"/>
          <w:szCs w:val="24"/>
        </w:rPr>
        <w:t xml:space="preserve"> ‘there can be little hope for transparency </w:t>
      </w:r>
      <w:r w:rsidR="00FC0B73">
        <w:rPr>
          <w:rFonts w:ascii="Arial" w:hAnsi="Arial" w:cs="Arial"/>
          <w:sz w:val="24"/>
          <w:szCs w:val="24"/>
        </w:rPr>
        <w:t>if an administrative organ is allowed to keep the reasons for its decision</w:t>
      </w:r>
      <w:r w:rsidR="00F31848">
        <w:rPr>
          <w:rFonts w:ascii="Arial" w:hAnsi="Arial" w:cs="Arial"/>
          <w:sz w:val="24"/>
          <w:szCs w:val="24"/>
        </w:rPr>
        <w:t xml:space="preserve"> secret’ and it is wrong to expect persons ag</w:t>
      </w:r>
      <w:r w:rsidR="007E0C99">
        <w:rPr>
          <w:rFonts w:ascii="Arial" w:hAnsi="Arial" w:cs="Arial"/>
          <w:sz w:val="24"/>
          <w:szCs w:val="24"/>
        </w:rPr>
        <w:t xml:space="preserve">grieved </w:t>
      </w:r>
      <w:r w:rsidR="00F31848">
        <w:rPr>
          <w:rFonts w:ascii="Arial" w:hAnsi="Arial" w:cs="Arial"/>
          <w:sz w:val="24"/>
          <w:szCs w:val="24"/>
        </w:rPr>
        <w:t xml:space="preserve">by decisions of such organs </w:t>
      </w:r>
      <w:r w:rsidR="00DD6E38">
        <w:rPr>
          <w:rFonts w:ascii="Arial" w:hAnsi="Arial" w:cs="Arial"/>
          <w:sz w:val="24"/>
          <w:szCs w:val="24"/>
        </w:rPr>
        <w:t xml:space="preserve">to ‘start off on an unfair basis because the administrative </w:t>
      </w:r>
      <w:r w:rsidR="00166DA1">
        <w:rPr>
          <w:rFonts w:ascii="Arial" w:hAnsi="Arial" w:cs="Arial"/>
          <w:sz w:val="24"/>
          <w:szCs w:val="24"/>
        </w:rPr>
        <w:t xml:space="preserve">organ refuses to </w:t>
      </w:r>
      <w:r w:rsidR="00865490">
        <w:rPr>
          <w:rFonts w:ascii="Arial" w:hAnsi="Arial" w:cs="Arial"/>
          <w:sz w:val="24"/>
          <w:szCs w:val="24"/>
        </w:rPr>
        <w:t xml:space="preserve">divulge </w:t>
      </w:r>
      <w:r w:rsidR="00166DA1">
        <w:rPr>
          <w:rFonts w:ascii="Arial" w:hAnsi="Arial" w:cs="Arial"/>
          <w:sz w:val="24"/>
          <w:szCs w:val="24"/>
        </w:rPr>
        <w:t>reasons</w:t>
      </w:r>
      <w:r w:rsidR="00F13F59">
        <w:rPr>
          <w:rFonts w:ascii="Arial" w:hAnsi="Arial" w:cs="Arial"/>
          <w:sz w:val="24"/>
          <w:szCs w:val="24"/>
        </w:rPr>
        <w:t xml:space="preserve"> for its decision’</w:t>
      </w:r>
      <w:r w:rsidR="00865490">
        <w:rPr>
          <w:rFonts w:ascii="Arial" w:hAnsi="Arial" w:cs="Arial"/>
          <w:sz w:val="24"/>
          <w:szCs w:val="24"/>
        </w:rPr>
        <w:t>.</w:t>
      </w:r>
    </w:p>
    <w:p w14:paraId="72B33364" w14:textId="77777777" w:rsidR="001B379E" w:rsidRPr="001B379E" w:rsidRDefault="001B379E" w:rsidP="001B379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FC7657C" w14:textId="6635C6BE" w:rsidR="00FD2F15" w:rsidRPr="008622A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622A9">
        <w:rPr>
          <w:rFonts w:ascii="Arial" w:hAnsi="Arial" w:cs="Arial"/>
          <w:sz w:val="24"/>
          <w:szCs w:val="24"/>
        </w:rPr>
        <w:t>[45]</w:t>
      </w:r>
      <w:r w:rsidRPr="008622A9">
        <w:rPr>
          <w:rFonts w:ascii="Arial" w:hAnsi="Arial" w:cs="Arial"/>
          <w:sz w:val="24"/>
          <w:szCs w:val="24"/>
        </w:rPr>
        <w:tab/>
      </w:r>
      <w:r w:rsidR="003113A4" w:rsidRPr="008622A9">
        <w:rPr>
          <w:rFonts w:ascii="Arial" w:hAnsi="Arial" w:cs="Arial"/>
          <w:sz w:val="24"/>
          <w:szCs w:val="24"/>
        </w:rPr>
        <w:t xml:space="preserve">In the present matter the reasons of the Review Panel in respect of </w:t>
      </w:r>
      <w:r w:rsidR="00A14A2C" w:rsidRPr="008622A9">
        <w:rPr>
          <w:rFonts w:ascii="Arial" w:hAnsi="Arial" w:cs="Arial"/>
          <w:sz w:val="24"/>
          <w:szCs w:val="24"/>
        </w:rPr>
        <w:t xml:space="preserve">the time period </w:t>
      </w:r>
      <w:r w:rsidR="00434034" w:rsidRPr="008622A9">
        <w:rPr>
          <w:rFonts w:ascii="Arial" w:hAnsi="Arial" w:cs="Arial"/>
          <w:sz w:val="24"/>
          <w:szCs w:val="24"/>
        </w:rPr>
        <w:t>are</w:t>
      </w:r>
      <w:r w:rsidR="00A14A2C" w:rsidRPr="008622A9">
        <w:rPr>
          <w:rFonts w:ascii="Arial" w:hAnsi="Arial" w:cs="Arial"/>
          <w:sz w:val="24"/>
          <w:szCs w:val="24"/>
        </w:rPr>
        <w:t xml:space="preserve"> self</w:t>
      </w:r>
      <w:r w:rsidR="001F614B" w:rsidRPr="008622A9">
        <w:rPr>
          <w:rFonts w:ascii="Arial" w:hAnsi="Arial" w:cs="Arial"/>
          <w:sz w:val="24"/>
          <w:szCs w:val="24"/>
        </w:rPr>
        <w:t>-</w:t>
      </w:r>
      <w:r w:rsidR="00A14A2C" w:rsidRPr="008622A9">
        <w:rPr>
          <w:rFonts w:ascii="Arial" w:hAnsi="Arial" w:cs="Arial"/>
          <w:sz w:val="24"/>
          <w:szCs w:val="24"/>
        </w:rPr>
        <w:t>evident</w:t>
      </w:r>
      <w:r w:rsidR="001F614B" w:rsidRPr="008622A9">
        <w:rPr>
          <w:rFonts w:ascii="Arial" w:hAnsi="Arial" w:cs="Arial"/>
          <w:sz w:val="24"/>
          <w:szCs w:val="24"/>
        </w:rPr>
        <w:t xml:space="preserve"> from the decision and hence </w:t>
      </w:r>
      <w:r w:rsidR="0050787C" w:rsidRPr="008622A9">
        <w:rPr>
          <w:rFonts w:ascii="Arial" w:hAnsi="Arial" w:cs="Arial"/>
          <w:sz w:val="24"/>
          <w:szCs w:val="24"/>
        </w:rPr>
        <w:t>were dealt with</w:t>
      </w:r>
      <w:r w:rsidR="001F614B" w:rsidRPr="008622A9">
        <w:rPr>
          <w:rFonts w:ascii="Arial" w:hAnsi="Arial" w:cs="Arial"/>
          <w:sz w:val="24"/>
          <w:szCs w:val="24"/>
        </w:rPr>
        <w:t xml:space="preserve"> above. </w:t>
      </w:r>
      <w:r w:rsidR="00704B34" w:rsidRPr="008622A9">
        <w:rPr>
          <w:rFonts w:ascii="Arial" w:hAnsi="Arial" w:cs="Arial"/>
          <w:sz w:val="24"/>
          <w:szCs w:val="24"/>
        </w:rPr>
        <w:t xml:space="preserve">The second part of the decision however amounts to a conclusion without any </w:t>
      </w:r>
      <w:r w:rsidR="0050787C" w:rsidRPr="008622A9">
        <w:rPr>
          <w:rFonts w:ascii="Arial" w:hAnsi="Arial" w:cs="Arial"/>
          <w:sz w:val="24"/>
          <w:szCs w:val="24"/>
        </w:rPr>
        <w:t>reasons as to what facts were</w:t>
      </w:r>
      <w:r w:rsidR="00042C0A" w:rsidRPr="008622A9">
        <w:rPr>
          <w:rFonts w:ascii="Arial" w:hAnsi="Arial" w:cs="Arial"/>
          <w:sz w:val="24"/>
          <w:szCs w:val="24"/>
        </w:rPr>
        <w:t xml:space="preserve"> considered to come to this conclusion. This is tantamount to not giving </w:t>
      </w:r>
      <w:r w:rsidR="00FD6A6A" w:rsidRPr="008622A9">
        <w:rPr>
          <w:rFonts w:ascii="Arial" w:hAnsi="Arial" w:cs="Arial"/>
          <w:sz w:val="24"/>
          <w:szCs w:val="24"/>
        </w:rPr>
        <w:t xml:space="preserve">any reasons </w:t>
      </w:r>
      <w:r w:rsidR="00577B0C" w:rsidRPr="008622A9">
        <w:rPr>
          <w:rFonts w:ascii="Arial" w:hAnsi="Arial" w:cs="Arial"/>
          <w:sz w:val="24"/>
          <w:szCs w:val="24"/>
        </w:rPr>
        <w:t>at all</w:t>
      </w:r>
      <w:r w:rsidR="00FD6A6A" w:rsidRPr="008622A9">
        <w:rPr>
          <w:rFonts w:ascii="Arial" w:hAnsi="Arial" w:cs="Arial"/>
          <w:sz w:val="24"/>
          <w:szCs w:val="24"/>
        </w:rPr>
        <w:t>. Furthermore</w:t>
      </w:r>
      <w:r w:rsidR="0050787C" w:rsidRPr="008622A9">
        <w:rPr>
          <w:rFonts w:ascii="Arial" w:hAnsi="Arial" w:cs="Arial"/>
          <w:sz w:val="24"/>
          <w:szCs w:val="24"/>
        </w:rPr>
        <w:t>,</w:t>
      </w:r>
      <w:r w:rsidR="00FD6A6A" w:rsidRPr="008622A9">
        <w:rPr>
          <w:rFonts w:ascii="Arial" w:hAnsi="Arial" w:cs="Arial"/>
          <w:sz w:val="24"/>
          <w:szCs w:val="24"/>
        </w:rPr>
        <w:t xml:space="preserve"> the Review Panel </w:t>
      </w:r>
      <w:r w:rsidR="001851EA" w:rsidRPr="008622A9">
        <w:rPr>
          <w:rFonts w:ascii="Arial" w:hAnsi="Arial" w:cs="Arial"/>
          <w:sz w:val="24"/>
          <w:szCs w:val="24"/>
        </w:rPr>
        <w:t xml:space="preserve">was on two occasions requested to provide reasons for this conclusion to which </w:t>
      </w:r>
      <w:r w:rsidR="006C1113" w:rsidRPr="008622A9">
        <w:rPr>
          <w:rFonts w:ascii="Arial" w:hAnsi="Arial" w:cs="Arial"/>
          <w:sz w:val="24"/>
          <w:szCs w:val="24"/>
        </w:rPr>
        <w:t xml:space="preserve">there was no response. A third opportunity was granted </w:t>
      </w:r>
      <w:r w:rsidR="00962E3B" w:rsidRPr="008622A9">
        <w:rPr>
          <w:rFonts w:ascii="Arial" w:hAnsi="Arial" w:cs="Arial"/>
          <w:sz w:val="24"/>
          <w:szCs w:val="24"/>
        </w:rPr>
        <w:t xml:space="preserve">to the Review Panel when the application to review the decision </w:t>
      </w:r>
      <w:r w:rsidR="0034504C" w:rsidRPr="008622A9">
        <w:rPr>
          <w:rFonts w:ascii="Arial" w:hAnsi="Arial" w:cs="Arial"/>
          <w:sz w:val="24"/>
          <w:szCs w:val="24"/>
        </w:rPr>
        <w:t xml:space="preserve">was filed and again there was no response from </w:t>
      </w:r>
      <w:r w:rsidR="00DA381F" w:rsidRPr="008622A9">
        <w:rPr>
          <w:rFonts w:ascii="Arial" w:hAnsi="Arial" w:cs="Arial"/>
          <w:sz w:val="24"/>
          <w:szCs w:val="24"/>
        </w:rPr>
        <w:t>it</w:t>
      </w:r>
      <w:r w:rsidR="00FD2F15" w:rsidRPr="008622A9">
        <w:rPr>
          <w:rFonts w:ascii="Arial" w:hAnsi="Arial" w:cs="Arial"/>
          <w:sz w:val="24"/>
          <w:szCs w:val="24"/>
        </w:rPr>
        <w:t>.</w:t>
      </w:r>
    </w:p>
    <w:p w14:paraId="7F8D1E16" w14:textId="77777777" w:rsidR="00FD2F15" w:rsidRPr="0050787C" w:rsidRDefault="00FD2F15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3C81C3D" w14:textId="40DFD687" w:rsidR="002400CC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[46]</w:t>
      </w:r>
      <w:r>
        <w:rPr>
          <w:rFonts w:ascii="Arial" w:hAnsi="Arial" w:cs="Arial"/>
          <w:sz w:val="24"/>
          <w:szCs w:val="24"/>
        </w:rPr>
        <w:tab/>
      </w:r>
      <w:r w:rsidR="00FD2F15">
        <w:rPr>
          <w:rFonts w:ascii="Arial" w:hAnsi="Arial" w:cs="Arial"/>
          <w:sz w:val="24"/>
          <w:szCs w:val="24"/>
        </w:rPr>
        <w:t>In the circumstances set out above</w:t>
      </w:r>
      <w:r w:rsidR="00DA381F">
        <w:rPr>
          <w:rFonts w:ascii="Arial" w:hAnsi="Arial" w:cs="Arial"/>
          <w:sz w:val="24"/>
          <w:szCs w:val="24"/>
        </w:rPr>
        <w:t>,</w:t>
      </w:r>
      <w:r w:rsidR="00FD2F15">
        <w:rPr>
          <w:rFonts w:ascii="Arial" w:hAnsi="Arial" w:cs="Arial"/>
          <w:sz w:val="24"/>
          <w:szCs w:val="24"/>
        </w:rPr>
        <w:t xml:space="preserve"> one can only work from the premise </w:t>
      </w:r>
      <w:r w:rsidR="00ED2DBD">
        <w:rPr>
          <w:rFonts w:ascii="Arial" w:hAnsi="Arial" w:cs="Arial"/>
          <w:sz w:val="24"/>
          <w:szCs w:val="24"/>
        </w:rPr>
        <w:t xml:space="preserve">that </w:t>
      </w:r>
      <w:r w:rsidR="00DA381F">
        <w:rPr>
          <w:rFonts w:ascii="Arial" w:hAnsi="Arial" w:cs="Arial"/>
          <w:sz w:val="24"/>
          <w:szCs w:val="24"/>
        </w:rPr>
        <w:t>it</w:t>
      </w:r>
      <w:r w:rsidR="00ED2DBD">
        <w:rPr>
          <w:rFonts w:ascii="Arial" w:hAnsi="Arial" w:cs="Arial"/>
          <w:sz w:val="24"/>
          <w:szCs w:val="24"/>
        </w:rPr>
        <w:t xml:space="preserve"> had no reasons for </w:t>
      </w:r>
      <w:r w:rsidR="00DA381F">
        <w:rPr>
          <w:rFonts w:ascii="Arial" w:hAnsi="Arial" w:cs="Arial"/>
          <w:sz w:val="24"/>
          <w:szCs w:val="24"/>
        </w:rPr>
        <w:t>its</w:t>
      </w:r>
      <w:r w:rsidR="00ED2DBD">
        <w:rPr>
          <w:rFonts w:ascii="Arial" w:hAnsi="Arial" w:cs="Arial"/>
          <w:sz w:val="24"/>
          <w:szCs w:val="24"/>
        </w:rPr>
        <w:t xml:space="preserve"> decision and hence </w:t>
      </w:r>
      <w:r w:rsidR="00226210">
        <w:rPr>
          <w:rFonts w:ascii="Arial" w:hAnsi="Arial" w:cs="Arial"/>
          <w:sz w:val="24"/>
          <w:szCs w:val="24"/>
        </w:rPr>
        <w:t xml:space="preserve">that </w:t>
      </w:r>
      <w:r w:rsidR="00ED2DBD">
        <w:rPr>
          <w:rFonts w:ascii="Arial" w:hAnsi="Arial" w:cs="Arial"/>
          <w:sz w:val="24"/>
          <w:szCs w:val="24"/>
        </w:rPr>
        <w:t xml:space="preserve">it was </w:t>
      </w:r>
      <w:r w:rsidR="00226210">
        <w:rPr>
          <w:rFonts w:ascii="Arial" w:hAnsi="Arial" w:cs="Arial"/>
          <w:sz w:val="24"/>
          <w:szCs w:val="24"/>
        </w:rPr>
        <w:t xml:space="preserve">an </w:t>
      </w:r>
      <w:r w:rsidR="00577B0C">
        <w:rPr>
          <w:rFonts w:ascii="Arial" w:hAnsi="Arial" w:cs="Arial"/>
          <w:sz w:val="24"/>
          <w:szCs w:val="24"/>
        </w:rPr>
        <w:t xml:space="preserve">arbitrary </w:t>
      </w:r>
      <w:r w:rsidR="00226210">
        <w:rPr>
          <w:rFonts w:ascii="Arial" w:hAnsi="Arial" w:cs="Arial"/>
          <w:sz w:val="24"/>
          <w:szCs w:val="24"/>
        </w:rPr>
        <w:t xml:space="preserve">decision. This is sufficient </w:t>
      </w:r>
      <w:r w:rsidR="002411A3">
        <w:rPr>
          <w:rFonts w:ascii="Arial" w:hAnsi="Arial" w:cs="Arial"/>
          <w:sz w:val="24"/>
          <w:szCs w:val="24"/>
        </w:rPr>
        <w:t xml:space="preserve">to </w:t>
      </w:r>
      <w:r w:rsidR="00D819EF">
        <w:rPr>
          <w:rFonts w:ascii="Arial" w:hAnsi="Arial" w:cs="Arial"/>
          <w:sz w:val="24"/>
          <w:szCs w:val="24"/>
        </w:rPr>
        <w:t xml:space="preserve">review and set aside the second </w:t>
      </w:r>
      <w:r w:rsidR="002400CC">
        <w:rPr>
          <w:rFonts w:ascii="Arial" w:hAnsi="Arial" w:cs="Arial"/>
          <w:sz w:val="24"/>
          <w:szCs w:val="24"/>
        </w:rPr>
        <w:t>conclusion of the Review Panel.</w:t>
      </w:r>
    </w:p>
    <w:p w14:paraId="0EF03FE2" w14:textId="77777777" w:rsidR="00296579" w:rsidRPr="0050787C" w:rsidRDefault="00296579" w:rsidP="00DA381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1CF6DE9" w14:textId="3610E2F6" w:rsidR="0029657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[47]</w:t>
      </w:r>
      <w:r>
        <w:rPr>
          <w:rFonts w:ascii="Arial" w:hAnsi="Arial" w:cs="Arial"/>
          <w:sz w:val="24"/>
          <w:szCs w:val="24"/>
        </w:rPr>
        <w:tab/>
      </w:r>
      <w:r w:rsidR="00181085">
        <w:rPr>
          <w:rFonts w:ascii="Arial" w:hAnsi="Arial" w:cs="Arial"/>
          <w:sz w:val="24"/>
          <w:szCs w:val="24"/>
        </w:rPr>
        <w:t xml:space="preserve">This means </w:t>
      </w:r>
      <w:r w:rsidR="00EE5621">
        <w:rPr>
          <w:rFonts w:ascii="Arial" w:hAnsi="Arial" w:cs="Arial"/>
          <w:sz w:val="24"/>
          <w:szCs w:val="24"/>
        </w:rPr>
        <w:t xml:space="preserve">that the setting aside of the decision of the Review Panel by the court </w:t>
      </w:r>
      <w:r w:rsidR="00EE5621">
        <w:rPr>
          <w:rFonts w:ascii="Arial" w:hAnsi="Arial" w:cs="Arial"/>
          <w:i/>
          <w:sz w:val="24"/>
          <w:szCs w:val="24"/>
        </w:rPr>
        <w:t xml:space="preserve">a quo </w:t>
      </w:r>
      <w:r w:rsidR="00EE5621">
        <w:rPr>
          <w:rFonts w:ascii="Arial" w:hAnsi="Arial" w:cs="Arial"/>
          <w:sz w:val="24"/>
          <w:szCs w:val="24"/>
        </w:rPr>
        <w:t>was correct as</w:t>
      </w:r>
      <w:r w:rsidR="00FE10E0">
        <w:rPr>
          <w:rFonts w:ascii="Arial" w:hAnsi="Arial" w:cs="Arial"/>
          <w:sz w:val="24"/>
          <w:szCs w:val="24"/>
        </w:rPr>
        <w:t xml:space="preserve"> both legs thereof cannot stand.</w:t>
      </w:r>
    </w:p>
    <w:p w14:paraId="7DB84EF2" w14:textId="77777777" w:rsidR="008622A9" w:rsidRDefault="008622A9" w:rsidP="008622A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2B988CF" w14:textId="2178E5B4" w:rsidR="00F12A25" w:rsidRPr="008622A9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622A9">
        <w:rPr>
          <w:rFonts w:ascii="Arial" w:hAnsi="Arial" w:cs="Arial"/>
          <w:sz w:val="24"/>
          <w:szCs w:val="24"/>
        </w:rPr>
        <w:t>[48]</w:t>
      </w:r>
      <w:r w:rsidRPr="008622A9">
        <w:rPr>
          <w:rFonts w:ascii="Arial" w:hAnsi="Arial" w:cs="Arial"/>
          <w:sz w:val="24"/>
          <w:szCs w:val="24"/>
        </w:rPr>
        <w:tab/>
      </w:r>
      <w:r w:rsidR="002400CC">
        <w:rPr>
          <w:rFonts w:ascii="Arial" w:hAnsi="Arial" w:cs="Arial"/>
          <w:sz w:val="24"/>
          <w:szCs w:val="24"/>
        </w:rPr>
        <w:t xml:space="preserve">It is thus not necessary </w:t>
      </w:r>
      <w:r w:rsidR="001C7B9E">
        <w:rPr>
          <w:rFonts w:ascii="Arial" w:hAnsi="Arial" w:cs="Arial"/>
          <w:sz w:val="24"/>
          <w:szCs w:val="24"/>
        </w:rPr>
        <w:t xml:space="preserve">to deal with the proper interpretation of the Act and the disputes surrounding </w:t>
      </w:r>
      <w:r w:rsidR="00F12A25">
        <w:rPr>
          <w:rFonts w:ascii="Arial" w:hAnsi="Arial" w:cs="Arial"/>
          <w:sz w:val="24"/>
          <w:szCs w:val="24"/>
        </w:rPr>
        <w:t>such interpretation between the parties.</w:t>
      </w:r>
    </w:p>
    <w:p w14:paraId="42C24072" w14:textId="7BFFDAC6" w:rsidR="001974BF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[49]</w:t>
      </w:r>
      <w:r>
        <w:rPr>
          <w:rFonts w:ascii="Arial" w:hAnsi="Arial" w:cs="Arial"/>
          <w:sz w:val="24"/>
          <w:szCs w:val="24"/>
        </w:rPr>
        <w:tab/>
      </w:r>
      <w:r w:rsidR="00F12A25">
        <w:rPr>
          <w:rFonts w:ascii="Arial" w:hAnsi="Arial" w:cs="Arial"/>
          <w:sz w:val="24"/>
          <w:szCs w:val="24"/>
        </w:rPr>
        <w:t xml:space="preserve">As a result of what is stated </w:t>
      </w:r>
      <w:r w:rsidR="00F1453C">
        <w:rPr>
          <w:rFonts w:ascii="Arial" w:hAnsi="Arial" w:cs="Arial"/>
          <w:sz w:val="24"/>
          <w:szCs w:val="24"/>
        </w:rPr>
        <w:t>above</w:t>
      </w:r>
      <w:r w:rsidR="00DA381F">
        <w:rPr>
          <w:rFonts w:ascii="Arial" w:hAnsi="Arial" w:cs="Arial"/>
          <w:sz w:val="24"/>
          <w:szCs w:val="24"/>
        </w:rPr>
        <w:t>,</w:t>
      </w:r>
      <w:r w:rsidR="00F1453C">
        <w:rPr>
          <w:rFonts w:ascii="Arial" w:hAnsi="Arial" w:cs="Arial"/>
          <w:sz w:val="24"/>
          <w:szCs w:val="24"/>
        </w:rPr>
        <w:t xml:space="preserve"> the appeal against the judgment </w:t>
      </w:r>
      <w:r w:rsidR="00F1453C">
        <w:rPr>
          <w:rFonts w:ascii="Arial" w:hAnsi="Arial" w:cs="Arial"/>
          <w:i/>
          <w:sz w:val="24"/>
          <w:szCs w:val="24"/>
        </w:rPr>
        <w:t xml:space="preserve">a quo </w:t>
      </w:r>
      <w:r w:rsidR="00F1453C">
        <w:rPr>
          <w:rFonts w:ascii="Arial" w:hAnsi="Arial" w:cs="Arial"/>
          <w:sz w:val="24"/>
          <w:szCs w:val="24"/>
        </w:rPr>
        <w:t xml:space="preserve">to the effect that the decision </w:t>
      </w:r>
      <w:r w:rsidR="00791475">
        <w:rPr>
          <w:rFonts w:ascii="Arial" w:hAnsi="Arial" w:cs="Arial"/>
          <w:sz w:val="24"/>
          <w:szCs w:val="24"/>
        </w:rPr>
        <w:t>taken by the Review Panel on 10 August 2020</w:t>
      </w:r>
      <w:r w:rsidR="00AB1D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1DAE">
        <w:rPr>
          <w:rFonts w:ascii="Arial" w:hAnsi="Arial" w:cs="Arial"/>
          <w:sz w:val="24"/>
          <w:szCs w:val="24"/>
        </w:rPr>
        <w:t>has to</w:t>
      </w:r>
      <w:proofErr w:type="gramEnd"/>
      <w:r w:rsidR="00AB1DAE">
        <w:rPr>
          <w:rFonts w:ascii="Arial" w:hAnsi="Arial" w:cs="Arial"/>
          <w:sz w:val="24"/>
          <w:szCs w:val="24"/>
        </w:rPr>
        <w:t xml:space="preserve"> be set aside is dismissed and as there is no appeal in respect of the costs order</w:t>
      </w:r>
      <w:r w:rsidR="000D618E">
        <w:rPr>
          <w:rFonts w:ascii="Arial" w:hAnsi="Arial" w:cs="Arial"/>
          <w:sz w:val="24"/>
          <w:szCs w:val="24"/>
        </w:rPr>
        <w:t xml:space="preserve"> made</w:t>
      </w:r>
      <w:r w:rsidR="00AB1DAE">
        <w:rPr>
          <w:rFonts w:ascii="Arial" w:hAnsi="Arial" w:cs="Arial"/>
          <w:sz w:val="24"/>
          <w:szCs w:val="24"/>
        </w:rPr>
        <w:t xml:space="preserve"> </w:t>
      </w:r>
      <w:r w:rsidR="00AB1DAE">
        <w:rPr>
          <w:rFonts w:ascii="Arial" w:hAnsi="Arial" w:cs="Arial"/>
          <w:i/>
          <w:sz w:val="24"/>
          <w:szCs w:val="24"/>
        </w:rPr>
        <w:t xml:space="preserve">a quo </w:t>
      </w:r>
      <w:r w:rsidR="00AB1DAE">
        <w:rPr>
          <w:rFonts w:ascii="Arial" w:hAnsi="Arial" w:cs="Arial"/>
          <w:sz w:val="24"/>
          <w:szCs w:val="24"/>
        </w:rPr>
        <w:t>such order</w:t>
      </w:r>
      <w:r w:rsidR="000D618E">
        <w:rPr>
          <w:rFonts w:ascii="Arial" w:hAnsi="Arial" w:cs="Arial"/>
          <w:sz w:val="24"/>
          <w:szCs w:val="24"/>
        </w:rPr>
        <w:t xml:space="preserve"> must also remain in place</w:t>
      </w:r>
      <w:r w:rsidR="001974BF">
        <w:rPr>
          <w:rFonts w:ascii="Arial" w:hAnsi="Arial" w:cs="Arial"/>
          <w:sz w:val="24"/>
          <w:szCs w:val="24"/>
        </w:rPr>
        <w:t>.</w:t>
      </w:r>
    </w:p>
    <w:p w14:paraId="312F27B0" w14:textId="77777777" w:rsidR="001974BF" w:rsidRPr="0050787C" w:rsidRDefault="001974BF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9124F58" w14:textId="77777777" w:rsidR="001974BF" w:rsidRPr="001974BF" w:rsidRDefault="0050787C" w:rsidP="001974B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Counter-</w:t>
      </w:r>
      <w:r w:rsidR="001974BF">
        <w:rPr>
          <w:rFonts w:ascii="Arial" w:hAnsi="Arial" w:cs="Arial"/>
          <w:sz w:val="24"/>
          <w:szCs w:val="24"/>
          <w:u w:val="single"/>
        </w:rPr>
        <w:t>application</w:t>
      </w:r>
      <w:proofErr w:type="gramEnd"/>
    </w:p>
    <w:p w14:paraId="4E7ADCF4" w14:textId="0BB6B9BA" w:rsidR="007F1CCA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[50]</w:t>
      </w:r>
      <w:r>
        <w:rPr>
          <w:rFonts w:ascii="Arial" w:hAnsi="Arial" w:cs="Arial"/>
          <w:sz w:val="24"/>
          <w:szCs w:val="24"/>
        </w:rPr>
        <w:tab/>
      </w:r>
      <w:r w:rsidR="0050787C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50787C">
        <w:rPr>
          <w:rFonts w:ascii="Arial" w:hAnsi="Arial" w:cs="Arial"/>
          <w:sz w:val="24"/>
          <w:szCs w:val="24"/>
        </w:rPr>
        <w:t>counter-</w:t>
      </w:r>
      <w:r w:rsidR="00283C9B">
        <w:rPr>
          <w:rFonts w:ascii="Arial" w:hAnsi="Arial" w:cs="Arial"/>
          <w:sz w:val="24"/>
          <w:szCs w:val="24"/>
        </w:rPr>
        <w:t>application</w:t>
      </w:r>
      <w:proofErr w:type="gramEnd"/>
      <w:r w:rsidR="00283C9B">
        <w:rPr>
          <w:rFonts w:ascii="Arial" w:hAnsi="Arial" w:cs="Arial"/>
          <w:sz w:val="24"/>
          <w:szCs w:val="24"/>
        </w:rPr>
        <w:t xml:space="preserve"> was conditional on the review application </w:t>
      </w:r>
      <w:r w:rsidR="00EC6ABD">
        <w:rPr>
          <w:rFonts w:ascii="Arial" w:hAnsi="Arial" w:cs="Arial"/>
          <w:sz w:val="24"/>
          <w:szCs w:val="24"/>
        </w:rPr>
        <w:t>by PIS being successful and hence it needs to be considered next</w:t>
      </w:r>
      <w:r w:rsidR="007F1CCA">
        <w:rPr>
          <w:rFonts w:ascii="Arial" w:hAnsi="Arial" w:cs="Arial"/>
          <w:sz w:val="24"/>
          <w:szCs w:val="24"/>
        </w:rPr>
        <w:t>.</w:t>
      </w:r>
    </w:p>
    <w:p w14:paraId="5A7B4B64" w14:textId="77777777" w:rsidR="007F1CCA" w:rsidRDefault="007F1CCA" w:rsidP="00FE12BA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708117F" w14:textId="544C3C6B" w:rsidR="003F7D6A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[51]</w:t>
      </w:r>
      <w:r>
        <w:rPr>
          <w:rFonts w:ascii="Arial" w:hAnsi="Arial" w:cs="Arial"/>
          <w:sz w:val="24"/>
          <w:szCs w:val="24"/>
        </w:rPr>
        <w:tab/>
      </w:r>
      <w:r w:rsidR="0050787C">
        <w:rPr>
          <w:rFonts w:ascii="Arial" w:hAnsi="Arial" w:cs="Arial"/>
          <w:sz w:val="24"/>
          <w:szCs w:val="24"/>
        </w:rPr>
        <w:t>The counter-</w:t>
      </w:r>
      <w:r w:rsidR="007F1CCA">
        <w:rPr>
          <w:rFonts w:ascii="Arial" w:hAnsi="Arial" w:cs="Arial"/>
          <w:sz w:val="24"/>
          <w:szCs w:val="24"/>
        </w:rPr>
        <w:t>applic</w:t>
      </w:r>
      <w:r w:rsidR="00AA6E2E">
        <w:rPr>
          <w:rFonts w:ascii="Arial" w:hAnsi="Arial" w:cs="Arial"/>
          <w:sz w:val="24"/>
          <w:szCs w:val="24"/>
        </w:rPr>
        <w:t xml:space="preserve">ation was premised on two lines of attack namely that </w:t>
      </w:r>
      <w:r w:rsidR="0026720B">
        <w:rPr>
          <w:rFonts w:ascii="Arial" w:hAnsi="Arial" w:cs="Arial"/>
          <w:sz w:val="24"/>
          <w:szCs w:val="24"/>
        </w:rPr>
        <w:t xml:space="preserve">the decision to award the bid to PIS had to be set aside </w:t>
      </w:r>
      <w:r w:rsidR="003B28DE">
        <w:rPr>
          <w:rFonts w:ascii="Arial" w:hAnsi="Arial" w:cs="Arial"/>
          <w:sz w:val="24"/>
          <w:szCs w:val="24"/>
        </w:rPr>
        <w:t xml:space="preserve">because of the one day short notice to prospective bidders and that the award notice </w:t>
      </w:r>
      <w:r w:rsidR="00AC32D2">
        <w:rPr>
          <w:rFonts w:ascii="Arial" w:hAnsi="Arial" w:cs="Arial"/>
          <w:sz w:val="24"/>
          <w:szCs w:val="24"/>
        </w:rPr>
        <w:t>was si</w:t>
      </w:r>
      <w:r w:rsidR="0050787C">
        <w:rPr>
          <w:rFonts w:ascii="Arial" w:hAnsi="Arial" w:cs="Arial"/>
          <w:sz w:val="24"/>
          <w:szCs w:val="24"/>
        </w:rPr>
        <w:t>gned by the chairperson of the b</w:t>
      </w:r>
      <w:r w:rsidR="00AC32D2">
        <w:rPr>
          <w:rFonts w:ascii="Arial" w:hAnsi="Arial" w:cs="Arial"/>
          <w:sz w:val="24"/>
          <w:szCs w:val="24"/>
        </w:rPr>
        <w:t xml:space="preserve">oard and not the accounting officer </w:t>
      </w:r>
      <w:r w:rsidR="0050787C">
        <w:rPr>
          <w:rFonts w:ascii="Arial" w:hAnsi="Arial" w:cs="Arial"/>
          <w:sz w:val="24"/>
          <w:szCs w:val="24"/>
        </w:rPr>
        <w:t>of NUST as required by s 55</w:t>
      </w:r>
      <w:r w:rsidR="00490FE0">
        <w:rPr>
          <w:rFonts w:ascii="Arial" w:hAnsi="Arial" w:cs="Arial"/>
          <w:sz w:val="24"/>
          <w:szCs w:val="24"/>
        </w:rPr>
        <w:t>(4)</w:t>
      </w:r>
      <w:r w:rsidR="00490FE0" w:rsidRPr="0050787C">
        <w:rPr>
          <w:rFonts w:ascii="Arial" w:hAnsi="Arial" w:cs="Arial"/>
          <w:i/>
          <w:sz w:val="24"/>
          <w:szCs w:val="24"/>
        </w:rPr>
        <w:t>(a)</w:t>
      </w:r>
      <w:r w:rsidR="00490FE0">
        <w:rPr>
          <w:rFonts w:ascii="Arial" w:hAnsi="Arial" w:cs="Arial"/>
          <w:sz w:val="24"/>
          <w:szCs w:val="24"/>
        </w:rPr>
        <w:t xml:space="preserve"> of </w:t>
      </w:r>
      <w:r w:rsidR="00A04D63">
        <w:rPr>
          <w:rFonts w:ascii="Arial" w:hAnsi="Arial" w:cs="Arial"/>
          <w:sz w:val="24"/>
          <w:szCs w:val="24"/>
        </w:rPr>
        <w:t xml:space="preserve">the Act and </w:t>
      </w:r>
      <w:r w:rsidR="00D26686">
        <w:rPr>
          <w:rFonts w:ascii="Arial" w:hAnsi="Arial" w:cs="Arial"/>
          <w:sz w:val="24"/>
          <w:szCs w:val="24"/>
        </w:rPr>
        <w:t xml:space="preserve">that </w:t>
      </w:r>
      <w:r w:rsidR="00A04D63">
        <w:rPr>
          <w:rFonts w:ascii="Arial" w:hAnsi="Arial" w:cs="Arial"/>
          <w:sz w:val="24"/>
          <w:szCs w:val="24"/>
        </w:rPr>
        <w:t>such notice thus amounted to a nullity</w:t>
      </w:r>
      <w:r w:rsidR="003F7D6A">
        <w:rPr>
          <w:rFonts w:ascii="Arial" w:hAnsi="Arial" w:cs="Arial"/>
          <w:sz w:val="24"/>
          <w:szCs w:val="24"/>
        </w:rPr>
        <w:t>.</w:t>
      </w:r>
    </w:p>
    <w:p w14:paraId="1B940AA2" w14:textId="77777777" w:rsidR="003F7D6A" w:rsidRPr="00FE12BA" w:rsidRDefault="003F7D6A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968A5FF" w14:textId="4BC80A9E" w:rsidR="00CB5941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[52]</w:t>
      </w:r>
      <w:r>
        <w:rPr>
          <w:rFonts w:ascii="Arial" w:hAnsi="Arial" w:cs="Arial"/>
          <w:sz w:val="24"/>
          <w:szCs w:val="24"/>
        </w:rPr>
        <w:tab/>
      </w:r>
      <w:r w:rsidR="003F7D6A">
        <w:rPr>
          <w:rFonts w:ascii="Arial" w:hAnsi="Arial" w:cs="Arial"/>
          <w:sz w:val="24"/>
          <w:szCs w:val="24"/>
        </w:rPr>
        <w:t xml:space="preserve">The point that </w:t>
      </w:r>
      <w:r w:rsidR="008120A1">
        <w:rPr>
          <w:rFonts w:ascii="Arial" w:hAnsi="Arial" w:cs="Arial"/>
          <w:sz w:val="24"/>
          <w:szCs w:val="24"/>
        </w:rPr>
        <w:t>the award notice was a nullity because it was si</w:t>
      </w:r>
      <w:r w:rsidR="0050787C">
        <w:rPr>
          <w:rFonts w:ascii="Arial" w:hAnsi="Arial" w:cs="Arial"/>
          <w:sz w:val="24"/>
          <w:szCs w:val="24"/>
        </w:rPr>
        <w:t>gned by the chairperson of the b</w:t>
      </w:r>
      <w:r w:rsidR="008120A1">
        <w:rPr>
          <w:rFonts w:ascii="Arial" w:hAnsi="Arial" w:cs="Arial"/>
          <w:sz w:val="24"/>
          <w:szCs w:val="24"/>
        </w:rPr>
        <w:t xml:space="preserve">oard </w:t>
      </w:r>
      <w:r w:rsidR="009D65B4">
        <w:rPr>
          <w:rFonts w:ascii="Arial" w:hAnsi="Arial" w:cs="Arial"/>
          <w:sz w:val="24"/>
          <w:szCs w:val="24"/>
        </w:rPr>
        <w:t xml:space="preserve">was not pursued on appeal and </w:t>
      </w:r>
      <w:r w:rsidR="00CB5941">
        <w:rPr>
          <w:rFonts w:ascii="Arial" w:hAnsi="Arial" w:cs="Arial"/>
          <w:sz w:val="24"/>
          <w:szCs w:val="24"/>
        </w:rPr>
        <w:t xml:space="preserve">nothing more </w:t>
      </w:r>
      <w:r w:rsidR="0050787C">
        <w:rPr>
          <w:rFonts w:ascii="Arial" w:hAnsi="Arial" w:cs="Arial"/>
          <w:sz w:val="24"/>
          <w:szCs w:val="24"/>
        </w:rPr>
        <w:t>need</w:t>
      </w:r>
      <w:r w:rsidR="00DA381F">
        <w:rPr>
          <w:rFonts w:ascii="Arial" w:hAnsi="Arial" w:cs="Arial"/>
          <w:sz w:val="24"/>
          <w:szCs w:val="24"/>
        </w:rPr>
        <w:t>s</w:t>
      </w:r>
      <w:r w:rsidR="0050787C">
        <w:rPr>
          <w:rFonts w:ascii="Arial" w:hAnsi="Arial" w:cs="Arial"/>
          <w:sz w:val="24"/>
          <w:szCs w:val="24"/>
        </w:rPr>
        <w:t xml:space="preserve"> to</w:t>
      </w:r>
      <w:r w:rsidR="00CB5941">
        <w:rPr>
          <w:rFonts w:ascii="Arial" w:hAnsi="Arial" w:cs="Arial"/>
          <w:sz w:val="24"/>
          <w:szCs w:val="24"/>
        </w:rPr>
        <w:t xml:space="preserve"> be said in this regard.</w:t>
      </w:r>
    </w:p>
    <w:p w14:paraId="5EB4E381" w14:textId="77777777" w:rsidR="0074233D" w:rsidRDefault="0074233D" w:rsidP="0074233D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5C88AAB9" w14:textId="42F4FE2E" w:rsidR="00073EBA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[53]</w:t>
      </w:r>
      <w:r>
        <w:rPr>
          <w:rFonts w:ascii="Arial" w:hAnsi="Arial" w:cs="Arial"/>
          <w:sz w:val="24"/>
          <w:szCs w:val="24"/>
        </w:rPr>
        <w:tab/>
      </w:r>
      <w:r w:rsidR="00CB5941">
        <w:rPr>
          <w:rFonts w:ascii="Arial" w:hAnsi="Arial" w:cs="Arial"/>
          <w:sz w:val="24"/>
          <w:szCs w:val="24"/>
        </w:rPr>
        <w:t xml:space="preserve">I have dealt with the effect of </w:t>
      </w:r>
      <w:r w:rsidR="00467339">
        <w:rPr>
          <w:rFonts w:ascii="Arial" w:hAnsi="Arial" w:cs="Arial"/>
          <w:sz w:val="24"/>
          <w:szCs w:val="24"/>
        </w:rPr>
        <w:t xml:space="preserve">the </w:t>
      </w:r>
      <w:r w:rsidR="00CB5941">
        <w:rPr>
          <w:rFonts w:ascii="Arial" w:hAnsi="Arial" w:cs="Arial"/>
          <w:sz w:val="24"/>
          <w:szCs w:val="24"/>
        </w:rPr>
        <w:t xml:space="preserve">non-compliance </w:t>
      </w:r>
      <w:r w:rsidR="0050787C">
        <w:rPr>
          <w:rFonts w:ascii="Arial" w:hAnsi="Arial" w:cs="Arial"/>
          <w:sz w:val="24"/>
          <w:szCs w:val="24"/>
        </w:rPr>
        <w:t>with s</w:t>
      </w:r>
      <w:r w:rsidR="00DA381F">
        <w:rPr>
          <w:rFonts w:ascii="Arial" w:hAnsi="Arial" w:cs="Arial"/>
          <w:sz w:val="24"/>
          <w:szCs w:val="24"/>
        </w:rPr>
        <w:t xml:space="preserve"> </w:t>
      </w:r>
      <w:r w:rsidR="00C14BD2">
        <w:rPr>
          <w:rFonts w:ascii="Arial" w:hAnsi="Arial" w:cs="Arial"/>
          <w:sz w:val="24"/>
          <w:szCs w:val="24"/>
        </w:rPr>
        <w:t xml:space="preserve">47 of the Act above and found that the </w:t>
      </w:r>
      <w:proofErr w:type="gramStart"/>
      <w:r w:rsidR="00C14BD2">
        <w:rPr>
          <w:rFonts w:ascii="Arial" w:hAnsi="Arial" w:cs="Arial"/>
          <w:sz w:val="24"/>
          <w:szCs w:val="24"/>
        </w:rPr>
        <w:t>one day</w:t>
      </w:r>
      <w:proofErr w:type="gramEnd"/>
      <w:r w:rsidR="00C14BD2">
        <w:rPr>
          <w:rFonts w:ascii="Arial" w:hAnsi="Arial" w:cs="Arial"/>
          <w:sz w:val="24"/>
          <w:szCs w:val="24"/>
        </w:rPr>
        <w:t xml:space="preserve"> short notice was not fatal </w:t>
      </w:r>
      <w:r w:rsidR="00653BA7">
        <w:rPr>
          <w:rFonts w:ascii="Arial" w:hAnsi="Arial" w:cs="Arial"/>
          <w:sz w:val="24"/>
          <w:szCs w:val="24"/>
        </w:rPr>
        <w:t>to the bidding proc</w:t>
      </w:r>
      <w:r w:rsidR="00224516">
        <w:rPr>
          <w:rFonts w:ascii="Arial" w:hAnsi="Arial" w:cs="Arial"/>
          <w:sz w:val="24"/>
          <w:szCs w:val="24"/>
        </w:rPr>
        <w:t xml:space="preserve">ess. This attack in the </w:t>
      </w:r>
      <w:proofErr w:type="gramStart"/>
      <w:r w:rsidR="00224516">
        <w:rPr>
          <w:rFonts w:ascii="Arial" w:hAnsi="Arial" w:cs="Arial"/>
          <w:sz w:val="24"/>
          <w:szCs w:val="24"/>
        </w:rPr>
        <w:t>counter-</w:t>
      </w:r>
      <w:r w:rsidR="00653BA7">
        <w:rPr>
          <w:rFonts w:ascii="Arial" w:hAnsi="Arial" w:cs="Arial"/>
          <w:sz w:val="24"/>
          <w:szCs w:val="24"/>
        </w:rPr>
        <w:t>application</w:t>
      </w:r>
      <w:proofErr w:type="gramEnd"/>
      <w:r w:rsidR="00653BA7">
        <w:rPr>
          <w:rFonts w:ascii="Arial" w:hAnsi="Arial" w:cs="Arial"/>
          <w:sz w:val="24"/>
          <w:szCs w:val="24"/>
        </w:rPr>
        <w:t xml:space="preserve"> </w:t>
      </w:r>
      <w:r w:rsidR="00073EBA">
        <w:rPr>
          <w:rFonts w:ascii="Arial" w:hAnsi="Arial" w:cs="Arial"/>
          <w:sz w:val="24"/>
          <w:szCs w:val="24"/>
        </w:rPr>
        <w:t>must thus accordingly</w:t>
      </w:r>
      <w:r w:rsidR="00D26686">
        <w:rPr>
          <w:rFonts w:ascii="Arial" w:hAnsi="Arial" w:cs="Arial"/>
          <w:sz w:val="24"/>
          <w:szCs w:val="24"/>
        </w:rPr>
        <w:t xml:space="preserve"> also</w:t>
      </w:r>
      <w:r w:rsidR="00073EBA">
        <w:rPr>
          <w:rFonts w:ascii="Arial" w:hAnsi="Arial" w:cs="Arial"/>
          <w:sz w:val="24"/>
          <w:szCs w:val="24"/>
        </w:rPr>
        <w:t xml:space="preserve"> fail.</w:t>
      </w:r>
    </w:p>
    <w:p w14:paraId="020A5367" w14:textId="77777777" w:rsidR="008622A9" w:rsidRDefault="008622A9" w:rsidP="008622A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12E41E0" w14:textId="5721B3A1" w:rsidR="005247BA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[54]</w:t>
      </w:r>
      <w:r>
        <w:rPr>
          <w:rFonts w:ascii="Arial" w:hAnsi="Arial" w:cs="Arial"/>
          <w:sz w:val="24"/>
          <w:szCs w:val="24"/>
        </w:rPr>
        <w:tab/>
      </w:r>
      <w:r w:rsidR="00073EBA">
        <w:rPr>
          <w:rFonts w:ascii="Arial" w:hAnsi="Arial" w:cs="Arial"/>
          <w:sz w:val="24"/>
          <w:szCs w:val="24"/>
        </w:rPr>
        <w:t xml:space="preserve">It follows that the court </w:t>
      </w:r>
      <w:r w:rsidR="00073EBA">
        <w:rPr>
          <w:rFonts w:ascii="Arial" w:hAnsi="Arial" w:cs="Arial"/>
          <w:i/>
          <w:sz w:val="24"/>
          <w:szCs w:val="24"/>
        </w:rPr>
        <w:t xml:space="preserve">a quo </w:t>
      </w:r>
      <w:r w:rsidR="00073EBA">
        <w:rPr>
          <w:rFonts w:ascii="Arial" w:hAnsi="Arial" w:cs="Arial"/>
          <w:sz w:val="24"/>
          <w:szCs w:val="24"/>
        </w:rPr>
        <w:t xml:space="preserve">correctly </w:t>
      </w:r>
      <w:r w:rsidR="00B547D5">
        <w:rPr>
          <w:rFonts w:ascii="Arial" w:hAnsi="Arial" w:cs="Arial"/>
          <w:sz w:val="24"/>
          <w:szCs w:val="24"/>
        </w:rPr>
        <w:t>dismiss</w:t>
      </w:r>
      <w:r w:rsidR="00D26686">
        <w:rPr>
          <w:rFonts w:ascii="Arial" w:hAnsi="Arial" w:cs="Arial"/>
          <w:sz w:val="24"/>
          <w:szCs w:val="24"/>
        </w:rPr>
        <w:t>ed</w:t>
      </w:r>
      <w:r w:rsidR="00B547D5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B547D5">
        <w:rPr>
          <w:rFonts w:ascii="Arial" w:hAnsi="Arial" w:cs="Arial"/>
          <w:sz w:val="24"/>
          <w:szCs w:val="24"/>
        </w:rPr>
        <w:t>counter</w:t>
      </w:r>
      <w:r w:rsidR="0050787C">
        <w:rPr>
          <w:rFonts w:ascii="Arial" w:hAnsi="Arial" w:cs="Arial"/>
          <w:sz w:val="24"/>
          <w:szCs w:val="24"/>
        </w:rPr>
        <w:t>-</w:t>
      </w:r>
      <w:r w:rsidR="00B547D5">
        <w:rPr>
          <w:rFonts w:ascii="Arial" w:hAnsi="Arial" w:cs="Arial"/>
          <w:sz w:val="24"/>
          <w:szCs w:val="24"/>
        </w:rPr>
        <w:t>application</w:t>
      </w:r>
      <w:proofErr w:type="gramEnd"/>
      <w:r w:rsidR="00B547D5">
        <w:rPr>
          <w:rFonts w:ascii="Arial" w:hAnsi="Arial" w:cs="Arial"/>
          <w:sz w:val="24"/>
          <w:szCs w:val="24"/>
        </w:rPr>
        <w:t xml:space="preserve"> </w:t>
      </w:r>
      <w:r w:rsidR="0030203B">
        <w:rPr>
          <w:rFonts w:ascii="Arial" w:hAnsi="Arial" w:cs="Arial"/>
          <w:sz w:val="24"/>
          <w:szCs w:val="24"/>
        </w:rPr>
        <w:t xml:space="preserve">and </w:t>
      </w:r>
      <w:r w:rsidR="00D26686">
        <w:rPr>
          <w:rFonts w:ascii="Arial" w:hAnsi="Arial" w:cs="Arial"/>
          <w:sz w:val="24"/>
          <w:szCs w:val="24"/>
        </w:rPr>
        <w:t xml:space="preserve">as </w:t>
      </w:r>
      <w:r w:rsidR="0030203B">
        <w:rPr>
          <w:rFonts w:ascii="Arial" w:hAnsi="Arial" w:cs="Arial"/>
          <w:sz w:val="24"/>
          <w:szCs w:val="24"/>
        </w:rPr>
        <w:t xml:space="preserve">there was no appeal against </w:t>
      </w:r>
      <w:r w:rsidR="00A830C2">
        <w:rPr>
          <w:rFonts w:ascii="Arial" w:hAnsi="Arial" w:cs="Arial"/>
          <w:sz w:val="24"/>
          <w:szCs w:val="24"/>
        </w:rPr>
        <w:t xml:space="preserve">the </w:t>
      </w:r>
      <w:r w:rsidR="0030203B">
        <w:rPr>
          <w:rFonts w:ascii="Arial" w:hAnsi="Arial" w:cs="Arial"/>
          <w:sz w:val="24"/>
          <w:szCs w:val="24"/>
        </w:rPr>
        <w:t xml:space="preserve">costs order of the court </w:t>
      </w:r>
      <w:r w:rsidR="0030203B">
        <w:rPr>
          <w:rFonts w:ascii="Arial" w:hAnsi="Arial" w:cs="Arial"/>
          <w:i/>
          <w:sz w:val="24"/>
          <w:szCs w:val="24"/>
        </w:rPr>
        <w:t>a quo</w:t>
      </w:r>
      <w:r w:rsidR="009D65B4">
        <w:rPr>
          <w:rFonts w:ascii="Arial" w:hAnsi="Arial" w:cs="Arial"/>
          <w:sz w:val="24"/>
          <w:szCs w:val="24"/>
        </w:rPr>
        <w:t xml:space="preserve"> </w:t>
      </w:r>
      <w:r w:rsidR="00A830C2">
        <w:rPr>
          <w:rFonts w:ascii="Arial" w:hAnsi="Arial" w:cs="Arial"/>
          <w:sz w:val="24"/>
          <w:szCs w:val="24"/>
        </w:rPr>
        <w:t xml:space="preserve">in this regard </w:t>
      </w:r>
      <w:r w:rsidR="005247BA">
        <w:rPr>
          <w:rFonts w:ascii="Arial" w:hAnsi="Arial" w:cs="Arial"/>
          <w:sz w:val="24"/>
          <w:szCs w:val="24"/>
        </w:rPr>
        <w:t xml:space="preserve">such </w:t>
      </w:r>
      <w:r w:rsidR="00A830C2">
        <w:rPr>
          <w:rFonts w:ascii="Arial" w:hAnsi="Arial" w:cs="Arial"/>
          <w:sz w:val="24"/>
          <w:szCs w:val="24"/>
        </w:rPr>
        <w:t xml:space="preserve">costs order </w:t>
      </w:r>
      <w:r w:rsidR="005247BA">
        <w:rPr>
          <w:rFonts w:ascii="Arial" w:hAnsi="Arial" w:cs="Arial"/>
          <w:sz w:val="24"/>
          <w:szCs w:val="24"/>
        </w:rPr>
        <w:t>must also remain in place.</w:t>
      </w:r>
    </w:p>
    <w:p w14:paraId="46A215B4" w14:textId="77777777" w:rsidR="005247BA" w:rsidRPr="00FE12BA" w:rsidRDefault="005247BA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3277760" w14:textId="77777777" w:rsidR="005247BA" w:rsidRPr="00A6146A" w:rsidRDefault="005247BA" w:rsidP="00A6146A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Application to adduce </w:t>
      </w:r>
      <w:r w:rsidR="00A6146A">
        <w:rPr>
          <w:rFonts w:ascii="Arial" w:hAnsi="Arial" w:cs="Arial"/>
          <w:sz w:val="24"/>
          <w:szCs w:val="24"/>
          <w:u w:val="single"/>
        </w:rPr>
        <w:t xml:space="preserve">further </w:t>
      </w:r>
      <w:proofErr w:type="gramStart"/>
      <w:r w:rsidR="00A6146A">
        <w:rPr>
          <w:rFonts w:ascii="Arial" w:hAnsi="Arial" w:cs="Arial"/>
          <w:sz w:val="24"/>
          <w:szCs w:val="24"/>
          <w:u w:val="single"/>
        </w:rPr>
        <w:t>evidence</w:t>
      </w:r>
      <w:proofErr w:type="gramEnd"/>
    </w:p>
    <w:p w14:paraId="2C1B87AD" w14:textId="7951EDEE" w:rsidR="00D61396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[55]</w:t>
      </w:r>
      <w:r>
        <w:rPr>
          <w:rFonts w:ascii="Arial" w:hAnsi="Arial" w:cs="Arial"/>
          <w:sz w:val="24"/>
          <w:szCs w:val="24"/>
        </w:rPr>
        <w:tab/>
      </w:r>
      <w:r w:rsidR="00C213B2">
        <w:rPr>
          <w:rFonts w:ascii="Arial" w:hAnsi="Arial" w:cs="Arial"/>
          <w:sz w:val="24"/>
          <w:szCs w:val="24"/>
        </w:rPr>
        <w:t>PIS at a late stage prior to the appeal lodge</w:t>
      </w:r>
      <w:r w:rsidR="0050787C">
        <w:rPr>
          <w:rFonts w:ascii="Arial" w:hAnsi="Arial" w:cs="Arial"/>
          <w:sz w:val="24"/>
          <w:szCs w:val="24"/>
        </w:rPr>
        <w:t>d</w:t>
      </w:r>
      <w:r w:rsidR="00C213B2">
        <w:rPr>
          <w:rFonts w:ascii="Arial" w:hAnsi="Arial" w:cs="Arial"/>
          <w:sz w:val="24"/>
          <w:szCs w:val="24"/>
        </w:rPr>
        <w:t xml:space="preserve"> an application to adduce further </w:t>
      </w:r>
      <w:r w:rsidR="0096421B">
        <w:rPr>
          <w:rFonts w:ascii="Arial" w:hAnsi="Arial" w:cs="Arial"/>
          <w:sz w:val="24"/>
          <w:szCs w:val="24"/>
        </w:rPr>
        <w:t>evidence. This evidence was to the effect that PIS</w:t>
      </w:r>
      <w:r w:rsidR="00C9547C">
        <w:rPr>
          <w:rFonts w:ascii="Arial" w:hAnsi="Arial" w:cs="Arial"/>
          <w:sz w:val="24"/>
          <w:szCs w:val="24"/>
        </w:rPr>
        <w:t xml:space="preserve"> obtained an order in the High Court allowing it to execute the judgment </w:t>
      </w:r>
      <w:r w:rsidR="00D61396">
        <w:rPr>
          <w:rFonts w:ascii="Arial" w:hAnsi="Arial" w:cs="Arial"/>
          <w:i/>
          <w:sz w:val="24"/>
          <w:szCs w:val="24"/>
        </w:rPr>
        <w:t xml:space="preserve">a quo </w:t>
      </w:r>
      <w:r w:rsidR="00D61396">
        <w:rPr>
          <w:rFonts w:ascii="Arial" w:hAnsi="Arial" w:cs="Arial"/>
          <w:sz w:val="24"/>
          <w:szCs w:val="24"/>
        </w:rPr>
        <w:t>pending the appeal.</w:t>
      </w:r>
    </w:p>
    <w:p w14:paraId="3730BD9B" w14:textId="77777777" w:rsidR="00D61396" w:rsidRDefault="00D61396" w:rsidP="00D61396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E6C144" w14:textId="5F5920F3" w:rsidR="008A054E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[56]</w:t>
      </w:r>
      <w:r>
        <w:rPr>
          <w:rFonts w:ascii="Arial" w:hAnsi="Arial" w:cs="Arial"/>
          <w:sz w:val="24"/>
          <w:szCs w:val="24"/>
        </w:rPr>
        <w:tab/>
      </w:r>
      <w:r w:rsidR="00D61396">
        <w:rPr>
          <w:rFonts w:ascii="Arial" w:hAnsi="Arial" w:cs="Arial"/>
          <w:sz w:val="24"/>
          <w:szCs w:val="24"/>
        </w:rPr>
        <w:t>It</w:t>
      </w:r>
      <w:r w:rsidR="008A054E">
        <w:rPr>
          <w:rFonts w:ascii="Arial" w:hAnsi="Arial" w:cs="Arial"/>
          <w:sz w:val="24"/>
          <w:szCs w:val="24"/>
        </w:rPr>
        <w:t xml:space="preserve"> </w:t>
      </w:r>
      <w:r w:rsidR="00D61396">
        <w:rPr>
          <w:rFonts w:ascii="Arial" w:hAnsi="Arial" w:cs="Arial"/>
          <w:sz w:val="24"/>
          <w:szCs w:val="24"/>
        </w:rPr>
        <w:t>further</w:t>
      </w:r>
      <w:r w:rsidR="00871E70">
        <w:rPr>
          <w:rFonts w:ascii="Arial" w:hAnsi="Arial" w:cs="Arial"/>
          <w:sz w:val="24"/>
          <w:szCs w:val="24"/>
        </w:rPr>
        <w:t xml:space="preserve"> intended to adduce evidence as to the extent to which it rendered </w:t>
      </w:r>
      <w:r w:rsidR="00E373BC">
        <w:rPr>
          <w:rFonts w:ascii="Arial" w:hAnsi="Arial" w:cs="Arial"/>
          <w:sz w:val="24"/>
          <w:szCs w:val="24"/>
        </w:rPr>
        <w:t xml:space="preserve">the </w:t>
      </w:r>
      <w:r w:rsidR="00871E70">
        <w:rPr>
          <w:rFonts w:ascii="Arial" w:hAnsi="Arial" w:cs="Arial"/>
          <w:sz w:val="24"/>
          <w:szCs w:val="24"/>
        </w:rPr>
        <w:t>services</w:t>
      </w:r>
      <w:r w:rsidR="00E373BC">
        <w:rPr>
          <w:rFonts w:ascii="Arial" w:hAnsi="Arial" w:cs="Arial"/>
          <w:sz w:val="24"/>
          <w:szCs w:val="24"/>
        </w:rPr>
        <w:t xml:space="preserve"> involved and the payments received for such services</w:t>
      </w:r>
      <w:r w:rsidR="008A054E">
        <w:rPr>
          <w:rFonts w:ascii="Arial" w:hAnsi="Arial" w:cs="Arial"/>
          <w:sz w:val="24"/>
          <w:szCs w:val="24"/>
        </w:rPr>
        <w:t xml:space="preserve"> pending this appeal.</w:t>
      </w:r>
    </w:p>
    <w:p w14:paraId="2691455E" w14:textId="77777777" w:rsidR="008A054E" w:rsidRPr="001E517E" w:rsidRDefault="008A054E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E1EDDB3" w14:textId="415119D7" w:rsidR="006066DF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[57]</w:t>
      </w:r>
      <w:r>
        <w:rPr>
          <w:rFonts w:ascii="Arial" w:hAnsi="Arial" w:cs="Arial"/>
          <w:sz w:val="24"/>
          <w:szCs w:val="24"/>
        </w:rPr>
        <w:tab/>
      </w:r>
      <w:r w:rsidR="00B4598D">
        <w:rPr>
          <w:rFonts w:ascii="Arial" w:hAnsi="Arial" w:cs="Arial"/>
          <w:sz w:val="24"/>
          <w:szCs w:val="24"/>
        </w:rPr>
        <w:t xml:space="preserve">The reason for the </w:t>
      </w:r>
      <w:r w:rsidR="00A46BBD">
        <w:rPr>
          <w:rFonts w:ascii="Arial" w:hAnsi="Arial" w:cs="Arial"/>
          <w:sz w:val="24"/>
          <w:szCs w:val="24"/>
        </w:rPr>
        <w:t xml:space="preserve">application </w:t>
      </w:r>
      <w:r w:rsidR="00B4598D">
        <w:rPr>
          <w:rFonts w:ascii="Arial" w:hAnsi="Arial" w:cs="Arial"/>
          <w:sz w:val="24"/>
          <w:szCs w:val="24"/>
        </w:rPr>
        <w:t>was to put facts</w:t>
      </w:r>
      <w:r w:rsidR="00A46BBD">
        <w:rPr>
          <w:rFonts w:ascii="Arial" w:hAnsi="Arial" w:cs="Arial"/>
          <w:sz w:val="24"/>
          <w:szCs w:val="24"/>
        </w:rPr>
        <w:t xml:space="preserve"> before this court so as to attempt to persuade us </w:t>
      </w:r>
      <w:r w:rsidR="00FA56F2">
        <w:rPr>
          <w:rFonts w:ascii="Arial" w:hAnsi="Arial" w:cs="Arial"/>
          <w:sz w:val="24"/>
          <w:szCs w:val="24"/>
        </w:rPr>
        <w:t xml:space="preserve">that the default remedy (setting aside the award to PIS) would not be </w:t>
      </w:r>
      <w:r w:rsidR="00431E10">
        <w:rPr>
          <w:rFonts w:ascii="Arial" w:hAnsi="Arial" w:cs="Arial"/>
          <w:sz w:val="24"/>
          <w:szCs w:val="24"/>
        </w:rPr>
        <w:t xml:space="preserve">apposite in the circumstances of this case </w:t>
      </w:r>
      <w:r w:rsidR="00CC42A6">
        <w:rPr>
          <w:rFonts w:ascii="Arial" w:hAnsi="Arial" w:cs="Arial"/>
          <w:sz w:val="24"/>
          <w:szCs w:val="24"/>
        </w:rPr>
        <w:t xml:space="preserve">should it be decided that the award to PIS </w:t>
      </w:r>
      <w:r w:rsidR="006066DF">
        <w:rPr>
          <w:rFonts w:ascii="Arial" w:hAnsi="Arial" w:cs="Arial"/>
          <w:sz w:val="24"/>
          <w:szCs w:val="24"/>
        </w:rPr>
        <w:t xml:space="preserve">had to </w:t>
      </w:r>
      <w:r w:rsidR="00CC42A6">
        <w:rPr>
          <w:rFonts w:ascii="Arial" w:hAnsi="Arial" w:cs="Arial"/>
          <w:sz w:val="24"/>
          <w:szCs w:val="24"/>
        </w:rPr>
        <w:t>be set aside.</w:t>
      </w:r>
    </w:p>
    <w:p w14:paraId="712BD87E" w14:textId="77777777" w:rsidR="006066DF" w:rsidRPr="00FE12BA" w:rsidRDefault="006066DF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A1D4A04" w14:textId="46518B12" w:rsidR="00F80E5B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[58]</w:t>
      </w:r>
      <w:r>
        <w:rPr>
          <w:rFonts w:ascii="Arial" w:hAnsi="Arial" w:cs="Arial"/>
          <w:sz w:val="24"/>
          <w:szCs w:val="24"/>
        </w:rPr>
        <w:tab/>
      </w:r>
      <w:r w:rsidR="006066DF">
        <w:rPr>
          <w:rFonts w:ascii="Arial" w:hAnsi="Arial" w:cs="Arial"/>
          <w:sz w:val="24"/>
          <w:szCs w:val="24"/>
        </w:rPr>
        <w:t xml:space="preserve">Where a court has granted an order </w:t>
      </w:r>
      <w:r w:rsidR="00A7315F">
        <w:rPr>
          <w:rFonts w:ascii="Arial" w:hAnsi="Arial" w:cs="Arial"/>
          <w:sz w:val="24"/>
          <w:szCs w:val="24"/>
        </w:rPr>
        <w:t xml:space="preserve">allowing a party to an appeal to execute pending such appeal </w:t>
      </w:r>
      <w:r w:rsidR="001E517E">
        <w:rPr>
          <w:rFonts w:ascii="Arial" w:hAnsi="Arial" w:cs="Arial"/>
          <w:sz w:val="24"/>
          <w:szCs w:val="24"/>
        </w:rPr>
        <w:t>and,</w:t>
      </w:r>
      <w:r w:rsidR="002B6B49">
        <w:rPr>
          <w:rFonts w:ascii="Arial" w:hAnsi="Arial" w:cs="Arial"/>
          <w:sz w:val="24"/>
          <w:szCs w:val="24"/>
        </w:rPr>
        <w:t xml:space="preserve"> thus reversing the normal position </w:t>
      </w:r>
      <w:r w:rsidR="000150A4">
        <w:rPr>
          <w:rFonts w:ascii="Arial" w:hAnsi="Arial" w:cs="Arial"/>
          <w:sz w:val="24"/>
          <w:szCs w:val="24"/>
        </w:rPr>
        <w:t xml:space="preserve">that an appeal suspends the order </w:t>
      </w:r>
      <w:r w:rsidR="000150A4">
        <w:rPr>
          <w:rFonts w:ascii="Arial" w:hAnsi="Arial" w:cs="Arial"/>
          <w:i/>
          <w:sz w:val="24"/>
          <w:szCs w:val="24"/>
        </w:rPr>
        <w:t>a quo</w:t>
      </w:r>
      <w:r w:rsidR="003930BD">
        <w:rPr>
          <w:rFonts w:ascii="Arial" w:hAnsi="Arial" w:cs="Arial"/>
          <w:sz w:val="24"/>
          <w:szCs w:val="24"/>
        </w:rPr>
        <w:t xml:space="preserve">, any party to that appeal will be allowed </w:t>
      </w:r>
      <w:r w:rsidR="00785825">
        <w:rPr>
          <w:rFonts w:ascii="Arial" w:hAnsi="Arial" w:cs="Arial"/>
          <w:sz w:val="24"/>
          <w:szCs w:val="24"/>
        </w:rPr>
        <w:t xml:space="preserve">to </w:t>
      </w:r>
      <w:r w:rsidR="003930BD">
        <w:rPr>
          <w:rFonts w:ascii="Arial" w:hAnsi="Arial" w:cs="Arial"/>
          <w:sz w:val="24"/>
          <w:szCs w:val="24"/>
        </w:rPr>
        <w:t>simply ma</w:t>
      </w:r>
      <w:r w:rsidR="00785825">
        <w:rPr>
          <w:rFonts w:ascii="Arial" w:hAnsi="Arial" w:cs="Arial"/>
          <w:sz w:val="24"/>
          <w:szCs w:val="24"/>
        </w:rPr>
        <w:t>k</w:t>
      </w:r>
      <w:r w:rsidR="003930BD">
        <w:rPr>
          <w:rFonts w:ascii="Arial" w:hAnsi="Arial" w:cs="Arial"/>
          <w:sz w:val="24"/>
          <w:szCs w:val="24"/>
        </w:rPr>
        <w:t>e that fact</w:t>
      </w:r>
      <w:r w:rsidR="00785825">
        <w:rPr>
          <w:rFonts w:ascii="Arial" w:hAnsi="Arial" w:cs="Arial"/>
          <w:sz w:val="24"/>
          <w:szCs w:val="24"/>
        </w:rPr>
        <w:t xml:space="preserve"> known to this court </w:t>
      </w:r>
      <w:r w:rsidR="001E517E">
        <w:rPr>
          <w:rFonts w:ascii="Arial" w:hAnsi="Arial" w:cs="Arial"/>
          <w:sz w:val="24"/>
          <w:szCs w:val="24"/>
        </w:rPr>
        <w:t>(for example</w:t>
      </w:r>
      <w:r w:rsidR="00785825">
        <w:rPr>
          <w:rFonts w:ascii="Arial" w:hAnsi="Arial" w:cs="Arial"/>
          <w:sz w:val="24"/>
          <w:szCs w:val="24"/>
        </w:rPr>
        <w:t xml:space="preserve"> </w:t>
      </w:r>
      <w:r w:rsidR="00177E8F">
        <w:rPr>
          <w:rFonts w:ascii="Arial" w:hAnsi="Arial" w:cs="Arial"/>
          <w:sz w:val="24"/>
          <w:szCs w:val="24"/>
        </w:rPr>
        <w:t xml:space="preserve">in </w:t>
      </w:r>
      <w:r w:rsidR="00E7613A">
        <w:rPr>
          <w:rFonts w:ascii="Arial" w:hAnsi="Arial" w:cs="Arial"/>
          <w:sz w:val="24"/>
          <w:szCs w:val="24"/>
        </w:rPr>
        <w:t>the heads of argument</w:t>
      </w:r>
      <w:r w:rsidR="00D643B2">
        <w:rPr>
          <w:rFonts w:ascii="Arial" w:hAnsi="Arial" w:cs="Arial"/>
          <w:sz w:val="24"/>
          <w:szCs w:val="24"/>
        </w:rPr>
        <w:t xml:space="preserve"> or at the hearing</w:t>
      </w:r>
      <w:r w:rsidR="001E517E">
        <w:rPr>
          <w:rFonts w:ascii="Arial" w:hAnsi="Arial" w:cs="Arial"/>
          <w:sz w:val="24"/>
          <w:szCs w:val="24"/>
        </w:rPr>
        <w:t>)</w:t>
      </w:r>
      <w:r w:rsidR="00D643B2">
        <w:rPr>
          <w:rFonts w:ascii="Arial" w:hAnsi="Arial" w:cs="Arial"/>
          <w:sz w:val="24"/>
          <w:szCs w:val="24"/>
        </w:rPr>
        <w:t>.</w:t>
      </w:r>
      <w:r w:rsidR="00F473D8">
        <w:rPr>
          <w:rFonts w:ascii="Arial" w:hAnsi="Arial" w:cs="Arial"/>
          <w:sz w:val="24"/>
          <w:szCs w:val="24"/>
        </w:rPr>
        <w:t xml:space="preserve"> To avoid any disputes it would be advisable to furnish the court with </w:t>
      </w:r>
      <w:r w:rsidR="0092586C">
        <w:rPr>
          <w:rFonts w:ascii="Arial" w:hAnsi="Arial" w:cs="Arial"/>
          <w:sz w:val="24"/>
          <w:szCs w:val="24"/>
        </w:rPr>
        <w:t xml:space="preserve">a copy of </w:t>
      </w:r>
      <w:r w:rsidR="00F473D8">
        <w:rPr>
          <w:rFonts w:ascii="Arial" w:hAnsi="Arial" w:cs="Arial"/>
          <w:sz w:val="24"/>
          <w:szCs w:val="24"/>
        </w:rPr>
        <w:t>such order</w:t>
      </w:r>
      <w:r w:rsidR="0092586C">
        <w:rPr>
          <w:rFonts w:ascii="Arial" w:hAnsi="Arial" w:cs="Arial"/>
          <w:sz w:val="24"/>
          <w:szCs w:val="24"/>
        </w:rPr>
        <w:t xml:space="preserve">. </w:t>
      </w:r>
      <w:r w:rsidR="009D791D">
        <w:rPr>
          <w:rFonts w:ascii="Arial" w:hAnsi="Arial" w:cs="Arial"/>
          <w:sz w:val="24"/>
          <w:szCs w:val="24"/>
        </w:rPr>
        <w:t>When t</w:t>
      </w:r>
      <w:r w:rsidR="0092586C">
        <w:rPr>
          <w:rFonts w:ascii="Arial" w:hAnsi="Arial" w:cs="Arial"/>
          <w:sz w:val="24"/>
          <w:szCs w:val="24"/>
        </w:rPr>
        <w:t xml:space="preserve">he existence of such order is disputed </w:t>
      </w:r>
      <w:r w:rsidR="00D90D63">
        <w:rPr>
          <w:rFonts w:ascii="Arial" w:hAnsi="Arial" w:cs="Arial"/>
          <w:sz w:val="24"/>
          <w:szCs w:val="24"/>
        </w:rPr>
        <w:t>a</w:t>
      </w:r>
      <w:r w:rsidR="009D791D">
        <w:rPr>
          <w:rFonts w:ascii="Arial" w:hAnsi="Arial" w:cs="Arial"/>
          <w:sz w:val="24"/>
          <w:szCs w:val="24"/>
        </w:rPr>
        <w:t>n</w:t>
      </w:r>
      <w:r w:rsidR="00904BB8">
        <w:rPr>
          <w:rFonts w:ascii="Arial" w:hAnsi="Arial" w:cs="Arial"/>
          <w:sz w:val="24"/>
          <w:szCs w:val="24"/>
        </w:rPr>
        <w:t xml:space="preserve"> </w:t>
      </w:r>
      <w:r w:rsidR="009D791D">
        <w:rPr>
          <w:rFonts w:ascii="Arial" w:hAnsi="Arial" w:cs="Arial"/>
          <w:sz w:val="24"/>
          <w:szCs w:val="24"/>
        </w:rPr>
        <w:t>application</w:t>
      </w:r>
      <w:r w:rsidR="00D90D63">
        <w:rPr>
          <w:rFonts w:ascii="Arial" w:hAnsi="Arial" w:cs="Arial"/>
          <w:sz w:val="24"/>
          <w:szCs w:val="24"/>
        </w:rPr>
        <w:t xml:space="preserve"> will have to be brought </w:t>
      </w:r>
      <w:r w:rsidR="00ED1A83">
        <w:rPr>
          <w:rFonts w:ascii="Arial" w:hAnsi="Arial" w:cs="Arial"/>
          <w:sz w:val="24"/>
          <w:szCs w:val="24"/>
        </w:rPr>
        <w:t xml:space="preserve">to establish this fact. However as disputes on this aspect </w:t>
      </w:r>
      <w:r w:rsidR="00B620C2">
        <w:rPr>
          <w:rFonts w:ascii="Arial" w:hAnsi="Arial" w:cs="Arial"/>
          <w:sz w:val="24"/>
          <w:szCs w:val="24"/>
        </w:rPr>
        <w:t>should indeed be a very rare event</w:t>
      </w:r>
      <w:r w:rsidR="00490602">
        <w:rPr>
          <w:rFonts w:ascii="Arial" w:hAnsi="Arial" w:cs="Arial"/>
          <w:sz w:val="24"/>
          <w:szCs w:val="24"/>
        </w:rPr>
        <w:t xml:space="preserve"> there is no need to bring an application to adduce new evidence </w:t>
      </w:r>
      <w:r w:rsidR="006E4E9D">
        <w:rPr>
          <w:rFonts w:ascii="Arial" w:hAnsi="Arial" w:cs="Arial"/>
          <w:sz w:val="24"/>
          <w:szCs w:val="24"/>
        </w:rPr>
        <w:t>to place the fact that there is such an order</w:t>
      </w:r>
      <w:r w:rsidR="00F80E5B">
        <w:rPr>
          <w:rFonts w:ascii="Arial" w:hAnsi="Arial" w:cs="Arial"/>
          <w:sz w:val="24"/>
          <w:szCs w:val="24"/>
        </w:rPr>
        <w:t xml:space="preserve"> in existence before this court.</w:t>
      </w:r>
    </w:p>
    <w:p w14:paraId="10AD5931" w14:textId="77777777" w:rsidR="00F80E5B" w:rsidRPr="00FE12BA" w:rsidRDefault="00F80E5B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5436931" w14:textId="1712C663" w:rsidR="00336B25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[59]</w:t>
      </w:r>
      <w:r>
        <w:rPr>
          <w:rFonts w:ascii="Arial" w:hAnsi="Arial" w:cs="Arial"/>
          <w:sz w:val="24"/>
          <w:szCs w:val="24"/>
        </w:rPr>
        <w:tab/>
      </w:r>
      <w:r w:rsidR="00F80E5B">
        <w:rPr>
          <w:rFonts w:ascii="Arial" w:hAnsi="Arial" w:cs="Arial"/>
          <w:sz w:val="24"/>
          <w:szCs w:val="24"/>
        </w:rPr>
        <w:t xml:space="preserve">Once it is accepted that an order to execute pending an appeal </w:t>
      </w:r>
      <w:r w:rsidR="00E142C2">
        <w:rPr>
          <w:rFonts w:ascii="Arial" w:hAnsi="Arial" w:cs="Arial"/>
          <w:sz w:val="24"/>
          <w:szCs w:val="24"/>
        </w:rPr>
        <w:t>has been given certain inference will normally flow from this fact</w:t>
      </w:r>
      <w:r w:rsidR="00E95529">
        <w:rPr>
          <w:rFonts w:ascii="Arial" w:hAnsi="Arial" w:cs="Arial"/>
          <w:sz w:val="24"/>
          <w:szCs w:val="24"/>
        </w:rPr>
        <w:t>,</w:t>
      </w:r>
      <w:r w:rsidR="00E142C2">
        <w:rPr>
          <w:rFonts w:ascii="Arial" w:hAnsi="Arial" w:cs="Arial"/>
          <w:sz w:val="24"/>
          <w:szCs w:val="24"/>
        </w:rPr>
        <w:t xml:space="preserve"> namely</w:t>
      </w:r>
      <w:r w:rsidR="00E95529">
        <w:rPr>
          <w:rFonts w:ascii="Arial" w:hAnsi="Arial" w:cs="Arial"/>
          <w:sz w:val="24"/>
          <w:szCs w:val="24"/>
        </w:rPr>
        <w:t xml:space="preserve"> that the party in </w:t>
      </w:r>
      <w:r w:rsidR="00177E8F">
        <w:rPr>
          <w:rFonts w:ascii="Arial" w:hAnsi="Arial" w:cs="Arial"/>
          <w:sz w:val="24"/>
          <w:szCs w:val="24"/>
        </w:rPr>
        <w:t xml:space="preserve">whose </w:t>
      </w:r>
      <w:r w:rsidR="00E95529">
        <w:rPr>
          <w:rFonts w:ascii="Arial" w:hAnsi="Arial" w:cs="Arial"/>
          <w:sz w:val="24"/>
          <w:szCs w:val="24"/>
        </w:rPr>
        <w:t xml:space="preserve">favour such order was given has or is </w:t>
      </w:r>
      <w:r w:rsidR="004C3C33">
        <w:rPr>
          <w:rFonts w:ascii="Arial" w:hAnsi="Arial" w:cs="Arial"/>
          <w:sz w:val="24"/>
          <w:szCs w:val="24"/>
        </w:rPr>
        <w:t xml:space="preserve">in the process of enforcing the order </w:t>
      </w:r>
      <w:r w:rsidR="004C3C33">
        <w:rPr>
          <w:rFonts w:ascii="Arial" w:hAnsi="Arial" w:cs="Arial"/>
          <w:i/>
          <w:sz w:val="24"/>
          <w:szCs w:val="24"/>
        </w:rPr>
        <w:t>a qu</w:t>
      </w:r>
      <w:r w:rsidR="004C3C33" w:rsidRPr="004C3C33">
        <w:rPr>
          <w:rFonts w:ascii="Arial" w:hAnsi="Arial" w:cs="Arial"/>
          <w:sz w:val="24"/>
          <w:szCs w:val="24"/>
        </w:rPr>
        <w:t>o.</w:t>
      </w:r>
      <w:r w:rsidR="0081307F">
        <w:rPr>
          <w:rFonts w:ascii="Arial" w:hAnsi="Arial" w:cs="Arial"/>
          <w:sz w:val="24"/>
          <w:szCs w:val="24"/>
        </w:rPr>
        <w:t xml:space="preserve"> Thus in the present matter it follows that PIS has, since shortly after that </w:t>
      </w:r>
      <w:r w:rsidR="000F2FEE">
        <w:rPr>
          <w:rFonts w:ascii="Arial" w:hAnsi="Arial" w:cs="Arial"/>
          <w:sz w:val="24"/>
          <w:szCs w:val="24"/>
        </w:rPr>
        <w:t>order, be</w:t>
      </w:r>
      <w:r w:rsidR="00F673BD">
        <w:rPr>
          <w:rFonts w:ascii="Arial" w:hAnsi="Arial" w:cs="Arial"/>
          <w:sz w:val="24"/>
          <w:szCs w:val="24"/>
        </w:rPr>
        <w:t>e</w:t>
      </w:r>
      <w:r w:rsidR="000F2FEE">
        <w:rPr>
          <w:rFonts w:ascii="Arial" w:hAnsi="Arial" w:cs="Arial"/>
          <w:sz w:val="24"/>
          <w:szCs w:val="24"/>
        </w:rPr>
        <w:t>n</w:t>
      </w:r>
      <w:r w:rsidR="00F673BD">
        <w:rPr>
          <w:rFonts w:ascii="Arial" w:hAnsi="Arial" w:cs="Arial"/>
          <w:sz w:val="24"/>
          <w:szCs w:val="24"/>
        </w:rPr>
        <w:t xml:space="preserve"> </w:t>
      </w:r>
      <w:r w:rsidR="000F2FEE">
        <w:rPr>
          <w:rFonts w:ascii="Arial" w:hAnsi="Arial" w:cs="Arial"/>
          <w:sz w:val="24"/>
          <w:szCs w:val="24"/>
        </w:rPr>
        <w:t xml:space="preserve">rendering security services </w:t>
      </w:r>
      <w:r w:rsidR="00F95FD6">
        <w:rPr>
          <w:rFonts w:ascii="Arial" w:hAnsi="Arial" w:cs="Arial"/>
          <w:sz w:val="24"/>
          <w:szCs w:val="24"/>
        </w:rPr>
        <w:t>to NUST and has been paid for such services in terms of its approved bid</w:t>
      </w:r>
      <w:r w:rsidR="00BC4CB0">
        <w:rPr>
          <w:rFonts w:ascii="Arial" w:hAnsi="Arial" w:cs="Arial"/>
          <w:sz w:val="24"/>
          <w:szCs w:val="24"/>
        </w:rPr>
        <w:t>. In other words</w:t>
      </w:r>
      <w:r w:rsidR="001E517E">
        <w:rPr>
          <w:rFonts w:ascii="Arial" w:hAnsi="Arial" w:cs="Arial"/>
          <w:sz w:val="24"/>
          <w:szCs w:val="24"/>
        </w:rPr>
        <w:t>,</w:t>
      </w:r>
      <w:r w:rsidR="00BC4CB0">
        <w:rPr>
          <w:rFonts w:ascii="Arial" w:hAnsi="Arial" w:cs="Arial"/>
          <w:sz w:val="24"/>
          <w:szCs w:val="24"/>
        </w:rPr>
        <w:t xml:space="preserve"> PIS has been performing the services contained in its bid </w:t>
      </w:r>
      <w:r w:rsidR="00BA6D46">
        <w:rPr>
          <w:rFonts w:ascii="Arial" w:hAnsi="Arial" w:cs="Arial"/>
          <w:sz w:val="24"/>
          <w:szCs w:val="24"/>
        </w:rPr>
        <w:t xml:space="preserve">and NUST adhered to the terms and conditions contained </w:t>
      </w:r>
      <w:r w:rsidR="00C2150D">
        <w:rPr>
          <w:rFonts w:ascii="Arial" w:hAnsi="Arial" w:cs="Arial"/>
          <w:sz w:val="24"/>
          <w:szCs w:val="24"/>
        </w:rPr>
        <w:t>in the bid requirements. Simply put</w:t>
      </w:r>
      <w:r w:rsidR="00DA381F">
        <w:rPr>
          <w:rFonts w:ascii="Arial" w:hAnsi="Arial" w:cs="Arial"/>
          <w:sz w:val="24"/>
          <w:szCs w:val="24"/>
        </w:rPr>
        <w:t>,</w:t>
      </w:r>
      <w:r w:rsidR="00C2150D">
        <w:rPr>
          <w:rFonts w:ascii="Arial" w:hAnsi="Arial" w:cs="Arial"/>
          <w:sz w:val="24"/>
          <w:szCs w:val="24"/>
        </w:rPr>
        <w:t xml:space="preserve"> they have adhered to </w:t>
      </w:r>
      <w:r w:rsidR="004A4B7B">
        <w:rPr>
          <w:rFonts w:ascii="Arial" w:hAnsi="Arial" w:cs="Arial"/>
          <w:sz w:val="24"/>
          <w:szCs w:val="24"/>
        </w:rPr>
        <w:t xml:space="preserve">the terms and conditions of the </w:t>
      </w:r>
      <w:r w:rsidR="00DA381F">
        <w:rPr>
          <w:rFonts w:ascii="Arial" w:hAnsi="Arial" w:cs="Arial"/>
          <w:sz w:val="24"/>
          <w:szCs w:val="24"/>
        </w:rPr>
        <w:t>c</w:t>
      </w:r>
      <w:r w:rsidR="004A4B7B">
        <w:rPr>
          <w:rFonts w:ascii="Arial" w:hAnsi="Arial" w:cs="Arial"/>
          <w:sz w:val="24"/>
          <w:szCs w:val="24"/>
        </w:rPr>
        <w:t>ontract between them.</w:t>
      </w:r>
      <w:r w:rsidR="000F2FEE">
        <w:rPr>
          <w:rFonts w:ascii="Arial" w:hAnsi="Arial" w:cs="Arial"/>
          <w:sz w:val="24"/>
          <w:szCs w:val="24"/>
        </w:rPr>
        <w:t xml:space="preserve"> </w:t>
      </w:r>
      <w:r w:rsidR="0081307F">
        <w:rPr>
          <w:rFonts w:ascii="Arial" w:hAnsi="Arial" w:cs="Arial"/>
          <w:sz w:val="24"/>
          <w:szCs w:val="24"/>
        </w:rPr>
        <w:t xml:space="preserve"> </w:t>
      </w:r>
      <w:r w:rsidR="00E142C2">
        <w:rPr>
          <w:rFonts w:ascii="Arial" w:hAnsi="Arial" w:cs="Arial"/>
          <w:sz w:val="24"/>
          <w:szCs w:val="24"/>
        </w:rPr>
        <w:t xml:space="preserve"> </w:t>
      </w:r>
      <w:r w:rsidR="006E4E9D">
        <w:rPr>
          <w:rFonts w:ascii="Arial" w:hAnsi="Arial" w:cs="Arial"/>
          <w:sz w:val="24"/>
          <w:szCs w:val="24"/>
        </w:rPr>
        <w:t xml:space="preserve"> </w:t>
      </w:r>
      <w:r w:rsidR="00B620C2">
        <w:rPr>
          <w:rFonts w:ascii="Arial" w:hAnsi="Arial" w:cs="Arial"/>
          <w:sz w:val="24"/>
          <w:szCs w:val="24"/>
        </w:rPr>
        <w:t xml:space="preserve"> </w:t>
      </w:r>
      <w:r w:rsidR="009D791D">
        <w:rPr>
          <w:rFonts w:ascii="Arial" w:hAnsi="Arial" w:cs="Arial"/>
          <w:sz w:val="24"/>
          <w:szCs w:val="24"/>
        </w:rPr>
        <w:t xml:space="preserve"> </w:t>
      </w:r>
      <w:r w:rsidR="00785825">
        <w:rPr>
          <w:rFonts w:ascii="Arial" w:hAnsi="Arial" w:cs="Arial"/>
          <w:sz w:val="24"/>
          <w:szCs w:val="24"/>
        </w:rPr>
        <w:t xml:space="preserve"> </w:t>
      </w:r>
      <w:r w:rsidR="003930BD">
        <w:rPr>
          <w:rFonts w:ascii="Arial" w:hAnsi="Arial" w:cs="Arial"/>
          <w:sz w:val="24"/>
          <w:szCs w:val="24"/>
        </w:rPr>
        <w:t xml:space="preserve"> </w:t>
      </w:r>
    </w:p>
    <w:p w14:paraId="66276613" w14:textId="77777777" w:rsidR="00336B25" w:rsidRPr="00FE12BA" w:rsidRDefault="00336B25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083C89D" w14:textId="3BD28A5C" w:rsidR="00CF7ADD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[60]</w:t>
      </w:r>
      <w:r>
        <w:rPr>
          <w:rFonts w:ascii="Arial" w:hAnsi="Arial" w:cs="Arial"/>
          <w:sz w:val="24"/>
          <w:szCs w:val="24"/>
        </w:rPr>
        <w:tab/>
      </w:r>
      <w:r w:rsidR="00336B25">
        <w:rPr>
          <w:rFonts w:ascii="Arial" w:hAnsi="Arial" w:cs="Arial"/>
          <w:sz w:val="24"/>
          <w:szCs w:val="24"/>
        </w:rPr>
        <w:t>In this matter</w:t>
      </w:r>
      <w:r w:rsidR="001E517E">
        <w:rPr>
          <w:rFonts w:ascii="Arial" w:hAnsi="Arial" w:cs="Arial"/>
          <w:sz w:val="24"/>
          <w:szCs w:val="24"/>
        </w:rPr>
        <w:t>,</w:t>
      </w:r>
      <w:r w:rsidR="00336B25">
        <w:rPr>
          <w:rFonts w:ascii="Arial" w:hAnsi="Arial" w:cs="Arial"/>
          <w:sz w:val="24"/>
          <w:szCs w:val="24"/>
        </w:rPr>
        <w:t xml:space="preserve"> the evidence </w:t>
      </w:r>
      <w:r w:rsidR="0037387E">
        <w:rPr>
          <w:rFonts w:ascii="Arial" w:hAnsi="Arial" w:cs="Arial"/>
          <w:sz w:val="24"/>
          <w:szCs w:val="24"/>
        </w:rPr>
        <w:t xml:space="preserve">sought to be placed before the court was generally </w:t>
      </w:r>
      <w:r w:rsidR="00CC6F10">
        <w:rPr>
          <w:rFonts w:ascii="Arial" w:hAnsi="Arial" w:cs="Arial"/>
          <w:sz w:val="24"/>
          <w:szCs w:val="24"/>
        </w:rPr>
        <w:t>evidence to support the inference that</w:t>
      </w:r>
      <w:r w:rsidR="00666CFA">
        <w:rPr>
          <w:rFonts w:ascii="Arial" w:hAnsi="Arial" w:cs="Arial"/>
          <w:sz w:val="24"/>
          <w:szCs w:val="24"/>
        </w:rPr>
        <w:t xml:space="preserve"> in any event follows from the order to execute. To this was added some details </w:t>
      </w:r>
      <w:r w:rsidR="00E6765D">
        <w:rPr>
          <w:rFonts w:ascii="Arial" w:hAnsi="Arial" w:cs="Arial"/>
          <w:sz w:val="24"/>
          <w:szCs w:val="24"/>
        </w:rPr>
        <w:t xml:space="preserve">such as the exact amount paid by NUST to PIS up to the time of the application </w:t>
      </w:r>
      <w:r w:rsidR="00A506FC">
        <w:rPr>
          <w:rFonts w:ascii="Arial" w:hAnsi="Arial" w:cs="Arial"/>
          <w:sz w:val="24"/>
          <w:szCs w:val="24"/>
        </w:rPr>
        <w:t>to adduce further evidence</w:t>
      </w:r>
      <w:r w:rsidR="00CF7ADD">
        <w:rPr>
          <w:rFonts w:ascii="Arial" w:hAnsi="Arial" w:cs="Arial"/>
          <w:sz w:val="24"/>
          <w:szCs w:val="24"/>
        </w:rPr>
        <w:t xml:space="preserve"> and some other minor details.</w:t>
      </w:r>
    </w:p>
    <w:p w14:paraId="2AB3DD1E" w14:textId="77777777" w:rsidR="00CF7ADD" w:rsidRPr="00FE12BA" w:rsidRDefault="00CF7ADD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1369693" w14:textId="52CA740A" w:rsidR="00027F60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[61]</w:t>
      </w:r>
      <w:r>
        <w:rPr>
          <w:rFonts w:ascii="Arial" w:hAnsi="Arial" w:cs="Arial"/>
          <w:sz w:val="24"/>
          <w:szCs w:val="24"/>
        </w:rPr>
        <w:tab/>
      </w:r>
      <w:r w:rsidR="00CF7ADD">
        <w:rPr>
          <w:rFonts w:ascii="Arial" w:hAnsi="Arial" w:cs="Arial"/>
          <w:sz w:val="24"/>
          <w:szCs w:val="24"/>
        </w:rPr>
        <w:t xml:space="preserve">On the facts of this case there was no </w:t>
      </w:r>
      <w:r w:rsidR="00DD490B">
        <w:rPr>
          <w:rFonts w:ascii="Arial" w:hAnsi="Arial" w:cs="Arial"/>
          <w:sz w:val="24"/>
          <w:szCs w:val="24"/>
        </w:rPr>
        <w:t xml:space="preserve">need for an application to adduce </w:t>
      </w:r>
      <w:r w:rsidR="00F673BD">
        <w:rPr>
          <w:rFonts w:ascii="Arial" w:hAnsi="Arial" w:cs="Arial"/>
          <w:sz w:val="24"/>
          <w:szCs w:val="24"/>
        </w:rPr>
        <w:t xml:space="preserve">further </w:t>
      </w:r>
      <w:r w:rsidR="00DD490B">
        <w:rPr>
          <w:rFonts w:ascii="Arial" w:hAnsi="Arial" w:cs="Arial"/>
          <w:sz w:val="24"/>
          <w:szCs w:val="24"/>
        </w:rPr>
        <w:t xml:space="preserve">evidence that would in any event necessarily follow from the order to execute pending </w:t>
      </w:r>
      <w:r w:rsidR="00357100">
        <w:rPr>
          <w:rFonts w:ascii="Arial" w:hAnsi="Arial" w:cs="Arial"/>
          <w:sz w:val="24"/>
          <w:szCs w:val="24"/>
        </w:rPr>
        <w:t>the appeal and hence the application stands to be dismissed with costs.</w:t>
      </w:r>
    </w:p>
    <w:p w14:paraId="363B549A" w14:textId="77777777" w:rsidR="00FE12BA" w:rsidRDefault="00FE12BA" w:rsidP="00FE12BA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D297190" w14:textId="77777777" w:rsidR="00027F60" w:rsidRPr="001E517E" w:rsidRDefault="00027F60" w:rsidP="001E517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Conclusion</w:t>
      </w:r>
    </w:p>
    <w:p w14:paraId="59F65E14" w14:textId="2F6F1020" w:rsidR="00BE3394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[62]</w:t>
      </w:r>
      <w:r>
        <w:rPr>
          <w:rFonts w:ascii="Arial" w:hAnsi="Arial" w:cs="Arial"/>
          <w:sz w:val="24"/>
          <w:szCs w:val="24"/>
        </w:rPr>
        <w:tab/>
      </w:r>
      <w:r w:rsidR="00027F60">
        <w:rPr>
          <w:rFonts w:ascii="Arial" w:hAnsi="Arial" w:cs="Arial"/>
          <w:sz w:val="24"/>
          <w:szCs w:val="24"/>
        </w:rPr>
        <w:t xml:space="preserve">This is an </w:t>
      </w:r>
      <w:r w:rsidR="00270748">
        <w:rPr>
          <w:rFonts w:ascii="Arial" w:hAnsi="Arial" w:cs="Arial"/>
          <w:sz w:val="24"/>
          <w:szCs w:val="24"/>
        </w:rPr>
        <w:t>a</w:t>
      </w:r>
      <w:r w:rsidR="00027F60">
        <w:rPr>
          <w:rFonts w:ascii="Arial" w:hAnsi="Arial" w:cs="Arial"/>
          <w:sz w:val="24"/>
          <w:szCs w:val="24"/>
        </w:rPr>
        <w:t xml:space="preserve">ppeal </w:t>
      </w:r>
      <w:r w:rsidR="00270748">
        <w:rPr>
          <w:rFonts w:ascii="Arial" w:hAnsi="Arial" w:cs="Arial"/>
          <w:sz w:val="24"/>
          <w:szCs w:val="24"/>
        </w:rPr>
        <w:t xml:space="preserve">in which </w:t>
      </w:r>
      <w:r w:rsidR="00027F60">
        <w:rPr>
          <w:rFonts w:ascii="Arial" w:hAnsi="Arial" w:cs="Arial"/>
          <w:sz w:val="24"/>
          <w:szCs w:val="24"/>
        </w:rPr>
        <w:t>t</w:t>
      </w:r>
      <w:r w:rsidR="000D4F3C">
        <w:rPr>
          <w:rFonts w:ascii="Arial" w:hAnsi="Arial" w:cs="Arial"/>
          <w:sz w:val="24"/>
          <w:szCs w:val="24"/>
        </w:rPr>
        <w:t xml:space="preserve">he costs should follow the result. There was no suggestion by counsel </w:t>
      </w:r>
      <w:r w:rsidR="00BE3394">
        <w:rPr>
          <w:rFonts w:ascii="Arial" w:hAnsi="Arial" w:cs="Arial"/>
          <w:sz w:val="24"/>
          <w:szCs w:val="24"/>
        </w:rPr>
        <w:t>to the contrary and such order shall thus be granted.</w:t>
      </w:r>
    </w:p>
    <w:p w14:paraId="5B840B04" w14:textId="77777777" w:rsidR="00F73688" w:rsidRDefault="00F73688" w:rsidP="00F7368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3A78BEA" w14:textId="08C2ACE2" w:rsidR="00EE1676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[63]</w:t>
      </w:r>
      <w:r>
        <w:rPr>
          <w:rFonts w:ascii="Arial" w:hAnsi="Arial" w:cs="Arial"/>
          <w:sz w:val="24"/>
          <w:szCs w:val="24"/>
        </w:rPr>
        <w:tab/>
      </w:r>
      <w:r w:rsidR="00F73688">
        <w:rPr>
          <w:rFonts w:ascii="Arial" w:hAnsi="Arial" w:cs="Arial"/>
          <w:sz w:val="24"/>
          <w:szCs w:val="24"/>
        </w:rPr>
        <w:t>As far as the application to adduce further evidence is concerned which stands to be dismissed</w:t>
      </w:r>
      <w:r w:rsidR="00DA381F">
        <w:rPr>
          <w:rFonts w:ascii="Arial" w:hAnsi="Arial" w:cs="Arial"/>
          <w:sz w:val="24"/>
          <w:szCs w:val="24"/>
        </w:rPr>
        <w:t>,</w:t>
      </w:r>
      <w:r w:rsidR="009B2CD7">
        <w:rPr>
          <w:rFonts w:ascii="Arial" w:hAnsi="Arial" w:cs="Arial"/>
          <w:sz w:val="24"/>
          <w:szCs w:val="24"/>
        </w:rPr>
        <w:t xml:space="preserve"> it was submitted on behalf of NPS that </w:t>
      </w:r>
      <w:r w:rsidR="00270748">
        <w:rPr>
          <w:rFonts w:ascii="Arial" w:hAnsi="Arial" w:cs="Arial"/>
          <w:sz w:val="24"/>
          <w:szCs w:val="24"/>
        </w:rPr>
        <w:t xml:space="preserve">a </w:t>
      </w:r>
      <w:r w:rsidR="00C373DE">
        <w:rPr>
          <w:rFonts w:ascii="Arial" w:hAnsi="Arial" w:cs="Arial"/>
          <w:sz w:val="24"/>
          <w:szCs w:val="24"/>
        </w:rPr>
        <w:t xml:space="preserve">costs </w:t>
      </w:r>
      <w:r w:rsidR="009B2CD7">
        <w:rPr>
          <w:rFonts w:ascii="Arial" w:hAnsi="Arial" w:cs="Arial"/>
          <w:sz w:val="24"/>
          <w:szCs w:val="24"/>
        </w:rPr>
        <w:t>order</w:t>
      </w:r>
      <w:r w:rsidR="00C373DE">
        <w:rPr>
          <w:rFonts w:ascii="Arial" w:hAnsi="Arial" w:cs="Arial"/>
          <w:sz w:val="24"/>
          <w:szCs w:val="24"/>
        </w:rPr>
        <w:t xml:space="preserve"> be granted allowing </w:t>
      </w:r>
      <w:r w:rsidR="008E671A">
        <w:rPr>
          <w:rFonts w:ascii="Arial" w:hAnsi="Arial" w:cs="Arial"/>
          <w:sz w:val="24"/>
          <w:szCs w:val="24"/>
        </w:rPr>
        <w:t xml:space="preserve">the </w:t>
      </w:r>
      <w:r w:rsidR="00C373DE">
        <w:rPr>
          <w:rFonts w:ascii="Arial" w:hAnsi="Arial" w:cs="Arial"/>
          <w:sz w:val="24"/>
          <w:szCs w:val="24"/>
        </w:rPr>
        <w:t xml:space="preserve">costs of two instructed counsel </w:t>
      </w:r>
      <w:r w:rsidR="00976B2F">
        <w:rPr>
          <w:rFonts w:ascii="Arial" w:hAnsi="Arial" w:cs="Arial"/>
          <w:sz w:val="24"/>
          <w:szCs w:val="24"/>
        </w:rPr>
        <w:t xml:space="preserve">to oppose this application. In view of the time spent </w:t>
      </w:r>
      <w:r w:rsidR="008E671A">
        <w:rPr>
          <w:rFonts w:ascii="Arial" w:hAnsi="Arial" w:cs="Arial"/>
          <w:sz w:val="24"/>
          <w:szCs w:val="24"/>
        </w:rPr>
        <w:t>on it</w:t>
      </w:r>
      <w:r w:rsidR="00976B2F">
        <w:rPr>
          <w:rFonts w:ascii="Arial" w:hAnsi="Arial" w:cs="Arial"/>
          <w:sz w:val="24"/>
          <w:szCs w:val="24"/>
        </w:rPr>
        <w:t xml:space="preserve">, the nature </w:t>
      </w:r>
      <w:r w:rsidR="00AB0E7B">
        <w:rPr>
          <w:rFonts w:ascii="Arial" w:hAnsi="Arial" w:cs="Arial"/>
          <w:sz w:val="24"/>
          <w:szCs w:val="24"/>
        </w:rPr>
        <w:t xml:space="preserve">of the evidence sought to </w:t>
      </w:r>
      <w:r w:rsidR="00E84F80">
        <w:rPr>
          <w:rFonts w:ascii="Arial" w:hAnsi="Arial" w:cs="Arial"/>
          <w:sz w:val="24"/>
          <w:szCs w:val="24"/>
        </w:rPr>
        <w:t xml:space="preserve">be </w:t>
      </w:r>
      <w:r w:rsidR="00AB0E7B">
        <w:rPr>
          <w:rFonts w:ascii="Arial" w:hAnsi="Arial" w:cs="Arial"/>
          <w:sz w:val="24"/>
          <w:szCs w:val="24"/>
        </w:rPr>
        <w:t>adduced</w:t>
      </w:r>
      <w:r w:rsidR="00E84F80">
        <w:rPr>
          <w:rFonts w:ascii="Arial" w:hAnsi="Arial" w:cs="Arial"/>
          <w:sz w:val="24"/>
          <w:szCs w:val="24"/>
        </w:rPr>
        <w:t xml:space="preserve"> and the issues raised in opposition </w:t>
      </w:r>
      <w:r w:rsidR="00FC38CD">
        <w:rPr>
          <w:rFonts w:ascii="Arial" w:hAnsi="Arial" w:cs="Arial"/>
          <w:sz w:val="24"/>
          <w:szCs w:val="24"/>
        </w:rPr>
        <w:t>thereto</w:t>
      </w:r>
      <w:r w:rsidR="00DA381F">
        <w:rPr>
          <w:rFonts w:ascii="Arial" w:hAnsi="Arial" w:cs="Arial"/>
          <w:sz w:val="24"/>
          <w:szCs w:val="24"/>
        </w:rPr>
        <w:t>,</w:t>
      </w:r>
      <w:r w:rsidR="00FC38CD">
        <w:rPr>
          <w:rFonts w:ascii="Arial" w:hAnsi="Arial" w:cs="Arial"/>
          <w:sz w:val="24"/>
          <w:szCs w:val="24"/>
        </w:rPr>
        <w:t xml:space="preserve"> I do not think that it warranted the emplo</w:t>
      </w:r>
      <w:r w:rsidR="00C518E8">
        <w:rPr>
          <w:rFonts w:ascii="Arial" w:hAnsi="Arial" w:cs="Arial"/>
          <w:sz w:val="24"/>
          <w:szCs w:val="24"/>
        </w:rPr>
        <w:t>yment of two instructed counsel and will grant an order that will include one instructed counsel</w:t>
      </w:r>
      <w:r w:rsidR="00EE1676">
        <w:rPr>
          <w:rFonts w:ascii="Arial" w:hAnsi="Arial" w:cs="Arial"/>
          <w:sz w:val="24"/>
          <w:szCs w:val="24"/>
        </w:rPr>
        <w:t xml:space="preserve"> only.</w:t>
      </w:r>
    </w:p>
    <w:p w14:paraId="7DAF8CAF" w14:textId="77777777" w:rsidR="00EE1676" w:rsidRPr="00FE12BA" w:rsidRDefault="00EE1676" w:rsidP="0074233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2B51F5E" w14:textId="546A3010" w:rsidR="00EE1676" w:rsidRDefault="007F576E" w:rsidP="007F576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[64]</w:t>
      </w:r>
      <w:r>
        <w:rPr>
          <w:rFonts w:ascii="Arial" w:hAnsi="Arial" w:cs="Arial"/>
          <w:sz w:val="24"/>
          <w:szCs w:val="24"/>
        </w:rPr>
        <w:tab/>
      </w:r>
      <w:r w:rsidR="00EE1676">
        <w:rPr>
          <w:rFonts w:ascii="Arial" w:hAnsi="Arial" w:cs="Arial"/>
          <w:sz w:val="24"/>
          <w:szCs w:val="24"/>
        </w:rPr>
        <w:t>In the result</w:t>
      </w:r>
      <w:r w:rsidR="001E517E">
        <w:rPr>
          <w:rFonts w:ascii="Arial" w:hAnsi="Arial" w:cs="Arial"/>
          <w:sz w:val="24"/>
          <w:szCs w:val="24"/>
        </w:rPr>
        <w:t>,</w:t>
      </w:r>
      <w:r w:rsidR="00EE1676">
        <w:rPr>
          <w:rFonts w:ascii="Arial" w:hAnsi="Arial" w:cs="Arial"/>
          <w:sz w:val="24"/>
          <w:szCs w:val="24"/>
        </w:rPr>
        <w:t xml:space="preserve"> I make the following order:</w:t>
      </w:r>
    </w:p>
    <w:p w14:paraId="0981347D" w14:textId="77777777" w:rsidR="00EE1676" w:rsidRDefault="00EE1676" w:rsidP="0074233D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3CC762FF" w14:textId="20A77CC4" w:rsidR="0074233D" w:rsidRDefault="007F576E" w:rsidP="007F576E">
      <w:pPr>
        <w:pStyle w:val="NoSpacing"/>
        <w:spacing w:line="48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2F7BD0">
        <w:rPr>
          <w:rFonts w:ascii="Arial" w:hAnsi="Arial" w:cs="Arial"/>
          <w:sz w:val="24"/>
          <w:szCs w:val="24"/>
        </w:rPr>
        <w:t xml:space="preserve">The application to adduce further evidence is dismissed with costs inclusive of the costs </w:t>
      </w:r>
      <w:r w:rsidR="003457AC">
        <w:rPr>
          <w:rFonts w:ascii="Arial" w:hAnsi="Arial" w:cs="Arial"/>
          <w:sz w:val="24"/>
          <w:szCs w:val="24"/>
        </w:rPr>
        <w:t>of one instructing and one instructed counsel.</w:t>
      </w:r>
    </w:p>
    <w:p w14:paraId="482DA455" w14:textId="77777777" w:rsidR="0074233D" w:rsidRPr="0074233D" w:rsidRDefault="0074233D" w:rsidP="0074233D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A062699" w14:textId="67ED962F" w:rsidR="001F2325" w:rsidRPr="00367DA8" w:rsidRDefault="007F576E" w:rsidP="007F576E">
      <w:pPr>
        <w:pStyle w:val="NoSpacing"/>
        <w:spacing w:line="48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367DA8">
        <w:rPr>
          <w:rFonts w:ascii="Arial" w:hAnsi="Arial" w:cs="Arial"/>
          <w:sz w:val="24"/>
          <w:szCs w:val="24"/>
        </w:rPr>
        <w:t>2.</w:t>
      </w:r>
      <w:r w:rsidRPr="00367DA8">
        <w:rPr>
          <w:rFonts w:ascii="Arial" w:hAnsi="Arial" w:cs="Arial"/>
          <w:sz w:val="24"/>
          <w:szCs w:val="24"/>
        </w:rPr>
        <w:tab/>
      </w:r>
      <w:r w:rsidR="003457AC">
        <w:rPr>
          <w:rFonts w:ascii="Arial" w:hAnsi="Arial" w:cs="Arial"/>
          <w:sz w:val="24"/>
          <w:szCs w:val="24"/>
        </w:rPr>
        <w:t xml:space="preserve">The appeal is dismissed with costs </w:t>
      </w:r>
      <w:r w:rsidR="00C7187C">
        <w:rPr>
          <w:rFonts w:ascii="Arial" w:hAnsi="Arial" w:cs="Arial"/>
          <w:sz w:val="24"/>
          <w:szCs w:val="24"/>
        </w:rPr>
        <w:t>inclusive of the costs of one instructing and one instructed counsel.</w:t>
      </w:r>
    </w:p>
    <w:p w14:paraId="79038DA0" w14:textId="77777777" w:rsidR="0074233D" w:rsidRDefault="0074233D" w:rsidP="001F232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5D2F5C" w14:textId="77777777" w:rsidR="00FE12BA" w:rsidRDefault="00FE12BA" w:rsidP="001F232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EE9631" w14:textId="77777777" w:rsidR="0074233D" w:rsidRDefault="0074233D" w:rsidP="001F232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04B15D" w14:textId="77777777" w:rsidR="0074233D" w:rsidRPr="00991107" w:rsidRDefault="0074233D" w:rsidP="001F232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151547" w14:textId="77777777" w:rsidR="001F2325" w:rsidRPr="00F4471E" w:rsidRDefault="001F2325" w:rsidP="001F232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1FDE0C21" w14:textId="77777777" w:rsidR="0074233D" w:rsidRDefault="001F2325" w:rsidP="001F2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FRANK AJA</w:t>
      </w:r>
    </w:p>
    <w:p w14:paraId="2483FE78" w14:textId="77777777" w:rsidR="0074233D" w:rsidRDefault="0074233D" w:rsidP="001F2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60913" w14:textId="77777777" w:rsidR="0074233D" w:rsidRDefault="0074233D" w:rsidP="001F23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5702AF" w14:textId="77777777" w:rsidR="0074233D" w:rsidRDefault="0074233D" w:rsidP="001F23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0EB2E3" w14:textId="77777777" w:rsidR="0074233D" w:rsidRDefault="0074233D" w:rsidP="001F23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F19AF7" w14:textId="77777777" w:rsidR="0074233D" w:rsidRDefault="0074233D" w:rsidP="001F23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D2A9CE" w14:textId="77777777" w:rsidR="001F2325" w:rsidRDefault="001F2325" w:rsidP="001F23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5CC926E4" w14:textId="77777777" w:rsidR="001F2325" w:rsidRPr="00B144F6" w:rsidRDefault="00434034" w:rsidP="00B144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SMUTS </w:t>
      </w:r>
      <w:r w:rsidR="00B144F6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A</w:t>
      </w:r>
    </w:p>
    <w:p w14:paraId="2BE5D7C4" w14:textId="77777777" w:rsidR="001F2325" w:rsidRPr="001F2325" w:rsidRDefault="001F2325" w:rsidP="00FE12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933300" w14:textId="77777777" w:rsidR="001F2325" w:rsidRDefault="001F2325" w:rsidP="00FE12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1854B3" w14:textId="77777777" w:rsidR="0074233D" w:rsidRPr="001F2325" w:rsidRDefault="0074233D" w:rsidP="00FE12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763EBA" w14:textId="77777777" w:rsidR="00FE12BA" w:rsidRDefault="00FE12BA" w:rsidP="00FE1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14E65" w14:textId="77777777" w:rsidR="0074233D" w:rsidRPr="00B61908" w:rsidRDefault="0074233D" w:rsidP="00FE1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956F4" w14:textId="77777777" w:rsidR="00F16314" w:rsidRDefault="00F16314" w:rsidP="00F163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18C99573" w14:textId="77777777" w:rsidR="00F16314" w:rsidRPr="00CB399C" w:rsidRDefault="00D45DA0" w:rsidP="00F16314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ANGULA AJA</w:t>
      </w:r>
    </w:p>
    <w:p w14:paraId="08772935" w14:textId="77777777" w:rsidR="00F16314" w:rsidRDefault="00F16314" w:rsidP="00F16314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F16314" w:rsidRPr="00597805" w14:paraId="50EAE0A4" w14:textId="77777777" w:rsidTr="0054296F">
        <w:tc>
          <w:tcPr>
            <w:tcW w:w="4514" w:type="dxa"/>
          </w:tcPr>
          <w:p w14:paraId="5E749438" w14:textId="77777777" w:rsidR="00F16314" w:rsidRDefault="00FE12BA" w:rsidP="00FE12BA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  <w:r w:rsidRPr="00F4471E">
              <w:rPr>
                <w:rFonts w:ascii="Arial" w:hAnsi="Arial" w:cs="Arial"/>
              </w:rPr>
              <w:t>APPEARANCES</w:t>
            </w:r>
          </w:p>
          <w:p w14:paraId="39670A80" w14:textId="77777777" w:rsidR="0074233D" w:rsidRPr="00597805" w:rsidRDefault="0074233D" w:rsidP="00FE12BA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410AA864" w14:textId="77777777" w:rsidR="00F16314" w:rsidRPr="00597805" w:rsidRDefault="00F16314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16314" w:rsidRPr="00597805" w14:paraId="769C8121" w14:textId="77777777" w:rsidTr="0054296F">
        <w:tc>
          <w:tcPr>
            <w:tcW w:w="4514" w:type="dxa"/>
          </w:tcPr>
          <w:p w14:paraId="5DB8C506" w14:textId="77777777" w:rsidR="00F16314" w:rsidRPr="00597805" w:rsidRDefault="00FE12BA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  <w:r w:rsidRPr="00782154">
              <w:rPr>
                <w:rFonts w:ascii="Arial" w:hAnsi="Arial" w:cs="Arial"/>
                <w:color w:val="000000" w:themeColor="text1"/>
              </w:rPr>
              <w:t>APPELLANT:</w:t>
            </w:r>
          </w:p>
        </w:tc>
        <w:tc>
          <w:tcPr>
            <w:tcW w:w="4512" w:type="dxa"/>
          </w:tcPr>
          <w:p w14:paraId="146B6208" w14:textId="77777777" w:rsidR="00F16314" w:rsidRPr="00597805" w:rsidRDefault="00A7719E" w:rsidP="00A7719E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017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Fitzgerald, SC</w:t>
            </w:r>
            <w:r w:rsidRPr="008017FE">
              <w:rPr>
                <w:rFonts w:ascii="Arial" w:hAnsi="Arial" w:cs="Arial"/>
              </w:rPr>
              <w:t xml:space="preserve"> (with him </w:t>
            </w:r>
            <w:r>
              <w:rPr>
                <w:rFonts w:ascii="Arial" w:hAnsi="Arial" w:cs="Arial"/>
              </w:rPr>
              <w:t>G Dicks</w:t>
            </w:r>
            <w:r w:rsidRPr="008017FE">
              <w:rPr>
                <w:rFonts w:ascii="Arial" w:hAnsi="Arial" w:cs="Arial"/>
              </w:rPr>
              <w:t>)</w:t>
            </w:r>
          </w:p>
        </w:tc>
      </w:tr>
      <w:tr w:rsidR="00F16314" w:rsidRPr="00597805" w14:paraId="75496F9D" w14:textId="77777777" w:rsidTr="000037E6">
        <w:trPr>
          <w:trHeight w:val="314"/>
        </w:trPr>
        <w:tc>
          <w:tcPr>
            <w:tcW w:w="4514" w:type="dxa"/>
          </w:tcPr>
          <w:p w14:paraId="6D12BFFA" w14:textId="77777777" w:rsidR="00F16314" w:rsidRPr="00597805" w:rsidRDefault="00F16314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035BD6BB" w14:textId="77777777" w:rsidR="00F16314" w:rsidRPr="00597805" w:rsidRDefault="00A7719E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8017FE">
              <w:rPr>
                <w:rFonts w:ascii="Arial" w:hAnsi="Arial" w:cs="Arial"/>
              </w:rPr>
              <w:t>Instructed by</w:t>
            </w:r>
            <w:r>
              <w:rPr>
                <w:rFonts w:ascii="Arial" w:hAnsi="Arial" w:cs="Arial"/>
              </w:rPr>
              <w:t xml:space="preserve"> Koep &amp; Partners</w:t>
            </w:r>
          </w:p>
        </w:tc>
      </w:tr>
      <w:tr w:rsidR="000037E6" w:rsidRPr="00597805" w14:paraId="0676C34F" w14:textId="77777777" w:rsidTr="000037E6">
        <w:trPr>
          <w:trHeight w:val="335"/>
        </w:trPr>
        <w:tc>
          <w:tcPr>
            <w:tcW w:w="4514" w:type="dxa"/>
          </w:tcPr>
          <w:p w14:paraId="1D4BD645" w14:textId="77777777" w:rsidR="000037E6" w:rsidRPr="00597805" w:rsidRDefault="000037E6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0167CED7" w14:textId="77777777" w:rsidR="000037E6" w:rsidRPr="008017FE" w:rsidRDefault="000037E6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C6006" w:rsidRPr="00597805" w14:paraId="151EAE57" w14:textId="77777777" w:rsidTr="0054296F">
        <w:tc>
          <w:tcPr>
            <w:tcW w:w="4514" w:type="dxa"/>
          </w:tcPr>
          <w:p w14:paraId="152F5FD5" w14:textId="77777777" w:rsidR="005C6006" w:rsidRPr="00597805" w:rsidRDefault="00FE12BA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FIRST </w:t>
            </w:r>
            <w:r w:rsidRPr="00782154">
              <w:rPr>
                <w:rFonts w:ascii="Arial" w:hAnsi="Arial" w:cs="Arial"/>
                <w:color w:val="000000" w:themeColor="text1"/>
              </w:rPr>
              <w:t>RESPONDENT:</w:t>
            </w:r>
          </w:p>
        </w:tc>
        <w:tc>
          <w:tcPr>
            <w:tcW w:w="4512" w:type="dxa"/>
          </w:tcPr>
          <w:p w14:paraId="557C1AD8" w14:textId="77777777" w:rsidR="005C6006" w:rsidRPr="00597805" w:rsidRDefault="00A7719E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Chibwana</w:t>
            </w:r>
          </w:p>
        </w:tc>
      </w:tr>
      <w:tr w:rsidR="005C6006" w:rsidRPr="00597805" w14:paraId="74C8B883" w14:textId="77777777" w:rsidTr="00A7719E">
        <w:trPr>
          <w:trHeight w:val="1052"/>
        </w:trPr>
        <w:tc>
          <w:tcPr>
            <w:tcW w:w="4514" w:type="dxa"/>
          </w:tcPr>
          <w:p w14:paraId="5512EB70" w14:textId="77777777" w:rsidR="005C6006" w:rsidRPr="00597805" w:rsidRDefault="005C6006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51DF0B7E" w14:textId="77777777" w:rsidR="005C6006" w:rsidRPr="00597805" w:rsidRDefault="00A7719E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Instructed by Appolos Shimakeleni Lawyers</w:t>
            </w:r>
          </w:p>
        </w:tc>
      </w:tr>
      <w:tr w:rsidR="000037E6" w:rsidRPr="00597805" w14:paraId="3EF782BB" w14:textId="77777777" w:rsidTr="000037E6">
        <w:trPr>
          <w:trHeight w:val="381"/>
        </w:trPr>
        <w:tc>
          <w:tcPr>
            <w:tcW w:w="4514" w:type="dxa"/>
          </w:tcPr>
          <w:p w14:paraId="535B6E54" w14:textId="77777777" w:rsidR="000037E6" w:rsidRPr="00597805" w:rsidRDefault="000037E6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75A4665A" w14:textId="77777777" w:rsidR="000037E6" w:rsidRDefault="000037E6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16314" w:rsidRPr="00597805" w14:paraId="2E274FC6" w14:textId="77777777" w:rsidTr="0054296F">
        <w:tc>
          <w:tcPr>
            <w:tcW w:w="4514" w:type="dxa"/>
          </w:tcPr>
          <w:p w14:paraId="385F1979" w14:textId="77777777" w:rsidR="00F16314" w:rsidRPr="00597805" w:rsidRDefault="00FE12BA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AND THIRD RESPONDENTS:</w:t>
            </w:r>
          </w:p>
        </w:tc>
        <w:tc>
          <w:tcPr>
            <w:tcW w:w="4512" w:type="dxa"/>
          </w:tcPr>
          <w:p w14:paraId="3361131F" w14:textId="77777777" w:rsidR="00F16314" w:rsidRPr="00597805" w:rsidRDefault="00A7719E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Ncube</w:t>
            </w:r>
          </w:p>
        </w:tc>
      </w:tr>
      <w:tr w:rsidR="00FE12BA" w:rsidRPr="00597805" w14:paraId="0D4F2DB0" w14:textId="77777777" w:rsidTr="0054296F">
        <w:tc>
          <w:tcPr>
            <w:tcW w:w="4514" w:type="dxa"/>
          </w:tcPr>
          <w:p w14:paraId="352C2BA8" w14:textId="77777777" w:rsidR="00FE12BA" w:rsidRPr="00597805" w:rsidRDefault="00FE12BA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7A93A5DE" w14:textId="77777777" w:rsidR="00FE12BA" w:rsidRPr="00597805" w:rsidRDefault="000037E6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</w:t>
            </w:r>
            <w:r w:rsidR="00A7719E">
              <w:rPr>
                <w:rFonts w:ascii="Arial" w:hAnsi="Arial" w:cs="Arial"/>
              </w:rPr>
              <w:t xml:space="preserve">Government Attorney </w:t>
            </w:r>
          </w:p>
        </w:tc>
      </w:tr>
      <w:tr w:rsidR="000037E6" w:rsidRPr="00597805" w14:paraId="0A88468B" w14:textId="77777777" w:rsidTr="000037E6">
        <w:trPr>
          <w:trHeight w:val="291"/>
        </w:trPr>
        <w:tc>
          <w:tcPr>
            <w:tcW w:w="4514" w:type="dxa"/>
          </w:tcPr>
          <w:p w14:paraId="31986C1D" w14:textId="77777777" w:rsidR="000037E6" w:rsidRPr="00597805" w:rsidRDefault="000037E6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3F7870B3" w14:textId="77777777" w:rsidR="000037E6" w:rsidRDefault="000037E6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12BA" w:rsidRPr="00597805" w14:paraId="2F891F83" w14:textId="77777777" w:rsidTr="0054296F">
        <w:tc>
          <w:tcPr>
            <w:tcW w:w="4514" w:type="dxa"/>
          </w:tcPr>
          <w:p w14:paraId="2906E8DC" w14:textId="77777777" w:rsidR="00FE12BA" w:rsidRPr="00597805" w:rsidRDefault="007C3604" w:rsidP="007C3604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FIFT</w:t>
            </w:r>
            <w:r w:rsidR="00FE12BA">
              <w:rPr>
                <w:rFonts w:ascii="Arial" w:hAnsi="Arial" w:cs="Arial"/>
              </w:rPr>
              <w:t>H RESPONDENT:</w:t>
            </w:r>
          </w:p>
        </w:tc>
        <w:tc>
          <w:tcPr>
            <w:tcW w:w="4512" w:type="dxa"/>
          </w:tcPr>
          <w:p w14:paraId="092019C4" w14:textId="77777777" w:rsidR="00FE12BA" w:rsidRPr="00597805" w:rsidRDefault="00A7719E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Luvindao</w:t>
            </w:r>
          </w:p>
        </w:tc>
      </w:tr>
      <w:tr w:rsidR="00A7719E" w:rsidRPr="00597805" w14:paraId="5FC6CBE5" w14:textId="77777777" w:rsidTr="0054296F">
        <w:tc>
          <w:tcPr>
            <w:tcW w:w="4514" w:type="dxa"/>
          </w:tcPr>
          <w:p w14:paraId="3A8ABDFB" w14:textId="77777777" w:rsidR="00A7719E" w:rsidRDefault="00A7719E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77A71468" w14:textId="77777777" w:rsidR="00A7719E" w:rsidRDefault="000037E6" w:rsidP="00CA5EE7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Dr. Weder, Kauta &amp; Hoveka</w:t>
            </w:r>
            <w:r w:rsidR="001C4BB8">
              <w:rPr>
                <w:rFonts w:ascii="Arial" w:hAnsi="Arial" w:cs="Arial"/>
              </w:rPr>
              <w:t xml:space="preserve"> Inc.</w:t>
            </w:r>
          </w:p>
        </w:tc>
      </w:tr>
    </w:tbl>
    <w:p w14:paraId="6889029B" w14:textId="77777777" w:rsidR="005301EF" w:rsidRDefault="005301EF"/>
    <w:sectPr w:rsidR="005301EF" w:rsidSect="005C6006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C690" w14:textId="77777777" w:rsidR="00270219" w:rsidRDefault="00270219" w:rsidP="00F16314">
      <w:pPr>
        <w:spacing w:after="0" w:line="240" w:lineRule="auto"/>
      </w:pPr>
      <w:r>
        <w:separator/>
      </w:r>
    </w:p>
  </w:endnote>
  <w:endnote w:type="continuationSeparator" w:id="0">
    <w:p w14:paraId="72FFB150" w14:textId="77777777" w:rsidR="00270219" w:rsidRDefault="00270219" w:rsidP="00F1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ED19" w14:textId="77777777" w:rsidR="00270219" w:rsidRDefault="00270219" w:rsidP="00F16314">
      <w:pPr>
        <w:spacing w:after="0" w:line="240" w:lineRule="auto"/>
      </w:pPr>
      <w:r>
        <w:separator/>
      </w:r>
    </w:p>
  </w:footnote>
  <w:footnote w:type="continuationSeparator" w:id="0">
    <w:p w14:paraId="2625935B" w14:textId="77777777" w:rsidR="00270219" w:rsidRDefault="00270219" w:rsidP="00F16314">
      <w:pPr>
        <w:spacing w:after="0" w:line="240" w:lineRule="auto"/>
      </w:pPr>
      <w:r>
        <w:continuationSeparator/>
      </w:r>
    </w:p>
  </w:footnote>
  <w:footnote w:id="1">
    <w:p w14:paraId="32A63DB8" w14:textId="77777777" w:rsidR="00BF6EDF" w:rsidRPr="00BF6EDF" w:rsidRDefault="00BF6EDF">
      <w:pPr>
        <w:pStyle w:val="FootnoteText"/>
        <w:rPr>
          <w:rFonts w:ascii="Arial" w:hAnsi="Arial" w:cs="Arial"/>
          <w:lang w:val="en-US"/>
        </w:rPr>
      </w:pPr>
      <w:r w:rsidRPr="00BF6EDF">
        <w:rPr>
          <w:rStyle w:val="FootnoteReference"/>
          <w:rFonts w:ascii="Arial" w:hAnsi="Arial" w:cs="Arial"/>
        </w:rPr>
        <w:footnoteRef/>
      </w:r>
      <w:r w:rsidRPr="00BF6EDF">
        <w:rPr>
          <w:rFonts w:ascii="Arial" w:hAnsi="Arial" w:cs="Arial"/>
        </w:rPr>
        <w:t xml:space="preserve"> </w:t>
      </w:r>
      <w:r w:rsidRPr="00BF6EDF">
        <w:rPr>
          <w:rFonts w:ascii="Arial" w:hAnsi="Arial" w:cs="Arial"/>
          <w:lang w:val="en-US"/>
        </w:rPr>
        <w:t>Public Procurement Regulations, GN 47/2017, GG 6255, 1 April 2017.</w:t>
      </w:r>
    </w:p>
  </w:footnote>
  <w:footnote w:id="2">
    <w:p w14:paraId="2E9A8FB1" w14:textId="77777777" w:rsidR="00D61396" w:rsidRPr="00F640A3" w:rsidRDefault="00D61396" w:rsidP="00F640A3">
      <w:pPr>
        <w:pStyle w:val="FootnoteText"/>
        <w:jc w:val="both"/>
        <w:rPr>
          <w:rFonts w:ascii="Arial" w:hAnsi="Arial" w:cs="Arial"/>
        </w:rPr>
      </w:pPr>
      <w:r w:rsidRPr="00F640A3">
        <w:rPr>
          <w:rStyle w:val="FootnoteReference"/>
          <w:rFonts w:ascii="Arial" w:hAnsi="Arial" w:cs="Arial"/>
        </w:rPr>
        <w:footnoteRef/>
      </w:r>
      <w:r w:rsidRPr="00F640A3">
        <w:rPr>
          <w:rFonts w:ascii="Arial" w:hAnsi="Arial" w:cs="Arial"/>
        </w:rPr>
        <w:t xml:space="preserve"> </w:t>
      </w:r>
      <w:r w:rsidRPr="00F640A3">
        <w:rPr>
          <w:rFonts w:ascii="Arial" w:hAnsi="Arial" w:cs="Arial"/>
          <w:i/>
        </w:rPr>
        <w:t>Safcor Forwarding (Johannesburg)</w:t>
      </w:r>
      <w:r w:rsidR="00F640A3">
        <w:rPr>
          <w:rFonts w:ascii="Arial" w:hAnsi="Arial" w:cs="Arial"/>
          <w:i/>
        </w:rPr>
        <w:t xml:space="preserve"> </w:t>
      </w:r>
      <w:r w:rsidRPr="00F640A3">
        <w:rPr>
          <w:rFonts w:ascii="Arial" w:hAnsi="Arial" w:cs="Arial"/>
          <w:i/>
        </w:rPr>
        <w:t xml:space="preserve">(Pty) Ltd v National Transport Commission </w:t>
      </w:r>
      <w:r w:rsidRPr="00F640A3">
        <w:rPr>
          <w:rFonts w:ascii="Arial" w:hAnsi="Arial" w:cs="Arial"/>
        </w:rPr>
        <w:t>1982 (3)</w:t>
      </w:r>
      <w:r w:rsidR="00F640A3">
        <w:rPr>
          <w:rFonts w:ascii="Arial" w:hAnsi="Arial" w:cs="Arial"/>
        </w:rPr>
        <w:t xml:space="preserve"> SA 654</w:t>
      </w:r>
      <w:r w:rsidR="00264832">
        <w:rPr>
          <w:rFonts w:ascii="Arial" w:hAnsi="Arial" w:cs="Arial"/>
        </w:rPr>
        <w:t xml:space="preserve"> (A</w:t>
      </w:r>
      <w:r w:rsidR="00F640A3">
        <w:rPr>
          <w:rFonts w:ascii="Arial" w:hAnsi="Arial" w:cs="Arial"/>
        </w:rPr>
        <w:t>) at 671A-671</w:t>
      </w:r>
      <w:r w:rsidRPr="00F640A3">
        <w:rPr>
          <w:rFonts w:ascii="Arial" w:hAnsi="Arial" w:cs="Arial"/>
        </w:rPr>
        <w:t xml:space="preserve">F. See also </w:t>
      </w:r>
      <w:r w:rsidRPr="00F640A3">
        <w:rPr>
          <w:rFonts w:ascii="Arial" w:hAnsi="Arial" w:cs="Arial"/>
          <w:i/>
        </w:rPr>
        <w:t>Seagull’s Cry CC v Council of th</w:t>
      </w:r>
      <w:r w:rsidR="00F640A3">
        <w:rPr>
          <w:rFonts w:ascii="Arial" w:hAnsi="Arial" w:cs="Arial"/>
          <w:i/>
        </w:rPr>
        <w:t>e Municipality of Swakopmund &amp;</w:t>
      </w:r>
      <w:r w:rsidRPr="00F640A3">
        <w:rPr>
          <w:rFonts w:ascii="Arial" w:hAnsi="Arial" w:cs="Arial"/>
          <w:i/>
        </w:rPr>
        <w:t xml:space="preserve"> </w:t>
      </w:r>
      <w:r w:rsidR="00416942">
        <w:rPr>
          <w:rFonts w:ascii="Arial" w:hAnsi="Arial" w:cs="Arial"/>
          <w:i/>
        </w:rPr>
        <w:t>o</w:t>
      </w:r>
      <w:r w:rsidRPr="00F640A3">
        <w:rPr>
          <w:rFonts w:ascii="Arial" w:hAnsi="Arial" w:cs="Arial"/>
          <w:i/>
        </w:rPr>
        <w:t>ther</w:t>
      </w:r>
      <w:r w:rsidR="00F640A3">
        <w:rPr>
          <w:rFonts w:ascii="Arial" w:hAnsi="Arial" w:cs="Arial"/>
          <w:i/>
        </w:rPr>
        <w:t>s</w:t>
      </w:r>
      <w:r w:rsidRPr="00F640A3">
        <w:rPr>
          <w:rFonts w:ascii="Arial" w:hAnsi="Arial" w:cs="Arial"/>
          <w:i/>
        </w:rPr>
        <w:t xml:space="preserve"> </w:t>
      </w:r>
      <w:r w:rsidR="00F640A3">
        <w:rPr>
          <w:rFonts w:ascii="Arial" w:hAnsi="Arial" w:cs="Arial"/>
        </w:rPr>
        <w:t>2009 (2) NR 769 (HC) paras 7-</w:t>
      </w:r>
      <w:r w:rsidRPr="00F640A3">
        <w:rPr>
          <w:rFonts w:ascii="Arial" w:hAnsi="Arial" w:cs="Arial"/>
        </w:rPr>
        <w:t xml:space="preserve">8, </w:t>
      </w:r>
      <w:r w:rsidRPr="00F640A3">
        <w:rPr>
          <w:rFonts w:ascii="Arial" w:hAnsi="Arial" w:cs="Arial"/>
          <w:i/>
        </w:rPr>
        <w:t>Firetech Systems CC v Namibian Airports Co</w:t>
      </w:r>
      <w:r w:rsidR="00F640A3">
        <w:rPr>
          <w:rFonts w:ascii="Arial" w:hAnsi="Arial" w:cs="Arial"/>
          <w:i/>
        </w:rPr>
        <w:t>mpany</w:t>
      </w:r>
      <w:r w:rsidR="00A53C95">
        <w:rPr>
          <w:rFonts w:ascii="Arial" w:hAnsi="Arial" w:cs="Arial"/>
          <w:i/>
        </w:rPr>
        <w:t xml:space="preserve"> Limited</w:t>
      </w:r>
      <w:r w:rsidR="00F640A3">
        <w:rPr>
          <w:rFonts w:ascii="Arial" w:hAnsi="Arial" w:cs="Arial"/>
          <w:i/>
        </w:rPr>
        <w:t xml:space="preserve"> &amp;</w:t>
      </w:r>
      <w:r w:rsidRPr="00F640A3">
        <w:rPr>
          <w:rFonts w:ascii="Arial" w:hAnsi="Arial" w:cs="Arial"/>
          <w:i/>
        </w:rPr>
        <w:t xml:space="preserve"> </w:t>
      </w:r>
      <w:r w:rsidR="00416942">
        <w:rPr>
          <w:rFonts w:ascii="Arial" w:hAnsi="Arial" w:cs="Arial"/>
          <w:i/>
        </w:rPr>
        <w:t>o</w:t>
      </w:r>
      <w:r w:rsidRPr="00F640A3">
        <w:rPr>
          <w:rFonts w:ascii="Arial" w:hAnsi="Arial" w:cs="Arial"/>
          <w:i/>
        </w:rPr>
        <w:t xml:space="preserve">thers </w:t>
      </w:r>
      <w:r w:rsidRPr="00F640A3">
        <w:rPr>
          <w:rFonts w:ascii="Arial" w:hAnsi="Arial" w:cs="Arial"/>
        </w:rPr>
        <w:t xml:space="preserve">2016 (3) NR 802 (HC) paras 24-36 and </w:t>
      </w:r>
      <w:r w:rsidRPr="00F640A3">
        <w:rPr>
          <w:rFonts w:ascii="Arial" w:hAnsi="Arial" w:cs="Arial"/>
          <w:i/>
        </w:rPr>
        <w:t xml:space="preserve">Babyface Civils CC </w:t>
      </w:r>
      <w:r w:rsidR="00E22721">
        <w:rPr>
          <w:rFonts w:ascii="Arial" w:hAnsi="Arial" w:cs="Arial"/>
          <w:i/>
        </w:rPr>
        <w:t xml:space="preserve">JV </w:t>
      </w:r>
      <w:r w:rsidRPr="00F640A3">
        <w:rPr>
          <w:rFonts w:ascii="Arial" w:hAnsi="Arial" w:cs="Arial"/>
          <w:i/>
        </w:rPr>
        <w:t xml:space="preserve">v //Kharas Regional Council </w:t>
      </w:r>
      <w:r w:rsidR="00F640A3">
        <w:rPr>
          <w:rFonts w:ascii="Arial" w:hAnsi="Arial" w:cs="Arial"/>
        </w:rPr>
        <w:t>2020 (1) NR 1 (SC) para</w:t>
      </w:r>
      <w:r w:rsidRPr="00F640A3">
        <w:rPr>
          <w:rFonts w:ascii="Arial" w:hAnsi="Arial" w:cs="Arial"/>
        </w:rPr>
        <w:t xml:space="preserve"> 10</w:t>
      </w:r>
      <w:r w:rsidR="00DC3BF2" w:rsidRPr="00F640A3">
        <w:rPr>
          <w:rFonts w:ascii="Arial" w:hAnsi="Arial" w:cs="Arial"/>
        </w:rPr>
        <w:t>.</w:t>
      </w:r>
    </w:p>
  </w:footnote>
  <w:footnote w:id="3">
    <w:p w14:paraId="7A873697" w14:textId="77777777" w:rsidR="00D61396" w:rsidRPr="005B7600" w:rsidRDefault="00D61396" w:rsidP="00F640A3">
      <w:pPr>
        <w:pStyle w:val="FootnoteText"/>
        <w:jc w:val="both"/>
        <w:rPr>
          <w:rFonts w:ascii="Arial" w:hAnsi="Arial" w:cs="Arial"/>
          <w:i/>
          <w:sz w:val="22"/>
          <w:szCs w:val="22"/>
        </w:rPr>
      </w:pPr>
      <w:r w:rsidRPr="00F640A3">
        <w:rPr>
          <w:rStyle w:val="FootnoteReference"/>
          <w:rFonts w:ascii="Arial" w:hAnsi="Arial" w:cs="Arial"/>
        </w:rPr>
        <w:footnoteRef/>
      </w:r>
      <w:r w:rsidRPr="00F640A3">
        <w:rPr>
          <w:rFonts w:ascii="Arial" w:hAnsi="Arial" w:cs="Arial"/>
        </w:rPr>
        <w:t xml:space="preserve"> </w:t>
      </w:r>
      <w:r w:rsidRPr="00F640A3">
        <w:rPr>
          <w:rFonts w:ascii="Arial" w:hAnsi="Arial" w:cs="Arial"/>
          <w:i/>
        </w:rPr>
        <w:t>S</w:t>
      </w:r>
      <w:r w:rsidR="00264832">
        <w:rPr>
          <w:rFonts w:ascii="Arial" w:hAnsi="Arial" w:cs="Arial"/>
          <w:i/>
        </w:rPr>
        <w:t xml:space="preserve">outh </w:t>
      </w:r>
      <w:r w:rsidRPr="00F640A3">
        <w:rPr>
          <w:rFonts w:ascii="Arial" w:hAnsi="Arial" w:cs="Arial"/>
          <w:i/>
        </w:rPr>
        <w:t>A</w:t>
      </w:r>
      <w:r w:rsidR="00264832">
        <w:rPr>
          <w:rFonts w:ascii="Arial" w:hAnsi="Arial" w:cs="Arial"/>
          <w:i/>
        </w:rPr>
        <w:t xml:space="preserve">frican </w:t>
      </w:r>
      <w:r w:rsidRPr="00F640A3">
        <w:rPr>
          <w:rFonts w:ascii="Arial" w:hAnsi="Arial" w:cs="Arial"/>
          <w:i/>
        </w:rPr>
        <w:t>R</w:t>
      </w:r>
      <w:r w:rsidR="00264832">
        <w:rPr>
          <w:rFonts w:ascii="Arial" w:hAnsi="Arial" w:cs="Arial"/>
          <w:i/>
        </w:rPr>
        <w:t>ailways</w:t>
      </w:r>
      <w:r w:rsidRPr="00F640A3">
        <w:rPr>
          <w:rFonts w:ascii="Arial" w:hAnsi="Arial" w:cs="Arial"/>
          <w:i/>
        </w:rPr>
        <w:t xml:space="preserve"> </w:t>
      </w:r>
      <w:r w:rsidR="00264832">
        <w:rPr>
          <w:rFonts w:ascii="Arial" w:hAnsi="Arial" w:cs="Arial"/>
          <w:i/>
        </w:rPr>
        <w:t>and</w:t>
      </w:r>
      <w:r w:rsidRPr="00F640A3">
        <w:rPr>
          <w:rFonts w:ascii="Arial" w:hAnsi="Arial" w:cs="Arial"/>
          <w:i/>
        </w:rPr>
        <w:t xml:space="preserve"> H</w:t>
      </w:r>
      <w:r w:rsidR="00264832">
        <w:rPr>
          <w:rFonts w:ascii="Arial" w:hAnsi="Arial" w:cs="Arial"/>
          <w:i/>
        </w:rPr>
        <w:t>arbours</w:t>
      </w:r>
      <w:r w:rsidRPr="00F640A3">
        <w:rPr>
          <w:rFonts w:ascii="Arial" w:hAnsi="Arial" w:cs="Arial"/>
          <w:i/>
        </w:rPr>
        <w:t xml:space="preserve"> v Chairman, Bop</w:t>
      </w:r>
      <w:r w:rsidR="00264832">
        <w:rPr>
          <w:rFonts w:ascii="Arial" w:hAnsi="Arial" w:cs="Arial"/>
          <w:i/>
        </w:rPr>
        <w:t>h</w:t>
      </w:r>
      <w:r w:rsidRPr="00F640A3">
        <w:rPr>
          <w:rFonts w:ascii="Arial" w:hAnsi="Arial" w:cs="Arial"/>
          <w:i/>
        </w:rPr>
        <w:t>ut</w:t>
      </w:r>
      <w:r w:rsidR="00264832">
        <w:rPr>
          <w:rFonts w:ascii="Arial" w:hAnsi="Arial" w:cs="Arial"/>
          <w:i/>
        </w:rPr>
        <w:t>h</w:t>
      </w:r>
      <w:r w:rsidRPr="00F640A3">
        <w:rPr>
          <w:rFonts w:ascii="Arial" w:hAnsi="Arial" w:cs="Arial"/>
          <w:i/>
        </w:rPr>
        <w:t>atswana Central Road Transportation Board</w:t>
      </w:r>
      <w:r w:rsidR="00264832">
        <w:rPr>
          <w:rFonts w:ascii="Arial" w:hAnsi="Arial" w:cs="Arial"/>
          <w:i/>
        </w:rPr>
        <w:t xml:space="preserve"> &amp; another</w:t>
      </w:r>
      <w:r w:rsidRPr="00F640A3">
        <w:rPr>
          <w:rFonts w:ascii="Arial" w:hAnsi="Arial" w:cs="Arial"/>
          <w:i/>
        </w:rPr>
        <w:t>; S</w:t>
      </w:r>
      <w:r w:rsidR="00264832">
        <w:rPr>
          <w:rFonts w:ascii="Arial" w:hAnsi="Arial" w:cs="Arial"/>
          <w:i/>
        </w:rPr>
        <w:t xml:space="preserve">outh </w:t>
      </w:r>
      <w:r w:rsidRPr="00F640A3">
        <w:rPr>
          <w:rFonts w:ascii="Arial" w:hAnsi="Arial" w:cs="Arial"/>
          <w:i/>
        </w:rPr>
        <w:t>A</w:t>
      </w:r>
      <w:r w:rsidR="00264832">
        <w:rPr>
          <w:rFonts w:ascii="Arial" w:hAnsi="Arial" w:cs="Arial"/>
          <w:i/>
        </w:rPr>
        <w:t>frican</w:t>
      </w:r>
      <w:r w:rsidRPr="00F640A3">
        <w:rPr>
          <w:rFonts w:ascii="Arial" w:hAnsi="Arial" w:cs="Arial"/>
          <w:i/>
        </w:rPr>
        <w:t xml:space="preserve"> Transport Services v Chairman, Bop</w:t>
      </w:r>
      <w:r w:rsidR="00264832">
        <w:rPr>
          <w:rFonts w:ascii="Arial" w:hAnsi="Arial" w:cs="Arial"/>
          <w:i/>
        </w:rPr>
        <w:t>h</w:t>
      </w:r>
      <w:r w:rsidRPr="00F640A3">
        <w:rPr>
          <w:rFonts w:ascii="Arial" w:hAnsi="Arial" w:cs="Arial"/>
          <w:i/>
        </w:rPr>
        <w:t>ut</w:t>
      </w:r>
      <w:r w:rsidR="00264832">
        <w:rPr>
          <w:rFonts w:ascii="Arial" w:hAnsi="Arial" w:cs="Arial"/>
          <w:i/>
        </w:rPr>
        <w:t>h</w:t>
      </w:r>
      <w:r w:rsidRPr="00F640A3">
        <w:rPr>
          <w:rFonts w:ascii="Arial" w:hAnsi="Arial" w:cs="Arial"/>
          <w:i/>
        </w:rPr>
        <w:t>a</w:t>
      </w:r>
      <w:r w:rsidR="00264832">
        <w:rPr>
          <w:rFonts w:ascii="Arial" w:hAnsi="Arial" w:cs="Arial"/>
          <w:i/>
        </w:rPr>
        <w:t>s</w:t>
      </w:r>
      <w:r w:rsidRPr="00F640A3">
        <w:rPr>
          <w:rFonts w:ascii="Arial" w:hAnsi="Arial" w:cs="Arial"/>
          <w:i/>
        </w:rPr>
        <w:t>twana Central Road Transportation Board</w:t>
      </w:r>
      <w:r w:rsidR="00264832">
        <w:rPr>
          <w:rFonts w:ascii="Arial" w:hAnsi="Arial" w:cs="Arial"/>
          <w:i/>
        </w:rPr>
        <w:t xml:space="preserve"> &amp; another</w:t>
      </w:r>
      <w:r w:rsidRPr="00F640A3">
        <w:rPr>
          <w:rFonts w:ascii="Arial" w:hAnsi="Arial" w:cs="Arial"/>
          <w:i/>
        </w:rPr>
        <w:t xml:space="preserve"> </w:t>
      </w:r>
      <w:r w:rsidR="00F640A3">
        <w:rPr>
          <w:rFonts w:ascii="Arial" w:hAnsi="Arial" w:cs="Arial"/>
        </w:rPr>
        <w:t>1982</w:t>
      </w:r>
      <w:r w:rsidR="00264832">
        <w:rPr>
          <w:rFonts w:ascii="Arial" w:hAnsi="Arial" w:cs="Arial"/>
        </w:rPr>
        <w:t xml:space="preserve"> </w:t>
      </w:r>
      <w:r w:rsidR="00F640A3">
        <w:rPr>
          <w:rFonts w:ascii="Arial" w:hAnsi="Arial" w:cs="Arial"/>
        </w:rPr>
        <w:t>(3) SA 629 (B) at 632</w:t>
      </w:r>
      <w:r w:rsidRPr="00F640A3">
        <w:rPr>
          <w:rFonts w:ascii="Arial" w:hAnsi="Arial" w:cs="Arial"/>
        </w:rPr>
        <w:t>E.</w:t>
      </w:r>
      <w:r>
        <w:rPr>
          <w:rFonts w:ascii="Arial" w:hAnsi="Arial" w:cs="Arial"/>
          <w:i/>
          <w:sz w:val="22"/>
          <w:szCs w:val="22"/>
        </w:rPr>
        <w:t xml:space="preserve"> </w:t>
      </w:r>
    </w:p>
  </w:footnote>
  <w:footnote w:id="4">
    <w:p w14:paraId="30462F06" w14:textId="77777777" w:rsidR="00D61396" w:rsidRPr="00747114" w:rsidRDefault="00D61396" w:rsidP="00747114">
      <w:pPr>
        <w:pStyle w:val="FootnoteText"/>
        <w:jc w:val="both"/>
        <w:rPr>
          <w:rFonts w:ascii="Arial" w:hAnsi="Arial" w:cs="Arial"/>
        </w:rPr>
      </w:pPr>
      <w:r w:rsidRPr="00747114">
        <w:rPr>
          <w:rStyle w:val="FootnoteReference"/>
          <w:rFonts w:ascii="Arial" w:hAnsi="Arial" w:cs="Arial"/>
        </w:rPr>
        <w:footnoteRef/>
      </w:r>
      <w:r w:rsidRPr="00747114">
        <w:rPr>
          <w:rFonts w:ascii="Arial" w:hAnsi="Arial" w:cs="Arial"/>
        </w:rPr>
        <w:t xml:space="preserve"> </w:t>
      </w:r>
      <w:r w:rsidRPr="00747114">
        <w:rPr>
          <w:rFonts w:ascii="Arial" w:hAnsi="Arial" w:cs="Arial"/>
          <w:i/>
        </w:rPr>
        <w:t xml:space="preserve">Schierhout v Minister of Justice </w:t>
      </w:r>
      <w:r w:rsidRPr="00747114">
        <w:rPr>
          <w:rFonts w:ascii="Arial" w:hAnsi="Arial" w:cs="Arial"/>
        </w:rPr>
        <w:t xml:space="preserve">1926 AD 99 at 106-107 and </w:t>
      </w:r>
      <w:r w:rsidRPr="00747114">
        <w:rPr>
          <w:rFonts w:ascii="Arial" w:hAnsi="Arial" w:cs="Arial"/>
          <w:i/>
        </w:rPr>
        <w:t>Auas Diamond Company</w:t>
      </w:r>
      <w:r w:rsidR="00A53C95">
        <w:rPr>
          <w:rFonts w:ascii="Arial" w:hAnsi="Arial" w:cs="Arial"/>
          <w:i/>
        </w:rPr>
        <w:t xml:space="preserve"> (Pty) Ltd</w:t>
      </w:r>
      <w:r w:rsidRPr="00747114">
        <w:rPr>
          <w:rFonts w:ascii="Arial" w:hAnsi="Arial" w:cs="Arial"/>
          <w:i/>
        </w:rPr>
        <w:t xml:space="preserve"> v Minister of Mines and Energy </w:t>
      </w:r>
      <w:r w:rsidRPr="00747114">
        <w:rPr>
          <w:rFonts w:ascii="Arial" w:hAnsi="Arial" w:cs="Arial"/>
        </w:rPr>
        <w:t>2017 (2) NR 418 (SC) at 426D-F.</w:t>
      </w:r>
    </w:p>
  </w:footnote>
  <w:footnote w:id="5">
    <w:p w14:paraId="0F86CFE0" w14:textId="77777777" w:rsidR="00D61396" w:rsidRPr="004155F5" w:rsidRDefault="00D61396" w:rsidP="004155F5">
      <w:pPr>
        <w:pStyle w:val="FootnoteText"/>
        <w:jc w:val="both"/>
        <w:rPr>
          <w:rFonts w:ascii="Arial" w:hAnsi="Arial" w:cs="Arial"/>
        </w:rPr>
      </w:pPr>
      <w:r w:rsidRPr="004155F5">
        <w:rPr>
          <w:rStyle w:val="FootnoteReference"/>
          <w:rFonts w:ascii="Arial" w:hAnsi="Arial" w:cs="Arial"/>
        </w:rPr>
        <w:footnoteRef/>
      </w:r>
      <w:r w:rsidRPr="004155F5">
        <w:rPr>
          <w:rFonts w:ascii="Arial" w:hAnsi="Arial" w:cs="Arial"/>
        </w:rPr>
        <w:t xml:space="preserve"> </w:t>
      </w:r>
      <w:r w:rsidRPr="004155F5">
        <w:rPr>
          <w:rFonts w:ascii="Arial" w:hAnsi="Arial" w:cs="Arial"/>
          <w:i/>
        </w:rPr>
        <w:t>Minister of Mines and Energy</w:t>
      </w:r>
      <w:r w:rsidR="00A53C95">
        <w:rPr>
          <w:rFonts w:ascii="Arial" w:hAnsi="Arial" w:cs="Arial"/>
          <w:i/>
        </w:rPr>
        <w:t xml:space="preserve"> &amp; another</w:t>
      </w:r>
      <w:r w:rsidRPr="004155F5">
        <w:rPr>
          <w:rFonts w:ascii="Arial" w:hAnsi="Arial" w:cs="Arial"/>
          <w:i/>
        </w:rPr>
        <w:t xml:space="preserve"> v Black Range Mining</w:t>
      </w:r>
      <w:r w:rsidR="00A53C95">
        <w:rPr>
          <w:rFonts w:ascii="Arial" w:hAnsi="Arial" w:cs="Arial"/>
          <w:i/>
        </w:rPr>
        <w:t xml:space="preserve"> (Pty) Ltd</w:t>
      </w:r>
      <w:r w:rsidRPr="004155F5">
        <w:rPr>
          <w:rFonts w:ascii="Arial" w:hAnsi="Arial" w:cs="Arial"/>
          <w:i/>
        </w:rPr>
        <w:t xml:space="preserve"> </w:t>
      </w:r>
      <w:r w:rsidRPr="004155F5">
        <w:rPr>
          <w:rFonts w:ascii="Arial" w:hAnsi="Arial" w:cs="Arial"/>
        </w:rPr>
        <w:t>2011 (1) NR 31 (SC) par</w:t>
      </w:r>
      <w:r w:rsidR="00A53C95">
        <w:rPr>
          <w:rFonts w:ascii="Arial" w:hAnsi="Arial" w:cs="Arial"/>
        </w:rPr>
        <w:t xml:space="preserve">a </w:t>
      </w:r>
      <w:r w:rsidRPr="004155F5">
        <w:rPr>
          <w:rFonts w:ascii="Arial" w:hAnsi="Arial" w:cs="Arial"/>
        </w:rPr>
        <w:t>50.</w:t>
      </w:r>
    </w:p>
  </w:footnote>
  <w:footnote w:id="6">
    <w:p w14:paraId="41E17DEC" w14:textId="77777777" w:rsidR="00D61396" w:rsidRPr="002D5F4F" w:rsidRDefault="00D61396" w:rsidP="004155F5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4155F5">
        <w:rPr>
          <w:rStyle w:val="FootnoteReference"/>
          <w:rFonts w:ascii="Arial" w:hAnsi="Arial" w:cs="Arial"/>
        </w:rPr>
        <w:footnoteRef/>
      </w:r>
      <w:r w:rsidRPr="004155F5">
        <w:rPr>
          <w:rFonts w:ascii="Arial" w:hAnsi="Arial" w:cs="Arial"/>
        </w:rPr>
        <w:t xml:space="preserve"> </w:t>
      </w:r>
      <w:r w:rsidRPr="004155F5">
        <w:rPr>
          <w:rFonts w:ascii="Arial" w:hAnsi="Arial" w:cs="Arial"/>
          <w:i/>
        </w:rPr>
        <w:t>Auas Diamond Company</w:t>
      </w:r>
      <w:r w:rsidRPr="004155F5">
        <w:rPr>
          <w:rFonts w:ascii="Arial" w:hAnsi="Arial" w:cs="Arial"/>
        </w:rPr>
        <w:t xml:space="preserve"> par</w:t>
      </w:r>
      <w:r w:rsidR="004155F5">
        <w:rPr>
          <w:rFonts w:ascii="Arial" w:hAnsi="Arial" w:cs="Arial"/>
        </w:rPr>
        <w:t>a</w:t>
      </w:r>
      <w:r w:rsidRPr="004155F5">
        <w:rPr>
          <w:rFonts w:ascii="Arial" w:hAnsi="Arial" w:cs="Arial"/>
        </w:rPr>
        <w:t xml:space="preserve"> 25 and </w:t>
      </w:r>
      <w:r w:rsidRPr="004155F5">
        <w:rPr>
          <w:rFonts w:ascii="Arial" w:hAnsi="Arial" w:cs="Arial"/>
          <w:i/>
        </w:rPr>
        <w:t>Torbitt</w:t>
      </w:r>
      <w:r w:rsidR="00A53C95">
        <w:rPr>
          <w:rFonts w:ascii="Arial" w:hAnsi="Arial" w:cs="Arial"/>
          <w:i/>
        </w:rPr>
        <w:t xml:space="preserve"> &amp; others</w:t>
      </w:r>
      <w:r w:rsidRPr="004155F5">
        <w:rPr>
          <w:rFonts w:ascii="Arial" w:hAnsi="Arial" w:cs="Arial"/>
          <w:i/>
        </w:rPr>
        <w:t xml:space="preserve"> v International University of Management </w:t>
      </w:r>
      <w:r w:rsidRPr="004155F5">
        <w:rPr>
          <w:rFonts w:ascii="Arial" w:hAnsi="Arial" w:cs="Arial"/>
        </w:rPr>
        <w:t xml:space="preserve">2017 (2) NR </w:t>
      </w:r>
      <w:r w:rsidR="00A53C95">
        <w:rPr>
          <w:rFonts w:ascii="Arial" w:hAnsi="Arial" w:cs="Arial"/>
        </w:rPr>
        <w:t>3</w:t>
      </w:r>
      <w:r w:rsidRPr="004155F5">
        <w:rPr>
          <w:rFonts w:ascii="Arial" w:hAnsi="Arial" w:cs="Arial"/>
        </w:rPr>
        <w:t>23 (SC).</w:t>
      </w:r>
    </w:p>
  </w:footnote>
  <w:footnote w:id="7">
    <w:p w14:paraId="02A88D65" w14:textId="77777777" w:rsidR="00C259D1" w:rsidRPr="00C259D1" w:rsidRDefault="00C259D1" w:rsidP="00C259D1">
      <w:pPr>
        <w:pStyle w:val="FootnoteText"/>
        <w:jc w:val="both"/>
        <w:rPr>
          <w:rFonts w:ascii="Arial" w:hAnsi="Arial" w:cs="Arial"/>
          <w:lang w:val="en-US"/>
        </w:rPr>
      </w:pPr>
      <w:r w:rsidRPr="00C259D1">
        <w:rPr>
          <w:rStyle w:val="FootnoteReference"/>
          <w:rFonts w:ascii="Arial" w:hAnsi="Arial" w:cs="Arial"/>
        </w:rPr>
        <w:footnoteRef/>
      </w:r>
      <w:r w:rsidRPr="00C259D1">
        <w:rPr>
          <w:rFonts w:ascii="Arial" w:hAnsi="Arial" w:cs="Arial"/>
        </w:rPr>
        <w:t xml:space="preserve"> </w:t>
      </w:r>
      <w:r w:rsidRPr="00C259D1">
        <w:rPr>
          <w:rFonts w:ascii="Arial" w:hAnsi="Arial" w:cs="Arial"/>
          <w:i/>
        </w:rPr>
        <w:t>Volschenk v Volschenk</w:t>
      </w:r>
      <w:r w:rsidRPr="00C259D1">
        <w:rPr>
          <w:rFonts w:ascii="Arial" w:hAnsi="Arial" w:cs="Arial"/>
        </w:rPr>
        <w:t xml:space="preserve"> 1946 TPD</w:t>
      </w:r>
      <w:r>
        <w:rPr>
          <w:rFonts w:ascii="Arial" w:hAnsi="Arial" w:cs="Arial"/>
        </w:rPr>
        <w:t xml:space="preserve"> 486 at 490.</w:t>
      </w:r>
    </w:p>
  </w:footnote>
  <w:footnote w:id="8">
    <w:p w14:paraId="17451A2F" w14:textId="77777777" w:rsidR="00D61396" w:rsidRPr="00C259D1" w:rsidRDefault="00D61396" w:rsidP="00C259D1">
      <w:pPr>
        <w:pStyle w:val="FootnoteText"/>
        <w:jc w:val="both"/>
        <w:rPr>
          <w:rFonts w:ascii="Arial" w:hAnsi="Arial" w:cs="Arial"/>
        </w:rPr>
      </w:pPr>
      <w:r w:rsidRPr="00C259D1">
        <w:rPr>
          <w:rStyle w:val="FootnoteReference"/>
          <w:rFonts w:ascii="Arial" w:hAnsi="Arial" w:cs="Arial"/>
        </w:rPr>
        <w:footnoteRef/>
      </w:r>
      <w:r w:rsidRPr="00C259D1">
        <w:rPr>
          <w:rFonts w:ascii="Arial" w:hAnsi="Arial" w:cs="Arial"/>
          <w:i/>
        </w:rPr>
        <w:t>Suidwes-Afrikaanse Munisipale Personeel Vereniging v Minist</w:t>
      </w:r>
      <w:r w:rsidR="00367DA8">
        <w:rPr>
          <w:rFonts w:ascii="Arial" w:hAnsi="Arial" w:cs="Arial"/>
          <w:i/>
        </w:rPr>
        <w:t>e</w:t>
      </w:r>
      <w:r w:rsidRPr="00C259D1">
        <w:rPr>
          <w:rFonts w:ascii="Arial" w:hAnsi="Arial" w:cs="Arial"/>
          <w:i/>
        </w:rPr>
        <w:t xml:space="preserve">r of Labour </w:t>
      </w:r>
      <w:r w:rsidR="00C259D1">
        <w:rPr>
          <w:rFonts w:ascii="Arial" w:hAnsi="Arial" w:cs="Arial"/>
          <w:i/>
        </w:rPr>
        <w:t>&amp;</w:t>
      </w:r>
      <w:r w:rsidRPr="00C259D1">
        <w:rPr>
          <w:rFonts w:ascii="Arial" w:hAnsi="Arial" w:cs="Arial"/>
          <w:i/>
        </w:rPr>
        <w:t xml:space="preserve"> </w:t>
      </w:r>
      <w:r w:rsidR="00416942">
        <w:rPr>
          <w:rFonts w:ascii="Arial" w:hAnsi="Arial" w:cs="Arial"/>
          <w:i/>
        </w:rPr>
        <w:t>a</w:t>
      </w:r>
      <w:r w:rsidRPr="00C259D1">
        <w:rPr>
          <w:rFonts w:ascii="Arial" w:hAnsi="Arial" w:cs="Arial"/>
          <w:i/>
        </w:rPr>
        <w:t xml:space="preserve">nother </w:t>
      </w:r>
      <w:r w:rsidR="00C259D1">
        <w:rPr>
          <w:rFonts w:ascii="Arial" w:hAnsi="Arial" w:cs="Arial"/>
        </w:rPr>
        <w:t>1978 (1) SA 1027 (SWA) at 1038</w:t>
      </w:r>
      <w:r w:rsidRPr="00C259D1">
        <w:rPr>
          <w:rFonts w:ascii="Arial" w:hAnsi="Arial" w:cs="Arial"/>
        </w:rPr>
        <w:t>B-C.</w:t>
      </w:r>
    </w:p>
  </w:footnote>
  <w:footnote w:id="9">
    <w:p w14:paraId="510A4349" w14:textId="77777777" w:rsidR="00D61396" w:rsidRPr="0050787C" w:rsidRDefault="00D61396" w:rsidP="00C259D1">
      <w:pPr>
        <w:pStyle w:val="FootnoteText"/>
        <w:jc w:val="both"/>
        <w:rPr>
          <w:rFonts w:ascii="Arial" w:hAnsi="Arial" w:cs="Arial"/>
        </w:rPr>
      </w:pPr>
      <w:r w:rsidRPr="0050787C">
        <w:rPr>
          <w:rStyle w:val="FootnoteReference"/>
          <w:rFonts w:ascii="Arial" w:hAnsi="Arial" w:cs="Arial"/>
        </w:rPr>
        <w:footnoteRef/>
      </w:r>
      <w:r w:rsidRPr="0050787C">
        <w:rPr>
          <w:rFonts w:ascii="Arial" w:hAnsi="Arial" w:cs="Arial"/>
        </w:rPr>
        <w:t xml:space="preserve"> </w:t>
      </w:r>
      <w:r w:rsidR="0050787C" w:rsidRPr="0050787C">
        <w:rPr>
          <w:rFonts w:ascii="Arial" w:hAnsi="Arial" w:cs="Arial"/>
          <w:i/>
        </w:rPr>
        <w:t>Chairperson of the Immigration Selection Board v Frank &amp; another</w:t>
      </w:r>
      <w:r w:rsidR="0050787C" w:rsidRPr="0050787C">
        <w:rPr>
          <w:rFonts w:ascii="Arial" w:hAnsi="Arial" w:cs="Arial"/>
        </w:rPr>
        <w:t xml:space="preserve"> </w:t>
      </w:r>
      <w:r w:rsidRPr="0050787C">
        <w:rPr>
          <w:rFonts w:ascii="Arial" w:hAnsi="Arial" w:cs="Arial"/>
        </w:rPr>
        <w:t>2001 NR 1</w:t>
      </w:r>
      <w:r w:rsidR="00072F8A">
        <w:rPr>
          <w:rFonts w:ascii="Arial" w:hAnsi="Arial" w:cs="Arial"/>
        </w:rPr>
        <w:t>0</w:t>
      </w:r>
      <w:r w:rsidRPr="0050787C">
        <w:rPr>
          <w:rFonts w:ascii="Arial" w:hAnsi="Arial" w:cs="Arial"/>
        </w:rPr>
        <w:t>7 (SC) at 174I</w:t>
      </w:r>
      <w:r w:rsidR="0050787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716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13831B" w14:textId="77777777" w:rsidR="00D61396" w:rsidRDefault="004C3FE5" w:rsidP="004C3FE5">
        <w:pPr>
          <w:pStyle w:val="Header"/>
          <w:tabs>
            <w:tab w:val="left" w:pos="7230"/>
          </w:tabs>
        </w:pPr>
        <w:r>
          <w:tab/>
        </w:r>
        <w:r>
          <w:tab/>
        </w:r>
        <w:r>
          <w:tab/>
        </w:r>
        <w:r w:rsidR="00D61396" w:rsidRPr="006D2634">
          <w:rPr>
            <w:rFonts w:ascii="Arial" w:hAnsi="Arial" w:cs="Arial"/>
            <w:sz w:val="24"/>
            <w:szCs w:val="24"/>
          </w:rPr>
          <w:fldChar w:fldCharType="begin"/>
        </w:r>
        <w:r w:rsidR="00D61396" w:rsidRPr="006D263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D61396" w:rsidRPr="006D2634">
          <w:rPr>
            <w:rFonts w:ascii="Arial" w:hAnsi="Arial" w:cs="Arial"/>
            <w:sz w:val="24"/>
            <w:szCs w:val="24"/>
          </w:rPr>
          <w:fldChar w:fldCharType="separate"/>
        </w:r>
        <w:r w:rsidR="00EE114A">
          <w:rPr>
            <w:rFonts w:ascii="Arial" w:hAnsi="Arial" w:cs="Arial"/>
            <w:noProof/>
            <w:sz w:val="24"/>
            <w:szCs w:val="24"/>
          </w:rPr>
          <w:t>3</w:t>
        </w:r>
        <w:r w:rsidR="00D61396" w:rsidRPr="006D263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499898A" w14:textId="77777777" w:rsidR="00D61396" w:rsidRDefault="00D6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98F"/>
    <w:multiLevelType w:val="hybridMultilevel"/>
    <w:tmpl w:val="4AB472C4"/>
    <w:lvl w:ilvl="0" w:tplc="2FE4A0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81D3E"/>
    <w:multiLevelType w:val="hybridMultilevel"/>
    <w:tmpl w:val="34FE5F26"/>
    <w:lvl w:ilvl="0" w:tplc="C0865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25B5"/>
    <w:multiLevelType w:val="hybridMultilevel"/>
    <w:tmpl w:val="BB46ED0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050B"/>
    <w:multiLevelType w:val="hybridMultilevel"/>
    <w:tmpl w:val="31561CD8"/>
    <w:lvl w:ilvl="0" w:tplc="2FE4A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9781E"/>
    <w:multiLevelType w:val="hybridMultilevel"/>
    <w:tmpl w:val="6D20FB4C"/>
    <w:lvl w:ilvl="0" w:tplc="73B46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0034641">
    <w:abstractNumId w:val="1"/>
  </w:num>
  <w:num w:numId="2" w16cid:durableId="1038775328">
    <w:abstractNumId w:val="2"/>
  </w:num>
  <w:num w:numId="3" w16cid:durableId="666787406">
    <w:abstractNumId w:val="3"/>
  </w:num>
  <w:num w:numId="4" w16cid:durableId="904141438">
    <w:abstractNumId w:val="0"/>
  </w:num>
  <w:num w:numId="5" w16cid:durableId="1663581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14"/>
    <w:rsid w:val="000023B8"/>
    <w:rsid w:val="000037E6"/>
    <w:rsid w:val="00006E76"/>
    <w:rsid w:val="00006FC7"/>
    <w:rsid w:val="000132E6"/>
    <w:rsid w:val="000150A4"/>
    <w:rsid w:val="000171B8"/>
    <w:rsid w:val="00017B34"/>
    <w:rsid w:val="00024B1A"/>
    <w:rsid w:val="00024C9F"/>
    <w:rsid w:val="00026351"/>
    <w:rsid w:val="00027F60"/>
    <w:rsid w:val="000306A3"/>
    <w:rsid w:val="000311F1"/>
    <w:rsid w:val="00035583"/>
    <w:rsid w:val="00035654"/>
    <w:rsid w:val="000363B7"/>
    <w:rsid w:val="00042C0A"/>
    <w:rsid w:val="00043839"/>
    <w:rsid w:val="000450CA"/>
    <w:rsid w:val="00050DAD"/>
    <w:rsid w:val="00051ACE"/>
    <w:rsid w:val="0005477E"/>
    <w:rsid w:val="00055327"/>
    <w:rsid w:val="00055BAA"/>
    <w:rsid w:val="0005660B"/>
    <w:rsid w:val="0005758D"/>
    <w:rsid w:val="00063333"/>
    <w:rsid w:val="00065A6C"/>
    <w:rsid w:val="00072F8A"/>
    <w:rsid w:val="00073EBA"/>
    <w:rsid w:val="00074147"/>
    <w:rsid w:val="00075ED0"/>
    <w:rsid w:val="00077CBD"/>
    <w:rsid w:val="000819D6"/>
    <w:rsid w:val="0008437C"/>
    <w:rsid w:val="0008789D"/>
    <w:rsid w:val="000914C8"/>
    <w:rsid w:val="00091C2B"/>
    <w:rsid w:val="000A29C1"/>
    <w:rsid w:val="000A32A9"/>
    <w:rsid w:val="000A36E2"/>
    <w:rsid w:val="000A3D49"/>
    <w:rsid w:val="000B0E74"/>
    <w:rsid w:val="000B31BC"/>
    <w:rsid w:val="000B3F37"/>
    <w:rsid w:val="000B53B1"/>
    <w:rsid w:val="000C0505"/>
    <w:rsid w:val="000C0629"/>
    <w:rsid w:val="000C1802"/>
    <w:rsid w:val="000D0484"/>
    <w:rsid w:val="000D1ACA"/>
    <w:rsid w:val="000D21E7"/>
    <w:rsid w:val="000D4F3C"/>
    <w:rsid w:val="000D618E"/>
    <w:rsid w:val="000E5574"/>
    <w:rsid w:val="000E5B84"/>
    <w:rsid w:val="000F05CB"/>
    <w:rsid w:val="000F2294"/>
    <w:rsid w:val="000F2FEE"/>
    <w:rsid w:val="000F3925"/>
    <w:rsid w:val="000F6A17"/>
    <w:rsid w:val="000F7252"/>
    <w:rsid w:val="000F77AD"/>
    <w:rsid w:val="00110B43"/>
    <w:rsid w:val="00116B9C"/>
    <w:rsid w:val="001170BA"/>
    <w:rsid w:val="00125EC2"/>
    <w:rsid w:val="00135039"/>
    <w:rsid w:val="0013580D"/>
    <w:rsid w:val="00141733"/>
    <w:rsid w:val="00142EF5"/>
    <w:rsid w:val="0014451A"/>
    <w:rsid w:val="00145270"/>
    <w:rsid w:val="00151D86"/>
    <w:rsid w:val="00154AF2"/>
    <w:rsid w:val="00154CE1"/>
    <w:rsid w:val="001563B0"/>
    <w:rsid w:val="001572D5"/>
    <w:rsid w:val="00157E5E"/>
    <w:rsid w:val="001609BB"/>
    <w:rsid w:val="00165EDD"/>
    <w:rsid w:val="00166AC9"/>
    <w:rsid w:val="00166DA1"/>
    <w:rsid w:val="001728E4"/>
    <w:rsid w:val="001769E2"/>
    <w:rsid w:val="00177E8F"/>
    <w:rsid w:val="00181085"/>
    <w:rsid w:val="0018166A"/>
    <w:rsid w:val="00181D04"/>
    <w:rsid w:val="00183D8E"/>
    <w:rsid w:val="00183F8D"/>
    <w:rsid w:val="001851EA"/>
    <w:rsid w:val="00185DDC"/>
    <w:rsid w:val="00186B63"/>
    <w:rsid w:val="00187757"/>
    <w:rsid w:val="00187CE4"/>
    <w:rsid w:val="00191268"/>
    <w:rsid w:val="00193B83"/>
    <w:rsid w:val="001974BF"/>
    <w:rsid w:val="001A20AC"/>
    <w:rsid w:val="001A6FC0"/>
    <w:rsid w:val="001A7F41"/>
    <w:rsid w:val="001B03EC"/>
    <w:rsid w:val="001B054D"/>
    <w:rsid w:val="001B0C2E"/>
    <w:rsid w:val="001B1F92"/>
    <w:rsid w:val="001B379E"/>
    <w:rsid w:val="001B3B1C"/>
    <w:rsid w:val="001C25F4"/>
    <w:rsid w:val="001C32E4"/>
    <w:rsid w:val="001C4BB8"/>
    <w:rsid w:val="001C57DA"/>
    <w:rsid w:val="001C7B9E"/>
    <w:rsid w:val="001D09EC"/>
    <w:rsid w:val="001D1F26"/>
    <w:rsid w:val="001D3696"/>
    <w:rsid w:val="001D4B89"/>
    <w:rsid w:val="001D547A"/>
    <w:rsid w:val="001D7ADD"/>
    <w:rsid w:val="001D7F84"/>
    <w:rsid w:val="001E1F34"/>
    <w:rsid w:val="001E4DD8"/>
    <w:rsid w:val="001E517E"/>
    <w:rsid w:val="001F0371"/>
    <w:rsid w:val="001F2325"/>
    <w:rsid w:val="001F28B2"/>
    <w:rsid w:val="001F614B"/>
    <w:rsid w:val="001F6370"/>
    <w:rsid w:val="00200481"/>
    <w:rsid w:val="00205A50"/>
    <w:rsid w:val="0020615C"/>
    <w:rsid w:val="00206D74"/>
    <w:rsid w:val="00213565"/>
    <w:rsid w:val="00213DC4"/>
    <w:rsid w:val="00214382"/>
    <w:rsid w:val="0021766B"/>
    <w:rsid w:val="00217E5E"/>
    <w:rsid w:val="00222B76"/>
    <w:rsid w:val="00223128"/>
    <w:rsid w:val="00224516"/>
    <w:rsid w:val="002252C9"/>
    <w:rsid w:val="00226091"/>
    <w:rsid w:val="00226210"/>
    <w:rsid w:val="00230AD1"/>
    <w:rsid w:val="002310A2"/>
    <w:rsid w:val="002342AF"/>
    <w:rsid w:val="002353F3"/>
    <w:rsid w:val="002400CC"/>
    <w:rsid w:val="002411A3"/>
    <w:rsid w:val="00241310"/>
    <w:rsid w:val="0024408F"/>
    <w:rsid w:val="00252C79"/>
    <w:rsid w:val="00253CA7"/>
    <w:rsid w:val="0025602B"/>
    <w:rsid w:val="002570AD"/>
    <w:rsid w:val="00264832"/>
    <w:rsid w:val="00266780"/>
    <w:rsid w:val="0026720B"/>
    <w:rsid w:val="002676D4"/>
    <w:rsid w:val="00270219"/>
    <w:rsid w:val="00270748"/>
    <w:rsid w:val="00272599"/>
    <w:rsid w:val="0027751E"/>
    <w:rsid w:val="00277E2D"/>
    <w:rsid w:val="002808E8"/>
    <w:rsid w:val="00280C4D"/>
    <w:rsid w:val="00283C9B"/>
    <w:rsid w:val="00284DBC"/>
    <w:rsid w:val="00287B3F"/>
    <w:rsid w:val="00294945"/>
    <w:rsid w:val="00296579"/>
    <w:rsid w:val="00296580"/>
    <w:rsid w:val="002A1A57"/>
    <w:rsid w:val="002A7771"/>
    <w:rsid w:val="002B01EB"/>
    <w:rsid w:val="002B020D"/>
    <w:rsid w:val="002B17BC"/>
    <w:rsid w:val="002B29C5"/>
    <w:rsid w:val="002B6B49"/>
    <w:rsid w:val="002B7313"/>
    <w:rsid w:val="002C10ED"/>
    <w:rsid w:val="002C23C2"/>
    <w:rsid w:val="002C2F3D"/>
    <w:rsid w:val="002C33D7"/>
    <w:rsid w:val="002D008F"/>
    <w:rsid w:val="002D5F4F"/>
    <w:rsid w:val="002E4434"/>
    <w:rsid w:val="002E6149"/>
    <w:rsid w:val="002F0DB6"/>
    <w:rsid w:val="002F2ABA"/>
    <w:rsid w:val="002F3206"/>
    <w:rsid w:val="002F7141"/>
    <w:rsid w:val="002F7BD0"/>
    <w:rsid w:val="0030003A"/>
    <w:rsid w:val="003011D0"/>
    <w:rsid w:val="0030203B"/>
    <w:rsid w:val="00303CD8"/>
    <w:rsid w:val="00305E98"/>
    <w:rsid w:val="00307E45"/>
    <w:rsid w:val="00310C9B"/>
    <w:rsid w:val="003113A4"/>
    <w:rsid w:val="003118F5"/>
    <w:rsid w:val="00315980"/>
    <w:rsid w:val="0031687F"/>
    <w:rsid w:val="00321013"/>
    <w:rsid w:val="00321B44"/>
    <w:rsid w:val="0032633F"/>
    <w:rsid w:val="003267BA"/>
    <w:rsid w:val="00327016"/>
    <w:rsid w:val="0033235D"/>
    <w:rsid w:val="003328D4"/>
    <w:rsid w:val="00332EB7"/>
    <w:rsid w:val="003334D2"/>
    <w:rsid w:val="00336B25"/>
    <w:rsid w:val="003434BF"/>
    <w:rsid w:val="0034504C"/>
    <w:rsid w:val="003457AC"/>
    <w:rsid w:val="00346264"/>
    <w:rsid w:val="00346F00"/>
    <w:rsid w:val="0034787E"/>
    <w:rsid w:val="00352185"/>
    <w:rsid w:val="0035248B"/>
    <w:rsid w:val="00357100"/>
    <w:rsid w:val="0036053A"/>
    <w:rsid w:val="00363644"/>
    <w:rsid w:val="003639FC"/>
    <w:rsid w:val="00363D8D"/>
    <w:rsid w:val="0036425A"/>
    <w:rsid w:val="0036731B"/>
    <w:rsid w:val="00367DA8"/>
    <w:rsid w:val="0037211B"/>
    <w:rsid w:val="0037307E"/>
    <w:rsid w:val="00373305"/>
    <w:rsid w:val="0037387E"/>
    <w:rsid w:val="0038515F"/>
    <w:rsid w:val="00386145"/>
    <w:rsid w:val="0039137C"/>
    <w:rsid w:val="003930BD"/>
    <w:rsid w:val="00396271"/>
    <w:rsid w:val="003A019F"/>
    <w:rsid w:val="003A0B8B"/>
    <w:rsid w:val="003A566B"/>
    <w:rsid w:val="003B28DE"/>
    <w:rsid w:val="003C265D"/>
    <w:rsid w:val="003C3530"/>
    <w:rsid w:val="003C40C3"/>
    <w:rsid w:val="003C6C48"/>
    <w:rsid w:val="003D35DF"/>
    <w:rsid w:val="003D5EEB"/>
    <w:rsid w:val="003D7003"/>
    <w:rsid w:val="003E1677"/>
    <w:rsid w:val="003E36D0"/>
    <w:rsid w:val="003E3F43"/>
    <w:rsid w:val="003E6A76"/>
    <w:rsid w:val="003E6A95"/>
    <w:rsid w:val="003F0668"/>
    <w:rsid w:val="003F2AF0"/>
    <w:rsid w:val="003F7D6A"/>
    <w:rsid w:val="00402303"/>
    <w:rsid w:val="00402431"/>
    <w:rsid w:val="0040479F"/>
    <w:rsid w:val="00406BDD"/>
    <w:rsid w:val="00411A9A"/>
    <w:rsid w:val="00412EFB"/>
    <w:rsid w:val="00413ED5"/>
    <w:rsid w:val="004155F5"/>
    <w:rsid w:val="00415CE6"/>
    <w:rsid w:val="00416942"/>
    <w:rsid w:val="0042095B"/>
    <w:rsid w:val="00421DE3"/>
    <w:rsid w:val="00424540"/>
    <w:rsid w:val="00426966"/>
    <w:rsid w:val="00431E10"/>
    <w:rsid w:val="00434034"/>
    <w:rsid w:val="00434E38"/>
    <w:rsid w:val="00436518"/>
    <w:rsid w:val="00444077"/>
    <w:rsid w:val="00446541"/>
    <w:rsid w:val="004507D3"/>
    <w:rsid w:val="00453DFD"/>
    <w:rsid w:val="00454E43"/>
    <w:rsid w:val="00455450"/>
    <w:rsid w:val="0045631C"/>
    <w:rsid w:val="004659E3"/>
    <w:rsid w:val="00467339"/>
    <w:rsid w:val="00472448"/>
    <w:rsid w:val="004814AF"/>
    <w:rsid w:val="004820CE"/>
    <w:rsid w:val="004822C7"/>
    <w:rsid w:val="00483A80"/>
    <w:rsid w:val="00484D6C"/>
    <w:rsid w:val="00490602"/>
    <w:rsid w:val="00490D27"/>
    <w:rsid w:val="00490FE0"/>
    <w:rsid w:val="004A0129"/>
    <w:rsid w:val="004A1AFF"/>
    <w:rsid w:val="004A2006"/>
    <w:rsid w:val="004A3589"/>
    <w:rsid w:val="004A4B7B"/>
    <w:rsid w:val="004A59BF"/>
    <w:rsid w:val="004A6FE3"/>
    <w:rsid w:val="004A70A3"/>
    <w:rsid w:val="004B1684"/>
    <w:rsid w:val="004B254B"/>
    <w:rsid w:val="004B2B53"/>
    <w:rsid w:val="004C0FDD"/>
    <w:rsid w:val="004C3C33"/>
    <w:rsid w:val="004C3FE5"/>
    <w:rsid w:val="004D3F5D"/>
    <w:rsid w:val="004D4473"/>
    <w:rsid w:val="004D555D"/>
    <w:rsid w:val="004D7625"/>
    <w:rsid w:val="004E292B"/>
    <w:rsid w:val="004E5ADA"/>
    <w:rsid w:val="004F3561"/>
    <w:rsid w:val="004F7835"/>
    <w:rsid w:val="004F7A8A"/>
    <w:rsid w:val="00501476"/>
    <w:rsid w:val="005048AC"/>
    <w:rsid w:val="0050527D"/>
    <w:rsid w:val="0050787C"/>
    <w:rsid w:val="00515DBE"/>
    <w:rsid w:val="005226BB"/>
    <w:rsid w:val="005247BA"/>
    <w:rsid w:val="005266D5"/>
    <w:rsid w:val="00530181"/>
    <w:rsid w:val="005301EF"/>
    <w:rsid w:val="00531B58"/>
    <w:rsid w:val="00531EBF"/>
    <w:rsid w:val="00535689"/>
    <w:rsid w:val="00541B26"/>
    <w:rsid w:val="0054296F"/>
    <w:rsid w:val="005447D3"/>
    <w:rsid w:val="00544820"/>
    <w:rsid w:val="00546002"/>
    <w:rsid w:val="0054661D"/>
    <w:rsid w:val="00547457"/>
    <w:rsid w:val="00551AEF"/>
    <w:rsid w:val="00553027"/>
    <w:rsid w:val="00553EC0"/>
    <w:rsid w:val="00555FB3"/>
    <w:rsid w:val="005606D2"/>
    <w:rsid w:val="0056169F"/>
    <w:rsid w:val="005708C8"/>
    <w:rsid w:val="0057205B"/>
    <w:rsid w:val="005753A2"/>
    <w:rsid w:val="00576893"/>
    <w:rsid w:val="0057783B"/>
    <w:rsid w:val="00577B0C"/>
    <w:rsid w:val="00582714"/>
    <w:rsid w:val="0058301C"/>
    <w:rsid w:val="00583341"/>
    <w:rsid w:val="0058406B"/>
    <w:rsid w:val="005843EA"/>
    <w:rsid w:val="00584BE9"/>
    <w:rsid w:val="0058510D"/>
    <w:rsid w:val="005862B8"/>
    <w:rsid w:val="00587B01"/>
    <w:rsid w:val="005941CB"/>
    <w:rsid w:val="00594D7C"/>
    <w:rsid w:val="00597800"/>
    <w:rsid w:val="005A0332"/>
    <w:rsid w:val="005A12C1"/>
    <w:rsid w:val="005A4EBF"/>
    <w:rsid w:val="005A6EC4"/>
    <w:rsid w:val="005A7289"/>
    <w:rsid w:val="005B72FD"/>
    <w:rsid w:val="005B7600"/>
    <w:rsid w:val="005C1F39"/>
    <w:rsid w:val="005C560B"/>
    <w:rsid w:val="005C6006"/>
    <w:rsid w:val="005C65DD"/>
    <w:rsid w:val="005D1A94"/>
    <w:rsid w:val="005D2A29"/>
    <w:rsid w:val="005D3D40"/>
    <w:rsid w:val="005D4FE0"/>
    <w:rsid w:val="005D556D"/>
    <w:rsid w:val="005E46C7"/>
    <w:rsid w:val="005F3374"/>
    <w:rsid w:val="005F3F39"/>
    <w:rsid w:val="005F56B6"/>
    <w:rsid w:val="005F7166"/>
    <w:rsid w:val="00601681"/>
    <w:rsid w:val="006066DF"/>
    <w:rsid w:val="00607EBD"/>
    <w:rsid w:val="00610F2F"/>
    <w:rsid w:val="00625E04"/>
    <w:rsid w:val="0062674B"/>
    <w:rsid w:val="00631DC0"/>
    <w:rsid w:val="00634E9E"/>
    <w:rsid w:val="00640580"/>
    <w:rsid w:val="00642864"/>
    <w:rsid w:val="006440F7"/>
    <w:rsid w:val="0064425F"/>
    <w:rsid w:val="00644A25"/>
    <w:rsid w:val="00652C2E"/>
    <w:rsid w:val="00653663"/>
    <w:rsid w:val="00653BA7"/>
    <w:rsid w:val="00654449"/>
    <w:rsid w:val="006662D3"/>
    <w:rsid w:val="00666CFA"/>
    <w:rsid w:val="00666E99"/>
    <w:rsid w:val="006734DA"/>
    <w:rsid w:val="00673FCC"/>
    <w:rsid w:val="0067539F"/>
    <w:rsid w:val="00675EA5"/>
    <w:rsid w:val="00675F90"/>
    <w:rsid w:val="0068171A"/>
    <w:rsid w:val="00684027"/>
    <w:rsid w:val="00685A46"/>
    <w:rsid w:val="0069083B"/>
    <w:rsid w:val="00692358"/>
    <w:rsid w:val="006B2525"/>
    <w:rsid w:val="006B2550"/>
    <w:rsid w:val="006B5C9E"/>
    <w:rsid w:val="006B642F"/>
    <w:rsid w:val="006C1113"/>
    <w:rsid w:val="006C193B"/>
    <w:rsid w:val="006C1ABD"/>
    <w:rsid w:val="006C2F22"/>
    <w:rsid w:val="006C2FE8"/>
    <w:rsid w:val="006D1D7C"/>
    <w:rsid w:val="006D239D"/>
    <w:rsid w:val="006D2634"/>
    <w:rsid w:val="006E0293"/>
    <w:rsid w:val="006E0719"/>
    <w:rsid w:val="006E4E9D"/>
    <w:rsid w:val="006E5313"/>
    <w:rsid w:val="006E657C"/>
    <w:rsid w:val="006E7A0D"/>
    <w:rsid w:val="006F18CD"/>
    <w:rsid w:val="006F5825"/>
    <w:rsid w:val="006F59EA"/>
    <w:rsid w:val="006F78AE"/>
    <w:rsid w:val="006F7DF8"/>
    <w:rsid w:val="0070116F"/>
    <w:rsid w:val="00701612"/>
    <w:rsid w:val="00702255"/>
    <w:rsid w:val="00703B64"/>
    <w:rsid w:val="00704B34"/>
    <w:rsid w:val="007056DC"/>
    <w:rsid w:val="00705C69"/>
    <w:rsid w:val="0070613C"/>
    <w:rsid w:val="00706AE3"/>
    <w:rsid w:val="007076AB"/>
    <w:rsid w:val="00710E6A"/>
    <w:rsid w:val="00714340"/>
    <w:rsid w:val="00714DAF"/>
    <w:rsid w:val="007265CA"/>
    <w:rsid w:val="00727337"/>
    <w:rsid w:val="007358DB"/>
    <w:rsid w:val="0074233D"/>
    <w:rsid w:val="00742C89"/>
    <w:rsid w:val="00747114"/>
    <w:rsid w:val="007515F6"/>
    <w:rsid w:val="0075252C"/>
    <w:rsid w:val="00752EE4"/>
    <w:rsid w:val="00757200"/>
    <w:rsid w:val="007573F1"/>
    <w:rsid w:val="00760D4C"/>
    <w:rsid w:val="0076367D"/>
    <w:rsid w:val="00766A8F"/>
    <w:rsid w:val="00767CCE"/>
    <w:rsid w:val="00771597"/>
    <w:rsid w:val="00771A25"/>
    <w:rsid w:val="00774B74"/>
    <w:rsid w:val="00775BF5"/>
    <w:rsid w:val="00776861"/>
    <w:rsid w:val="00777497"/>
    <w:rsid w:val="00781A3E"/>
    <w:rsid w:val="00785825"/>
    <w:rsid w:val="00790A1C"/>
    <w:rsid w:val="00791475"/>
    <w:rsid w:val="00791E21"/>
    <w:rsid w:val="00792C53"/>
    <w:rsid w:val="00792ED3"/>
    <w:rsid w:val="00796AF9"/>
    <w:rsid w:val="00797309"/>
    <w:rsid w:val="007A2C51"/>
    <w:rsid w:val="007A4D97"/>
    <w:rsid w:val="007A55BB"/>
    <w:rsid w:val="007B1431"/>
    <w:rsid w:val="007B39F5"/>
    <w:rsid w:val="007C3604"/>
    <w:rsid w:val="007C78A2"/>
    <w:rsid w:val="007D168B"/>
    <w:rsid w:val="007D2C62"/>
    <w:rsid w:val="007D401A"/>
    <w:rsid w:val="007D41DF"/>
    <w:rsid w:val="007E0A1F"/>
    <w:rsid w:val="007E0C99"/>
    <w:rsid w:val="007E12E8"/>
    <w:rsid w:val="007E24AC"/>
    <w:rsid w:val="007F1927"/>
    <w:rsid w:val="007F1CCA"/>
    <w:rsid w:val="007F576E"/>
    <w:rsid w:val="0080051E"/>
    <w:rsid w:val="00800867"/>
    <w:rsid w:val="008046C7"/>
    <w:rsid w:val="008120A1"/>
    <w:rsid w:val="0081307F"/>
    <w:rsid w:val="008133A7"/>
    <w:rsid w:val="00815C7A"/>
    <w:rsid w:val="00816A9D"/>
    <w:rsid w:val="00817296"/>
    <w:rsid w:val="008311AC"/>
    <w:rsid w:val="0083261D"/>
    <w:rsid w:val="008352FE"/>
    <w:rsid w:val="00835514"/>
    <w:rsid w:val="00836539"/>
    <w:rsid w:val="008408AA"/>
    <w:rsid w:val="00841D15"/>
    <w:rsid w:val="00841DAC"/>
    <w:rsid w:val="00847167"/>
    <w:rsid w:val="00847225"/>
    <w:rsid w:val="00847C2A"/>
    <w:rsid w:val="008537DA"/>
    <w:rsid w:val="00856C6B"/>
    <w:rsid w:val="0085728E"/>
    <w:rsid w:val="00857C48"/>
    <w:rsid w:val="0086212B"/>
    <w:rsid w:val="008622A9"/>
    <w:rsid w:val="00865490"/>
    <w:rsid w:val="00865AFC"/>
    <w:rsid w:val="00865B65"/>
    <w:rsid w:val="00870CBE"/>
    <w:rsid w:val="0087140B"/>
    <w:rsid w:val="00871E70"/>
    <w:rsid w:val="008720E4"/>
    <w:rsid w:val="00872E48"/>
    <w:rsid w:val="00873726"/>
    <w:rsid w:val="00876A54"/>
    <w:rsid w:val="008821E2"/>
    <w:rsid w:val="00887C94"/>
    <w:rsid w:val="008935E5"/>
    <w:rsid w:val="00893F3C"/>
    <w:rsid w:val="0089548F"/>
    <w:rsid w:val="008A054E"/>
    <w:rsid w:val="008A343B"/>
    <w:rsid w:val="008A42B7"/>
    <w:rsid w:val="008A65C9"/>
    <w:rsid w:val="008A680E"/>
    <w:rsid w:val="008A784D"/>
    <w:rsid w:val="008A7B00"/>
    <w:rsid w:val="008A7BF3"/>
    <w:rsid w:val="008B0C55"/>
    <w:rsid w:val="008B15CE"/>
    <w:rsid w:val="008B3655"/>
    <w:rsid w:val="008B5CFD"/>
    <w:rsid w:val="008B7CF2"/>
    <w:rsid w:val="008C25C5"/>
    <w:rsid w:val="008C7128"/>
    <w:rsid w:val="008D0B5B"/>
    <w:rsid w:val="008D0EB2"/>
    <w:rsid w:val="008D30A4"/>
    <w:rsid w:val="008D5EA1"/>
    <w:rsid w:val="008D7F75"/>
    <w:rsid w:val="008E166B"/>
    <w:rsid w:val="008E2954"/>
    <w:rsid w:val="008E591C"/>
    <w:rsid w:val="008E671A"/>
    <w:rsid w:val="008E7B34"/>
    <w:rsid w:val="008F00CE"/>
    <w:rsid w:val="008F2E52"/>
    <w:rsid w:val="008F3FD0"/>
    <w:rsid w:val="008F4AEF"/>
    <w:rsid w:val="008F51B2"/>
    <w:rsid w:val="008F553F"/>
    <w:rsid w:val="008F591A"/>
    <w:rsid w:val="008F5E2B"/>
    <w:rsid w:val="008F7557"/>
    <w:rsid w:val="009017C8"/>
    <w:rsid w:val="00902556"/>
    <w:rsid w:val="00904BB8"/>
    <w:rsid w:val="009050C0"/>
    <w:rsid w:val="00905A86"/>
    <w:rsid w:val="00907618"/>
    <w:rsid w:val="00910953"/>
    <w:rsid w:val="00921356"/>
    <w:rsid w:val="00921498"/>
    <w:rsid w:val="0092226A"/>
    <w:rsid w:val="0092447A"/>
    <w:rsid w:val="0092586C"/>
    <w:rsid w:val="009261C2"/>
    <w:rsid w:val="00933218"/>
    <w:rsid w:val="0093374A"/>
    <w:rsid w:val="00934175"/>
    <w:rsid w:val="00940ED9"/>
    <w:rsid w:val="00941B92"/>
    <w:rsid w:val="009444F6"/>
    <w:rsid w:val="009469AC"/>
    <w:rsid w:val="0094714B"/>
    <w:rsid w:val="009478B3"/>
    <w:rsid w:val="00947DFB"/>
    <w:rsid w:val="00951496"/>
    <w:rsid w:val="009532DA"/>
    <w:rsid w:val="009548C0"/>
    <w:rsid w:val="009548C5"/>
    <w:rsid w:val="0096183E"/>
    <w:rsid w:val="00962CF5"/>
    <w:rsid w:val="00962E3B"/>
    <w:rsid w:val="00963ACA"/>
    <w:rsid w:val="0096421B"/>
    <w:rsid w:val="0096610D"/>
    <w:rsid w:val="00967AF7"/>
    <w:rsid w:val="0097366D"/>
    <w:rsid w:val="00976715"/>
    <w:rsid w:val="00976B2F"/>
    <w:rsid w:val="009770F0"/>
    <w:rsid w:val="0097779A"/>
    <w:rsid w:val="00984055"/>
    <w:rsid w:val="009848A7"/>
    <w:rsid w:val="009849DE"/>
    <w:rsid w:val="00984A2C"/>
    <w:rsid w:val="00993F1B"/>
    <w:rsid w:val="0099455F"/>
    <w:rsid w:val="00994E56"/>
    <w:rsid w:val="009959A6"/>
    <w:rsid w:val="00995E92"/>
    <w:rsid w:val="009A09D8"/>
    <w:rsid w:val="009A0A6A"/>
    <w:rsid w:val="009A101A"/>
    <w:rsid w:val="009A289B"/>
    <w:rsid w:val="009A3D05"/>
    <w:rsid w:val="009A4690"/>
    <w:rsid w:val="009A4BBD"/>
    <w:rsid w:val="009A6C6C"/>
    <w:rsid w:val="009B2CD7"/>
    <w:rsid w:val="009B3E03"/>
    <w:rsid w:val="009B4F5D"/>
    <w:rsid w:val="009B5EDC"/>
    <w:rsid w:val="009B757C"/>
    <w:rsid w:val="009C0FED"/>
    <w:rsid w:val="009C59B1"/>
    <w:rsid w:val="009D20EF"/>
    <w:rsid w:val="009D65B4"/>
    <w:rsid w:val="009D791D"/>
    <w:rsid w:val="009E04C7"/>
    <w:rsid w:val="009E13C8"/>
    <w:rsid w:val="009E1890"/>
    <w:rsid w:val="009F0E1A"/>
    <w:rsid w:val="009F1D35"/>
    <w:rsid w:val="009F28BC"/>
    <w:rsid w:val="009F3849"/>
    <w:rsid w:val="009F3B7B"/>
    <w:rsid w:val="009F730B"/>
    <w:rsid w:val="00A0110B"/>
    <w:rsid w:val="00A03871"/>
    <w:rsid w:val="00A04D63"/>
    <w:rsid w:val="00A06583"/>
    <w:rsid w:val="00A0659C"/>
    <w:rsid w:val="00A066F5"/>
    <w:rsid w:val="00A10D00"/>
    <w:rsid w:val="00A11D2C"/>
    <w:rsid w:val="00A14A2C"/>
    <w:rsid w:val="00A243C6"/>
    <w:rsid w:val="00A3170D"/>
    <w:rsid w:val="00A31CA5"/>
    <w:rsid w:val="00A330D0"/>
    <w:rsid w:val="00A35F72"/>
    <w:rsid w:val="00A37C99"/>
    <w:rsid w:val="00A4106F"/>
    <w:rsid w:val="00A46BBD"/>
    <w:rsid w:val="00A46FF3"/>
    <w:rsid w:val="00A4751A"/>
    <w:rsid w:val="00A506FC"/>
    <w:rsid w:val="00A533FD"/>
    <w:rsid w:val="00A53533"/>
    <w:rsid w:val="00A538C2"/>
    <w:rsid w:val="00A53C95"/>
    <w:rsid w:val="00A55590"/>
    <w:rsid w:val="00A568B9"/>
    <w:rsid w:val="00A6146A"/>
    <w:rsid w:val="00A6152F"/>
    <w:rsid w:val="00A63A14"/>
    <w:rsid w:val="00A67C25"/>
    <w:rsid w:val="00A7315F"/>
    <w:rsid w:val="00A74227"/>
    <w:rsid w:val="00A74CBD"/>
    <w:rsid w:val="00A7719E"/>
    <w:rsid w:val="00A778F7"/>
    <w:rsid w:val="00A830C2"/>
    <w:rsid w:val="00A868D2"/>
    <w:rsid w:val="00A87D8B"/>
    <w:rsid w:val="00A93EB2"/>
    <w:rsid w:val="00A9675A"/>
    <w:rsid w:val="00A96A82"/>
    <w:rsid w:val="00AA1C0E"/>
    <w:rsid w:val="00AA582C"/>
    <w:rsid w:val="00AA6E2E"/>
    <w:rsid w:val="00AB0E7B"/>
    <w:rsid w:val="00AB1D03"/>
    <w:rsid w:val="00AB1DAE"/>
    <w:rsid w:val="00AB319B"/>
    <w:rsid w:val="00AB33A9"/>
    <w:rsid w:val="00AB5431"/>
    <w:rsid w:val="00AB6DCC"/>
    <w:rsid w:val="00AC1742"/>
    <w:rsid w:val="00AC19C3"/>
    <w:rsid w:val="00AC32D2"/>
    <w:rsid w:val="00AC47A1"/>
    <w:rsid w:val="00AC71F5"/>
    <w:rsid w:val="00AC7F3E"/>
    <w:rsid w:val="00AE0589"/>
    <w:rsid w:val="00AE6D99"/>
    <w:rsid w:val="00AF1678"/>
    <w:rsid w:val="00AF3F51"/>
    <w:rsid w:val="00AF53EA"/>
    <w:rsid w:val="00AF5CF4"/>
    <w:rsid w:val="00B019F1"/>
    <w:rsid w:val="00B07EC9"/>
    <w:rsid w:val="00B11895"/>
    <w:rsid w:val="00B11A06"/>
    <w:rsid w:val="00B11D55"/>
    <w:rsid w:val="00B144F6"/>
    <w:rsid w:val="00B1461A"/>
    <w:rsid w:val="00B15586"/>
    <w:rsid w:val="00B156B7"/>
    <w:rsid w:val="00B16105"/>
    <w:rsid w:val="00B17CCA"/>
    <w:rsid w:val="00B21118"/>
    <w:rsid w:val="00B21199"/>
    <w:rsid w:val="00B223B6"/>
    <w:rsid w:val="00B225EF"/>
    <w:rsid w:val="00B2280A"/>
    <w:rsid w:val="00B25919"/>
    <w:rsid w:val="00B2683B"/>
    <w:rsid w:val="00B304F2"/>
    <w:rsid w:val="00B3050A"/>
    <w:rsid w:val="00B31D3E"/>
    <w:rsid w:val="00B377E5"/>
    <w:rsid w:val="00B41AB8"/>
    <w:rsid w:val="00B4598D"/>
    <w:rsid w:val="00B46DF3"/>
    <w:rsid w:val="00B47DD6"/>
    <w:rsid w:val="00B47ED6"/>
    <w:rsid w:val="00B51ABB"/>
    <w:rsid w:val="00B537E4"/>
    <w:rsid w:val="00B53A3D"/>
    <w:rsid w:val="00B547D5"/>
    <w:rsid w:val="00B617A6"/>
    <w:rsid w:val="00B61908"/>
    <w:rsid w:val="00B620C2"/>
    <w:rsid w:val="00B6276F"/>
    <w:rsid w:val="00B6400C"/>
    <w:rsid w:val="00B642C1"/>
    <w:rsid w:val="00B726F9"/>
    <w:rsid w:val="00B73957"/>
    <w:rsid w:val="00B758A8"/>
    <w:rsid w:val="00B76473"/>
    <w:rsid w:val="00B86196"/>
    <w:rsid w:val="00B86B7A"/>
    <w:rsid w:val="00B87A1B"/>
    <w:rsid w:val="00B97F24"/>
    <w:rsid w:val="00BA6D46"/>
    <w:rsid w:val="00BA6F27"/>
    <w:rsid w:val="00BB25AF"/>
    <w:rsid w:val="00BB3427"/>
    <w:rsid w:val="00BB3D8D"/>
    <w:rsid w:val="00BC4CB0"/>
    <w:rsid w:val="00BC503C"/>
    <w:rsid w:val="00BC514F"/>
    <w:rsid w:val="00BC59E7"/>
    <w:rsid w:val="00BC6049"/>
    <w:rsid w:val="00BC7760"/>
    <w:rsid w:val="00BD1216"/>
    <w:rsid w:val="00BD546F"/>
    <w:rsid w:val="00BD7367"/>
    <w:rsid w:val="00BE1C47"/>
    <w:rsid w:val="00BE3394"/>
    <w:rsid w:val="00BE7673"/>
    <w:rsid w:val="00BE79E7"/>
    <w:rsid w:val="00BF1F44"/>
    <w:rsid w:val="00BF5659"/>
    <w:rsid w:val="00BF6EDF"/>
    <w:rsid w:val="00BF759C"/>
    <w:rsid w:val="00C02E81"/>
    <w:rsid w:val="00C04134"/>
    <w:rsid w:val="00C0581D"/>
    <w:rsid w:val="00C10759"/>
    <w:rsid w:val="00C145E9"/>
    <w:rsid w:val="00C14BD2"/>
    <w:rsid w:val="00C14D5A"/>
    <w:rsid w:val="00C16D29"/>
    <w:rsid w:val="00C201A8"/>
    <w:rsid w:val="00C213B2"/>
    <w:rsid w:val="00C2150D"/>
    <w:rsid w:val="00C234BC"/>
    <w:rsid w:val="00C23974"/>
    <w:rsid w:val="00C23CC5"/>
    <w:rsid w:val="00C25134"/>
    <w:rsid w:val="00C259D1"/>
    <w:rsid w:val="00C260CC"/>
    <w:rsid w:val="00C266F1"/>
    <w:rsid w:val="00C306A7"/>
    <w:rsid w:val="00C32383"/>
    <w:rsid w:val="00C332C3"/>
    <w:rsid w:val="00C333C2"/>
    <w:rsid w:val="00C373DE"/>
    <w:rsid w:val="00C410B7"/>
    <w:rsid w:val="00C415DF"/>
    <w:rsid w:val="00C44336"/>
    <w:rsid w:val="00C45812"/>
    <w:rsid w:val="00C511FA"/>
    <w:rsid w:val="00C518E8"/>
    <w:rsid w:val="00C57616"/>
    <w:rsid w:val="00C61534"/>
    <w:rsid w:val="00C61C08"/>
    <w:rsid w:val="00C6441D"/>
    <w:rsid w:val="00C6456A"/>
    <w:rsid w:val="00C645C6"/>
    <w:rsid w:val="00C669B0"/>
    <w:rsid w:val="00C7030F"/>
    <w:rsid w:val="00C7187C"/>
    <w:rsid w:val="00C779EB"/>
    <w:rsid w:val="00C81B07"/>
    <w:rsid w:val="00C9547C"/>
    <w:rsid w:val="00C9561A"/>
    <w:rsid w:val="00CA3271"/>
    <w:rsid w:val="00CA4E0D"/>
    <w:rsid w:val="00CA5EE7"/>
    <w:rsid w:val="00CB1686"/>
    <w:rsid w:val="00CB2CF3"/>
    <w:rsid w:val="00CB5941"/>
    <w:rsid w:val="00CB757C"/>
    <w:rsid w:val="00CC12F5"/>
    <w:rsid w:val="00CC19A7"/>
    <w:rsid w:val="00CC42A6"/>
    <w:rsid w:val="00CC584B"/>
    <w:rsid w:val="00CC6F10"/>
    <w:rsid w:val="00CD0614"/>
    <w:rsid w:val="00CD2946"/>
    <w:rsid w:val="00CD336A"/>
    <w:rsid w:val="00CD63AB"/>
    <w:rsid w:val="00CD667D"/>
    <w:rsid w:val="00CE6D52"/>
    <w:rsid w:val="00CF0DD4"/>
    <w:rsid w:val="00CF1582"/>
    <w:rsid w:val="00CF1A76"/>
    <w:rsid w:val="00CF4E15"/>
    <w:rsid w:val="00CF6999"/>
    <w:rsid w:val="00CF6B7A"/>
    <w:rsid w:val="00CF7ADD"/>
    <w:rsid w:val="00D02951"/>
    <w:rsid w:val="00D0432C"/>
    <w:rsid w:val="00D05623"/>
    <w:rsid w:val="00D0590B"/>
    <w:rsid w:val="00D122E7"/>
    <w:rsid w:val="00D13106"/>
    <w:rsid w:val="00D17917"/>
    <w:rsid w:val="00D17E71"/>
    <w:rsid w:val="00D22233"/>
    <w:rsid w:val="00D24A12"/>
    <w:rsid w:val="00D26686"/>
    <w:rsid w:val="00D26F35"/>
    <w:rsid w:val="00D30D5E"/>
    <w:rsid w:val="00D33F9B"/>
    <w:rsid w:val="00D412DF"/>
    <w:rsid w:val="00D4250B"/>
    <w:rsid w:val="00D4346D"/>
    <w:rsid w:val="00D434AE"/>
    <w:rsid w:val="00D43934"/>
    <w:rsid w:val="00D4424D"/>
    <w:rsid w:val="00D44757"/>
    <w:rsid w:val="00D45DA0"/>
    <w:rsid w:val="00D47D29"/>
    <w:rsid w:val="00D60A2B"/>
    <w:rsid w:val="00D61396"/>
    <w:rsid w:val="00D643B2"/>
    <w:rsid w:val="00D672D7"/>
    <w:rsid w:val="00D759AD"/>
    <w:rsid w:val="00D819EF"/>
    <w:rsid w:val="00D82F92"/>
    <w:rsid w:val="00D84CC5"/>
    <w:rsid w:val="00D86641"/>
    <w:rsid w:val="00D87EA8"/>
    <w:rsid w:val="00D90D63"/>
    <w:rsid w:val="00D9658A"/>
    <w:rsid w:val="00D96942"/>
    <w:rsid w:val="00DA1AED"/>
    <w:rsid w:val="00DA37B4"/>
    <w:rsid w:val="00DA381F"/>
    <w:rsid w:val="00DA597B"/>
    <w:rsid w:val="00DB0B95"/>
    <w:rsid w:val="00DB4CF1"/>
    <w:rsid w:val="00DB6383"/>
    <w:rsid w:val="00DB76F9"/>
    <w:rsid w:val="00DB7C6B"/>
    <w:rsid w:val="00DC2AF0"/>
    <w:rsid w:val="00DC3BF2"/>
    <w:rsid w:val="00DC5007"/>
    <w:rsid w:val="00DD041B"/>
    <w:rsid w:val="00DD33A5"/>
    <w:rsid w:val="00DD36B2"/>
    <w:rsid w:val="00DD490B"/>
    <w:rsid w:val="00DD552C"/>
    <w:rsid w:val="00DD5588"/>
    <w:rsid w:val="00DD6E38"/>
    <w:rsid w:val="00DE45DB"/>
    <w:rsid w:val="00DE481F"/>
    <w:rsid w:val="00DE506E"/>
    <w:rsid w:val="00DF5202"/>
    <w:rsid w:val="00DF521C"/>
    <w:rsid w:val="00E0378D"/>
    <w:rsid w:val="00E03D7A"/>
    <w:rsid w:val="00E04FE7"/>
    <w:rsid w:val="00E056D7"/>
    <w:rsid w:val="00E06A97"/>
    <w:rsid w:val="00E130DF"/>
    <w:rsid w:val="00E142C2"/>
    <w:rsid w:val="00E15E2D"/>
    <w:rsid w:val="00E222CA"/>
    <w:rsid w:val="00E22721"/>
    <w:rsid w:val="00E27BB2"/>
    <w:rsid w:val="00E35C1E"/>
    <w:rsid w:val="00E373BC"/>
    <w:rsid w:val="00E41C8B"/>
    <w:rsid w:val="00E42EA6"/>
    <w:rsid w:val="00E44A65"/>
    <w:rsid w:val="00E539EE"/>
    <w:rsid w:val="00E55C09"/>
    <w:rsid w:val="00E55FA5"/>
    <w:rsid w:val="00E5621D"/>
    <w:rsid w:val="00E611B2"/>
    <w:rsid w:val="00E620FE"/>
    <w:rsid w:val="00E63315"/>
    <w:rsid w:val="00E638C1"/>
    <w:rsid w:val="00E6572A"/>
    <w:rsid w:val="00E6765D"/>
    <w:rsid w:val="00E7062C"/>
    <w:rsid w:val="00E7354E"/>
    <w:rsid w:val="00E7613A"/>
    <w:rsid w:val="00E76B1F"/>
    <w:rsid w:val="00E77C01"/>
    <w:rsid w:val="00E8289D"/>
    <w:rsid w:val="00E84F80"/>
    <w:rsid w:val="00E929A3"/>
    <w:rsid w:val="00E95529"/>
    <w:rsid w:val="00E955E4"/>
    <w:rsid w:val="00EA4B14"/>
    <w:rsid w:val="00EA57FA"/>
    <w:rsid w:val="00EB3D20"/>
    <w:rsid w:val="00EB4C8C"/>
    <w:rsid w:val="00EB4D6D"/>
    <w:rsid w:val="00EB73B9"/>
    <w:rsid w:val="00EC0668"/>
    <w:rsid w:val="00EC07E6"/>
    <w:rsid w:val="00EC2289"/>
    <w:rsid w:val="00EC2420"/>
    <w:rsid w:val="00EC29CC"/>
    <w:rsid w:val="00EC2DDD"/>
    <w:rsid w:val="00EC4994"/>
    <w:rsid w:val="00EC5167"/>
    <w:rsid w:val="00EC6ABD"/>
    <w:rsid w:val="00ED0EB0"/>
    <w:rsid w:val="00ED1A83"/>
    <w:rsid w:val="00ED216F"/>
    <w:rsid w:val="00ED2DBD"/>
    <w:rsid w:val="00ED469A"/>
    <w:rsid w:val="00ED7DAC"/>
    <w:rsid w:val="00EE114A"/>
    <w:rsid w:val="00EE1676"/>
    <w:rsid w:val="00EE315C"/>
    <w:rsid w:val="00EE3C02"/>
    <w:rsid w:val="00EE5487"/>
    <w:rsid w:val="00EE5621"/>
    <w:rsid w:val="00EF7FAE"/>
    <w:rsid w:val="00F0007E"/>
    <w:rsid w:val="00F030DD"/>
    <w:rsid w:val="00F059CA"/>
    <w:rsid w:val="00F060EC"/>
    <w:rsid w:val="00F12A25"/>
    <w:rsid w:val="00F13C0D"/>
    <w:rsid w:val="00F13F59"/>
    <w:rsid w:val="00F1453C"/>
    <w:rsid w:val="00F16314"/>
    <w:rsid w:val="00F17D58"/>
    <w:rsid w:val="00F230D6"/>
    <w:rsid w:val="00F30C95"/>
    <w:rsid w:val="00F31848"/>
    <w:rsid w:val="00F36BD8"/>
    <w:rsid w:val="00F37329"/>
    <w:rsid w:val="00F40FE1"/>
    <w:rsid w:val="00F43685"/>
    <w:rsid w:val="00F443C2"/>
    <w:rsid w:val="00F44750"/>
    <w:rsid w:val="00F46239"/>
    <w:rsid w:val="00F46D6C"/>
    <w:rsid w:val="00F473D8"/>
    <w:rsid w:val="00F47ADA"/>
    <w:rsid w:val="00F524D4"/>
    <w:rsid w:val="00F56588"/>
    <w:rsid w:val="00F62740"/>
    <w:rsid w:val="00F63D14"/>
    <w:rsid w:val="00F640A3"/>
    <w:rsid w:val="00F673BD"/>
    <w:rsid w:val="00F7280A"/>
    <w:rsid w:val="00F72E4A"/>
    <w:rsid w:val="00F73688"/>
    <w:rsid w:val="00F76CB4"/>
    <w:rsid w:val="00F80E5B"/>
    <w:rsid w:val="00F85F6D"/>
    <w:rsid w:val="00F867ED"/>
    <w:rsid w:val="00F9013A"/>
    <w:rsid w:val="00F90AB8"/>
    <w:rsid w:val="00F90C48"/>
    <w:rsid w:val="00F9182E"/>
    <w:rsid w:val="00F95FD6"/>
    <w:rsid w:val="00FA0BF2"/>
    <w:rsid w:val="00FA1B4B"/>
    <w:rsid w:val="00FA2701"/>
    <w:rsid w:val="00FA3E43"/>
    <w:rsid w:val="00FA4DD0"/>
    <w:rsid w:val="00FA5280"/>
    <w:rsid w:val="00FA56F2"/>
    <w:rsid w:val="00FA6897"/>
    <w:rsid w:val="00FA6E75"/>
    <w:rsid w:val="00FB440F"/>
    <w:rsid w:val="00FB5643"/>
    <w:rsid w:val="00FB742A"/>
    <w:rsid w:val="00FB7755"/>
    <w:rsid w:val="00FC0B73"/>
    <w:rsid w:val="00FC29F7"/>
    <w:rsid w:val="00FC2CD2"/>
    <w:rsid w:val="00FC38CD"/>
    <w:rsid w:val="00FC5CCD"/>
    <w:rsid w:val="00FC6278"/>
    <w:rsid w:val="00FD2F15"/>
    <w:rsid w:val="00FD38FE"/>
    <w:rsid w:val="00FD51C8"/>
    <w:rsid w:val="00FD5FEA"/>
    <w:rsid w:val="00FD6A6A"/>
    <w:rsid w:val="00FD71C2"/>
    <w:rsid w:val="00FD79E8"/>
    <w:rsid w:val="00FE10E0"/>
    <w:rsid w:val="00FE12BA"/>
    <w:rsid w:val="00FF2986"/>
    <w:rsid w:val="00FF3D6E"/>
    <w:rsid w:val="00FF5918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CA57A"/>
  <w15:chartTrackingRefBased/>
  <w15:docId w15:val="{1F87567F-6132-40CE-94D2-F891C278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63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63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3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314"/>
    <w:rPr>
      <w:vertAlign w:val="superscript"/>
    </w:rPr>
  </w:style>
  <w:style w:type="paragraph" w:styleId="BodyText">
    <w:name w:val="Body Text"/>
    <w:basedOn w:val="Normal"/>
    <w:link w:val="BodyTextChar"/>
    <w:rsid w:val="00F163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1631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1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1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1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1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631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6314"/>
    <w:pPr>
      <w:spacing w:after="0" w:line="240" w:lineRule="auto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1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0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4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a1be7fe3-b1af-4cce-82d4-6ea25c209236">2023-04-04T18:30:00+00:00</Judgment_x0020_Date>
    <Year xmlns="63bdd487-88aa-4c54-b893-ddaa81ed2e7c">2023</Ye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199A0E7BB1848B3F8D450F3FAD5C4" ma:contentTypeVersion="7" ma:contentTypeDescription="Create a new document." ma:contentTypeScope="" ma:versionID="97bdcbebbc8d68d5e1cd0914f92abc14">
  <xsd:schema xmlns:xsd="http://www.w3.org/2001/XMLSchema" xmlns:xs="http://www.w3.org/2001/XMLSchema" xmlns:p="http://schemas.microsoft.com/office/2006/metadata/properties" xmlns:ns2="a1be7fe3-b1af-4cce-82d4-6ea25c209236" xmlns:ns3="63bdd487-88aa-4c54-b893-ddaa81ed2e7c" targetNamespace="http://schemas.microsoft.com/office/2006/metadata/properties" ma:root="true" ma:fieldsID="560a34a0c06ff376806fd0a5e0d6c22a" ns2:_="" ns3:_="">
    <xsd:import namespace="a1be7fe3-b1af-4cce-82d4-6ea25c209236"/>
    <xsd:import namespace="63bdd487-88aa-4c54-b893-ddaa81ed2e7c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7fe3-b1af-4cce-82d4-6ea25c209236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dd487-88aa-4c54-b893-ddaa81ed2e7c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8317C-4CB1-428F-AA28-C908D73DA536}">
  <ds:schemaRefs>
    <ds:schemaRef ds:uri="http://schemas.microsoft.com/office/2006/metadata/properties"/>
    <ds:schemaRef ds:uri="http://schemas.microsoft.com/office/infopath/2007/PartnerControls"/>
    <ds:schemaRef ds:uri="a1be7fe3-b1af-4cce-82d4-6ea25c209236"/>
    <ds:schemaRef ds:uri="63bdd487-88aa-4c54-b893-ddaa81ed2e7c"/>
  </ds:schemaRefs>
</ds:datastoreItem>
</file>

<file path=customXml/itemProps2.xml><?xml version="1.0" encoding="utf-8"?>
<ds:datastoreItem xmlns:ds="http://schemas.openxmlformats.org/officeDocument/2006/customXml" ds:itemID="{58B18AE1-78E9-4827-9DEE-64E4E0EAE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05472-0EB6-4901-AFC4-2863BEB76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7fe3-b1af-4cce-82d4-6ea25c209236"/>
    <ds:schemaRef ds:uri="63bdd487-88aa-4c54-b893-ddaa81ed2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BBA47-FE0D-4FE2-9CCF-2F9999F42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Protection Services (Pty) Ltd v PIS Security Services Close Corporation (SA 99-2020) 2023 NASC (5 April 2023)</dc:title>
  <dc:subject/>
  <dc:creator>Kemanya Amkongo</dc:creator>
  <cp:keywords/>
  <dc:description/>
  <cp:lastModifiedBy>Mariana Anguelov</cp:lastModifiedBy>
  <cp:revision>3</cp:revision>
  <cp:lastPrinted>2023-04-04T10:17:00Z</cp:lastPrinted>
  <dcterms:created xsi:type="dcterms:W3CDTF">2023-04-05T10:11:00Z</dcterms:created>
  <dcterms:modified xsi:type="dcterms:W3CDTF">2023-04-06T17:26:00Z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0x010100CD1199A0E7BB1848B3F8D450F3FAD5C4</vt:lpwstr>
  </property>
</Properties>
</file>