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27D3" w14:textId="6EBC418F" w:rsidR="002F3421" w:rsidRDefault="001C5DA1" w:rsidP="0068402A">
      <w:pPr>
        <w:jc w:val="center"/>
      </w:pPr>
      <w:r>
        <w:tab/>
      </w:r>
    </w:p>
    <w:p w14:paraId="6988A849" w14:textId="77777777" w:rsidR="002F3421" w:rsidRDefault="002F3421" w:rsidP="0068402A">
      <w:pPr>
        <w:jc w:val="center"/>
      </w:pPr>
    </w:p>
    <w:p w14:paraId="3AACE22B" w14:textId="77777777" w:rsidR="002F3421" w:rsidRDefault="002F3421" w:rsidP="0068402A">
      <w:pPr>
        <w:jc w:val="center"/>
      </w:pPr>
    </w:p>
    <w:p w14:paraId="156D69CF" w14:textId="77777777" w:rsidR="002F3421" w:rsidRDefault="002F3421" w:rsidP="0068402A">
      <w:pPr>
        <w:jc w:val="center"/>
      </w:pPr>
    </w:p>
    <w:p w14:paraId="2180EA0A" w14:textId="77777777" w:rsidR="002F3421" w:rsidRDefault="002F3421" w:rsidP="0068402A">
      <w:pPr>
        <w:jc w:val="center"/>
      </w:pPr>
    </w:p>
    <w:p w14:paraId="699F522E" w14:textId="77777777" w:rsidR="002F3421" w:rsidRPr="00FE01C3" w:rsidRDefault="002F3421" w:rsidP="0068402A">
      <w:pPr>
        <w:jc w:val="center"/>
        <w:rPr>
          <w:lang w:val="en-GB"/>
        </w:rPr>
      </w:pPr>
    </w:p>
    <w:p w14:paraId="202092AB" w14:textId="77777777" w:rsidR="00F32D1C" w:rsidRPr="00FE01C3" w:rsidRDefault="00333412" w:rsidP="0068402A">
      <w:pPr>
        <w:spacing w:line="480" w:lineRule="auto"/>
        <w:jc w:val="right"/>
        <w:rPr>
          <w:b/>
          <w:lang w:val="en-GB"/>
        </w:rPr>
      </w:pPr>
      <w:r w:rsidRPr="00FE01C3">
        <w:rPr>
          <w:b/>
          <w:noProof/>
          <w:lang w:val="en-ZA" w:eastAsia="en-ZA"/>
        </w:rPr>
        <w:drawing>
          <wp:anchor distT="0" distB="0" distL="114300" distR="114300" simplePos="0" relativeHeight="251659264" behindDoc="0" locked="0" layoutInCell="1" allowOverlap="1" wp14:anchorId="42A6BE28" wp14:editId="11D9D741">
            <wp:simplePos x="0" y="0"/>
            <wp:positionH relativeFrom="page">
              <wp:align>center</wp:align>
            </wp:positionH>
            <wp:positionV relativeFrom="margin">
              <wp:posOffset>-533400</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sidR="002F3421" w:rsidRPr="00FE01C3">
        <w:rPr>
          <w:b/>
          <w:lang w:val="en-GB"/>
        </w:rPr>
        <w:t>REPORTABLE</w:t>
      </w:r>
    </w:p>
    <w:p w14:paraId="1CA76970" w14:textId="4B980FD2" w:rsidR="002F3421" w:rsidRPr="00FE01C3" w:rsidRDefault="002F3421" w:rsidP="0068402A">
      <w:pPr>
        <w:spacing w:line="480" w:lineRule="auto"/>
        <w:jc w:val="right"/>
        <w:rPr>
          <w:lang w:val="en-GB"/>
        </w:rPr>
      </w:pPr>
      <w:r w:rsidRPr="00FE01C3">
        <w:rPr>
          <w:lang w:val="en-GB"/>
        </w:rPr>
        <w:t>CASE NO. SA 43/202</w:t>
      </w:r>
      <w:r w:rsidR="0092056C">
        <w:rPr>
          <w:lang w:val="en-GB"/>
        </w:rPr>
        <w:t>2</w:t>
      </w:r>
    </w:p>
    <w:p w14:paraId="5D84B3D2" w14:textId="77777777" w:rsidR="002F3421" w:rsidRPr="00FE01C3" w:rsidRDefault="002F3421" w:rsidP="0068402A">
      <w:pPr>
        <w:rPr>
          <w:lang w:val="en-GB"/>
        </w:rPr>
      </w:pPr>
    </w:p>
    <w:p w14:paraId="46F359BA" w14:textId="77777777" w:rsidR="002F3421" w:rsidRPr="00FE01C3" w:rsidRDefault="002F3421" w:rsidP="0068402A">
      <w:pPr>
        <w:rPr>
          <w:b/>
          <w:lang w:val="en-GB"/>
        </w:rPr>
      </w:pPr>
      <w:r w:rsidRPr="00FE01C3">
        <w:rPr>
          <w:b/>
          <w:lang w:val="en-GB"/>
        </w:rPr>
        <w:t>IN THE SUPREME COURT OF NAMIBIA</w:t>
      </w:r>
    </w:p>
    <w:p w14:paraId="00C617A1" w14:textId="77777777" w:rsidR="002F3421" w:rsidRPr="00FE01C3" w:rsidRDefault="002F3421" w:rsidP="0068402A">
      <w:pPr>
        <w:rPr>
          <w:lang w:val="en-GB"/>
        </w:rPr>
      </w:pPr>
    </w:p>
    <w:p w14:paraId="4A8533E9" w14:textId="77777777" w:rsidR="0032527B" w:rsidRPr="00FE01C3" w:rsidRDefault="0032527B" w:rsidP="0068402A">
      <w:pPr>
        <w:rPr>
          <w:lang w:val="en-GB"/>
        </w:rPr>
      </w:pPr>
    </w:p>
    <w:p w14:paraId="732542DD" w14:textId="77777777" w:rsidR="002F3421" w:rsidRPr="00FE01C3" w:rsidRDefault="002F3421" w:rsidP="0068402A">
      <w:pPr>
        <w:rPr>
          <w:lang w:val="en-GB"/>
        </w:rPr>
      </w:pPr>
      <w:r w:rsidRPr="00FE01C3">
        <w:rPr>
          <w:lang w:val="en-GB"/>
        </w:rPr>
        <w:t>In the matter between:</w:t>
      </w:r>
    </w:p>
    <w:p w14:paraId="7783200D" w14:textId="77777777" w:rsidR="002F3421" w:rsidRPr="00FE01C3" w:rsidRDefault="002F3421" w:rsidP="0068402A">
      <w:pPr>
        <w:rPr>
          <w:lang w:val="en-GB"/>
        </w:rPr>
      </w:pPr>
    </w:p>
    <w:p w14:paraId="7C719804" w14:textId="77777777" w:rsidR="002F3421" w:rsidRPr="00FE01C3" w:rsidRDefault="002F3421" w:rsidP="0068402A">
      <w:pPr>
        <w:rPr>
          <w:lang w:val="en-GB"/>
        </w:rPr>
      </w:pPr>
    </w:p>
    <w:tbl>
      <w:tblPr>
        <w:tblStyle w:val="TableGrid"/>
        <w:tblW w:w="8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552"/>
      </w:tblGrid>
      <w:tr w:rsidR="002F3421" w:rsidRPr="00FE01C3" w14:paraId="2B968C86" w14:textId="77777777" w:rsidTr="002B61FD">
        <w:tc>
          <w:tcPr>
            <w:tcW w:w="6120" w:type="dxa"/>
          </w:tcPr>
          <w:p w14:paraId="2CE1D70D" w14:textId="21D320BB" w:rsidR="002F3421" w:rsidRPr="00FE01C3" w:rsidRDefault="00A259AF" w:rsidP="0068402A">
            <w:pPr>
              <w:spacing w:line="276" w:lineRule="auto"/>
              <w:ind w:hanging="108"/>
              <w:rPr>
                <w:b/>
                <w:lang w:val="en-GB"/>
              </w:rPr>
            </w:pPr>
            <w:r w:rsidRPr="00FE01C3">
              <w:rPr>
                <w:b/>
                <w:lang w:val="en-GB"/>
              </w:rPr>
              <w:t>CHAIRPERSON O</w:t>
            </w:r>
            <w:r w:rsidR="002F3421" w:rsidRPr="00FE01C3">
              <w:rPr>
                <w:b/>
                <w:lang w:val="en-GB"/>
              </w:rPr>
              <w:t>F</w:t>
            </w:r>
            <w:r w:rsidR="0032527B" w:rsidRPr="00FE01C3">
              <w:rPr>
                <w:b/>
                <w:lang w:val="en-GB"/>
              </w:rPr>
              <w:t xml:space="preserve"> </w:t>
            </w:r>
            <w:r w:rsidR="002F3421" w:rsidRPr="00FE01C3">
              <w:rPr>
                <w:b/>
                <w:lang w:val="en-GB"/>
              </w:rPr>
              <w:t>THE REVIEW PANEL</w:t>
            </w:r>
          </w:p>
          <w:p w14:paraId="6F03E277" w14:textId="77777777" w:rsidR="002F3421" w:rsidRPr="00FE01C3" w:rsidRDefault="002F3421" w:rsidP="0068402A">
            <w:pPr>
              <w:spacing w:line="276" w:lineRule="auto"/>
              <w:ind w:hanging="108"/>
              <w:rPr>
                <w:b/>
                <w:lang w:val="en-GB"/>
              </w:rPr>
            </w:pPr>
          </w:p>
        </w:tc>
        <w:tc>
          <w:tcPr>
            <w:tcW w:w="2552" w:type="dxa"/>
          </w:tcPr>
          <w:p w14:paraId="0313D9C8" w14:textId="77777777" w:rsidR="002F3421" w:rsidRPr="00FE01C3" w:rsidRDefault="002F3421" w:rsidP="0068402A">
            <w:pPr>
              <w:spacing w:line="276" w:lineRule="auto"/>
              <w:jc w:val="right"/>
              <w:rPr>
                <w:b/>
                <w:lang w:val="en-GB"/>
              </w:rPr>
            </w:pPr>
            <w:r w:rsidRPr="00FE01C3">
              <w:rPr>
                <w:b/>
                <w:lang w:val="en-GB"/>
              </w:rPr>
              <w:t>First Appellant</w:t>
            </w:r>
          </w:p>
        </w:tc>
      </w:tr>
      <w:tr w:rsidR="002F3421" w:rsidRPr="00FE01C3" w14:paraId="16DE6183" w14:textId="77777777" w:rsidTr="002B61FD">
        <w:tc>
          <w:tcPr>
            <w:tcW w:w="6120" w:type="dxa"/>
          </w:tcPr>
          <w:p w14:paraId="4999B35E" w14:textId="3B9B682C" w:rsidR="0032527B" w:rsidRPr="00FE01C3" w:rsidRDefault="002F3421" w:rsidP="0068402A">
            <w:pPr>
              <w:spacing w:line="276" w:lineRule="auto"/>
              <w:ind w:left="-108"/>
              <w:rPr>
                <w:b/>
                <w:lang w:val="en-GB"/>
              </w:rPr>
            </w:pPr>
            <w:r w:rsidRPr="00FE01C3">
              <w:rPr>
                <w:b/>
                <w:lang w:val="en-GB"/>
              </w:rPr>
              <w:t>CHAIRPERSON: CENTRAL PROCUREMENT</w:t>
            </w:r>
            <w:r w:rsidR="0032527B" w:rsidRPr="00FE01C3">
              <w:rPr>
                <w:b/>
                <w:lang w:val="en-GB"/>
              </w:rPr>
              <w:t xml:space="preserve"> BOARD</w:t>
            </w:r>
          </w:p>
          <w:p w14:paraId="288300F4" w14:textId="77777777" w:rsidR="002F3421" w:rsidRPr="00FE01C3" w:rsidRDefault="002F3421" w:rsidP="0068402A">
            <w:pPr>
              <w:spacing w:line="276" w:lineRule="auto"/>
              <w:ind w:left="34" w:hanging="108"/>
              <w:rPr>
                <w:b/>
                <w:lang w:val="en-GB"/>
              </w:rPr>
            </w:pPr>
            <w:r w:rsidRPr="00FE01C3">
              <w:rPr>
                <w:b/>
                <w:lang w:val="en-GB"/>
              </w:rPr>
              <w:t>OF NAMIBIA</w:t>
            </w:r>
          </w:p>
          <w:p w14:paraId="44C86862" w14:textId="77777777" w:rsidR="002F3421" w:rsidRPr="00FE01C3" w:rsidRDefault="002F3421" w:rsidP="0068402A">
            <w:pPr>
              <w:spacing w:line="276" w:lineRule="auto"/>
              <w:ind w:hanging="108"/>
              <w:rPr>
                <w:b/>
                <w:lang w:val="en-GB"/>
              </w:rPr>
            </w:pPr>
          </w:p>
        </w:tc>
        <w:tc>
          <w:tcPr>
            <w:tcW w:w="2552" w:type="dxa"/>
          </w:tcPr>
          <w:p w14:paraId="547E87D2" w14:textId="77777777" w:rsidR="00A45681" w:rsidRDefault="00A45681" w:rsidP="0068402A">
            <w:pPr>
              <w:spacing w:line="276" w:lineRule="auto"/>
              <w:jc w:val="right"/>
              <w:rPr>
                <w:b/>
                <w:lang w:val="en-GB"/>
              </w:rPr>
            </w:pPr>
          </w:p>
          <w:p w14:paraId="575945FA" w14:textId="77777777" w:rsidR="002F3421" w:rsidRPr="00FE01C3" w:rsidRDefault="002F3421" w:rsidP="0068402A">
            <w:pPr>
              <w:spacing w:line="276" w:lineRule="auto"/>
              <w:jc w:val="right"/>
              <w:rPr>
                <w:b/>
                <w:lang w:val="en-GB"/>
              </w:rPr>
            </w:pPr>
            <w:r w:rsidRPr="00FE01C3">
              <w:rPr>
                <w:b/>
                <w:lang w:val="en-GB"/>
              </w:rPr>
              <w:t>Second Appellant</w:t>
            </w:r>
          </w:p>
        </w:tc>
      </w:tr>
      <w:tr w:rsidR="002F3421" w:rsidRPr="00FE01C3" w14:paraId="198E39CE" w14:textId="77777777" w:rsidTr="002B61FD">
        <w:tc>
          <w:tcPr>
            <w:tcW w:w="6120" w:type="dxa"/>
          </w:tcPr>
          <w:p w14:paraId="6C4FA253" w14:textId="53F82957" w:rsidR="002F3421" w:rsidRPr="00FE01C3" w:rsidRDefault="002F3421" w:rsidP="0068402A">
            <w:pPr>
              <w:spacing w:line="276" w:lineRule="auto"/>
              <w:ind w:hanging="108"/>
              <w:rPr>
                <w:b/>
                <w:lang w:val="en-GB"/>
              </w:rPr>
            </w:pPr>
            <w:r w:rsidRPr="00FE01C3">
              <w:rPr>
                <w:b/>
                <w:lang w:val="en-GB"/>
              </w:rPr>
              <w:t>CENTRAL PROCUREMENT BOARD OF NAMIBIA</w:t>
            </w:r>
          </w:p>
          <w:p w14:paraId="46132BC9" w14:textId="77777777" w:rsidR="002F3421" w:rsidRPr="00FE01C3" w:rsidRDefault="002F3421" w:rsidP="0068402A">
            <w:pPr>
              <w:spacing w:line="276" w:lineRule="auto"/>
              <w:ind w:hanging="108"/>
              <w:rPr>
                <w:b/>
                <w:lang w:val="en-GB"/>
              </w:rPr>
            </w:pPr>
          </w:p>
        </w:tc>
        <w:tc>
          <w:tcPr>
            <w:tcW w:w="2552" w:type="dxa"/>
          </w:tcPr>
          <w:p w14:paraId="68838B91" w14:textId="77777777" w:rsidR="002F3421" w:rsidRPr="00FE01C3" w:rsidRDefault="002F3421" w:rsidP="0068402A">
            <w:pPr>
              <w:spacing w:line="276" w:lineRule="auto"/>
              <w:jc w:val="right"/>
              <w:rPr>
                <w:b/>
                <w:lang w:val="en-GB"/>
              </w:rPr>
            </w:pPr>
            <w:r w:rsidRPr="00FE01C3">
              <w:rPr>
                <w:b/>
                <w:lang w:val="en-GB"/>
              </w:rPr>
              <w:t>Third Appellant</w:t>
            </w:r>
          </w:p>
        </w:tc>
      </w:tr>
      <w:tr w:rsidR="002F3421" w:rsidRPr="00FE01C3" w14:paraId="74BA4D65" w14:textId="77777777" w:rsidTr="002B61FD">
        <w:tc>
          <w:tcPr>
            <w:tcW w:w="6120" w:type="dxa"/>
          </w:tcPr>
          <w:p w14:paraId="004C5E8B" w14:textId="7256C1C6" w:rsidR="002F3421" w:rsidRPr="00FE01C3" w:rsidRDefault="002F3421" w:rsidP="0068402A">
            <w:pPr>
              <w:spacing w:line="276" w:lineRule="auto"/>
              <w:ind w:hanging="108"/>
              <w:rPr>
                <w:lang w:val="en-GB"/>
              </w:rPr>
            </w:pPr>
            <w:r w:rsidRPr="00FE01C3">
              <w:rPr>
                <w:lang w:val="en-GB"/>
              </w:rPr>
              <w:t>and</w:t>
            </w:r>
          </w:p>
          <w:p w14:paraId="0CD3B1A6" w14:textId="77777777" w:rsidR="002F3421" w:rsidRPr="00FE01C3" w:rsidRDefault="002F3421" w:rsidP="0068402A">
            <w:pPr>
              <w:spacing w:line="276" w:lineRule="auto"/>
              <w:ind w:hanging="108"/>
              <w:rPr>
                <w:lang w:val="en-GB"/>
              </w:rPr>
            </w:pPr>
          </w:p>
        </w:tc>
        <w:tc>
          <w:tcPr>
            <w:tcW w:w="2552" w:type="dxa"/>
          </w:tcPr>
          <w:p w14:paraId="3052D4CB" w14:textId="77777777" w:rsidR="002F3421" w:rsidRPr="00FE01C3" w:rsidRDefault="002F3421" w:rsidP="0068402A">
            <w:pPr>
              <w:spacing w:line="276" w:lineRule="auto"/>
              <w:jc w:val="right"/>
              <w:rPr>
                <w:b/>
                <w:lang w:val="en-GB"/>
              </w:rPr>
            </w:pPr>
          </w:p>
        </w:tc>
      </w:tr>
      <w:tr w:rsidR="002F3421" w:rsidRPr="00FE01C3" w14:paraId="66894806" w14:textId="77777777" w:rsidTr="002B61FD">
        <w:tc>
          <w:tcPr>
            <w:tcW w:w="6120" w:type="dxa"/>
          </w:tcPr>
          <w:p w14:paraId="2A380E98" w14:textId="0554BA9A" w:rsidR="002F3421" w:rsidRPr="00FE01C3" w:rsidRDefault="002F3421" w:rsidP="0068402A">
            <w:pPr>
              <w:spacing w:line="276" w:lineRule="auto"/>
              <w:ind w:hanging="108"/>
              <w:rPr>
                <w:b/>
                <w:lang w:val="en-GB"/>
              </w:rPr>
            </w:pPr>
            <w:r w:rsidRPr="00FE01C3">
              <w:rPr>
                <w:b/>
                <w:lang w:val="en-GB"/>
              </w:rPr>
              <w:t>STREAM TWO PROPERTIES</w:t>
            </w:r>
            <w:r w:rsidR="0032527B" w:rsidRPr="00FE01C3">
              <w:rPr>
                <w:b/>
                <w:lang w:val="en-GB"/>
              </w:rPr>
              <w:t xml:space="preserve"> CC</w:t>
            </w:r>
          </w:p>
          <w:p w14:paraId="4394B8DB" w14:textId="77777777" w:rsidR="002F3421" w:rsidRPr="00FE01C3" w:rsidRDefault="002F3421" w:rsidP="0068402A">
            <w:pPr>
              <w:spacing w:line="276" w:lineRule="auto"/>
              <w:ind w:hanging="108"/>
              <w:rPr>
                <w:b/>
                <w:lang w:val="en-GB"/>
              </w:rPr>
            </w:pPr>
          </w:p>
        </w:tc>
        <w:tc>
          <w:tcPr>
            <w:tcW w:w="2552" w:type="dxa"/>
          </w:tcPr>
          <w:p w14:paraId="3B848905" w14:textId="77777777" w:rsidR="002F3421" w:rsidRPr="00FE01C3" w:rsidRDefault="002F3421" w:rsidP="0068402A">
            <w:pPr>
              <w:spacing w:line="276" w:lineRule="auto"/>
              <w:jc w:val="right"/>
              <w:rPr>
                <w:b/>
                <w:lang w:val="en-GB"/>
              </w:rPr>
            </w:pPr>
            <w:r w:rsidRPr="00FE01C3">
              <w:rPr>
                <w:b/>
                <w:lang w:val="en-GB"/>
              </w:rPr>
              <w:t>Respondent</w:t>
            </w:r>
          </w:p>
        </w:tc>
      </w:tr>
    </w:tbl>
    <w:p w14:paraId="3B9D0BC3" w14:textId="77777777" w:rsidR="002F3421" w:rsidRPr="00FE01C3" w:rsidRDefault="002F3421" w:rsidP="0068402A">
      <w:pPr>
        <w:rPr>
          <w:lang w:val="en-GB"/>
        </w:rPr>
      </w:pPr>
    </w:p>
    <w:p w14:paraId="12D8FBCE" w14:textId="77777777" w:rsidR="002F3421" w:rsidRPr="00FE01C3" w:rsidRDefault="002F3421" w:rsidP="0068402A">
      <w:pPr>
        <w:rPr>
          <w:lang w:val="en-GB"/>
        </w:rPr>
      </w:pPr>
    </w:p>
    <w:p w14:paraId="2940B7A6" w14:textId="77777777" w:rsidR="002F3421" w:rsidRPr="00FE01C3" w:rsidRDefault="002F3421" w:rsidP="0068402A">
      <w:pPr>
        <w:rPr>
          <w:lang w:val="en-GB"/>
        </w:rPr>
      </w:pPr>
      <w:r w:rsidRPr="00FE01C3">
        <w:rPr>
          <w:b/>
          <w:lang w:val="en-GB"/>
        </w:rPr>
        <w:t>CORAM:</w:t>
      </w:r>
      <w:r w:rsidRPr="00FE01C3">
        <w:rPr>
          <w:lang w:val="en-GB"/>
        </w:rPr>
        <w:tab/>
      </w:r>
      <w:r w:rsidR="0032527B" w:rsidRPr="00FE01C3">
        <w:rPr>
          <w:lang w:val="en-GB"/>
        </w:rPr>
        <w:tab/>
      </w:r>
      <w:r w:rsidRPr="00FE01C3">
        <w:rPr>
          <w:lang w:val="en-GB"/>
        </w:rPr>
        <w:t>SHIVUTE CJ, MAINGA JA and HOFF JA</w:t>
      </w:r>
    </w:p>
    <w:p w14:paraId="32D21C6B" w14:textId="77777777" w:rsidR="002F3421" w:rsidRPr="00FE01C3" w:rsidRDefault="002F3421" w:rsidP="0068402A">
      <w:pPr>
        <w:rPr>
          <w:lang w:val="en-GB"/>
        </w:rPr>
      </w:pPr>
    </w:p>
    <w:p w14:paraId="419908CA" w14:textId="77777777" w:rsidR="00D50919" w:rsidRPr="00FE01C3" w:rsidRDefault="00D50919" w:rsidP="0068402A">
      <w:pPr>
        <w:rPr>
          <w:lang w:val="en-GB"/>
        </w:rPr>
      </w:pPr>
    </w:p>
    <w:p w14:paraId="26F31802" w14:textId="77777777" w:rsidR="002F3421" w:rsidRPr="00FE01C3" w:rsidRDefault="002F3421" w:rsidP="0068402A">
      <w:pPr>
        <w:rPr>
          <w:b/>
          <w:lang w:val="en-GB"/>
        </w:rPr>
      </w:pPr>
      <w:r w:rsidRPr="00FE01C3">
        <w:rPr>
          <w:b/>
          <w:lang w:val="en-GB"/>
        </w:rPr>
        <w:t>Heard:</w:t>
      </w:r>
      <w:r w:rsidRPr="00FE01C3">
        <w:rPr>
          <w:b/>
          <w:lang w:val="en-GB"/>
        </w:rPr>
        <w:tab/>
      </w:r>
      <w:r w:rsidR="0032527B" w:rsidRPr="00FE01C3">
        <w:rPr>
          <w:b/>
          <w:lang w:val="en-GB"/>
        </w:rPr>
        <w:tab/>
      </w:r>
      <w:r w:rsidRPr="00FE01C3">
        <w:rPr>
          <w:b/>
          <w:lang w:val="en-GB"/>
        </w:rPr>
        <w:t>14 July 2023</w:t>
      </w:r>
    </w:p>
    <w:p w14:paraId="56ECCA69" w14:textId="77777777" w:rsidR="002F3421" w:rsidRPr="00FE01C3" w:rsidRDefault="002F3421" w:rsidP="0068402A">
      <w:pPr>
        <w:rPr>
          <w:b/>
          <w:lang w:val="en-GB"/>
        </w:rPr>
      </w:pPr>
    </w:p>
    <w:p w14:paraId="551DF523" w14:textId="707B2922" w:rsidR="002F3421" w:rsidRPr="00FE01C3" w:rsidRDefault="002F3421" w:rsidP="0068402A">
      <w:pPr>
        <w:rPr>
          <w:b/>
          <w:lang w:val="en-GB"/>
        </w:rPr>
      </w:pPr>
      <w:r w:rsidRPr="00FE01C3">
        <w:rPr>
          <w:b/>
          <w:lang w:val="en-GB"/>
        </w:rPr>
        <w:t>Delivered:</w:t>
      </w:r>
      <w:r w:rsidRPr="00FE01C3">
        <w:rPr>
          <w:b/>
          <w:lang w:val="en-GB"/>
        </w:rPr>
        <w:tab/>
      </w:r>
      <w:r w:rsidR="0032527B" w:rsidRPr="00FE01C3">
        <w:rPr>
          <w:b/>
          <w:lang w:val="en-GB"/>
        </w:rPr>
        <w:tab/>
      </w:r>
      <w:r w:rsidR="006961C4">
        <w:rPr>
          <w:b/>
          <w:lang w:val="en-GB"/>
        </w:rPr>
        <w:t>1</w:t>
      </w:r>
      <w:r w:rsidR="00240BD7">
        <w:rPr>
          <w:b/>
          <w:lang w:val="en-GB"/>
        </w:rPr>
        <w:t>5</w:t>
      </w:r>
      <w:r w:rsidR="006961C4">
        <w:rPr>
          <w:b/>
          <w:lang w:val="en-GB"/>
        </w:rPr>
        <w:t xml:space="preserve"> </w:t>
      </w:r>
      <w:r w:rsidR="003833FF">
        <w:rPr>
          <w:b/>
          <w:lang w:val="en-GB"/>
        </w:rPr>
        <w:t>December</w:t>
      </w:r>
      <w:r w:rsidRPr="00FE01C3">
        <w:rPr>
          <w:b/>
          <w:lang w:val="en-GB"/>
        </w:rPr>
        <w:t xml:space="preserve"> 2023</w:t>
      </w:r>
    </w:p>
    <w:p w14:paraId="79521521" w14:textId="77777777" w:rsidR="002F3421" w:rsidRPr="00FE01C3" w:rsidRDefault="002F3421" w:rsidP="0068402A">
      <w:pPr>
        <w:rPr>
          <w:lang w:val="en-GB"/>
        </w:rPr>
      </w:pPr>
    </w:p>
    <w:p w14:paraId="5D0195E3" w14:textId="77777777" w:rsidR="002F3421" w:rsidRPr="00FE01C3" w:rsidRDefault="002F3421" w:rsidP="0068402A">
      <w:pPr>
        <w:rPr>
          <w:lang w:val="en-GB"/>
        </w:rPr>
      </w:pPr>
    </w:p>
    <w:p w14:paraId="0C2C1101" w14:textId="09B51616" w:rsidR="00C91B76" w:rsidRPr="00C91B76" w:rsidRDefault="002F3421" w:rsidP="0068402A">
      <w:pPr>
        <w:spacing w:line="360" w:lineRule="auto"/>
        <w:rPr>
          <w:rFonts w:eastAsia="Calibri"/>
          <w:lang w:val="en-US"/>
        </w:rPr>
      </w:pPr>
      <w:r w:rsidRPr="00FE01C3">
        <w:rPr>
          <w:b/>
          <w:lang w:val="en-GB"/>
        </w:rPr>
        <w:t>Summary:</w:t>
      </w:r>
      <w:r w:rsidR="0011717F">
        <w:rPr>
          <w:b/>
          <w:lang w:val="en-GB"/>
        </w:rPr>
        <w:t xml:space="preserve"> </w:t>
      </w:r>
      <w:r w:rsidR="00C91B76" w:rsidRPr="00C91B76">
        <w:rPr>
          <w:rFonts w:eastAsia="Calibri"/>
          <w:lang w:val="en-US"/>
        </w:rPr>
        <w:t>The appellant</w:t>
      </w:r>
      <w:r w:rsidR="00240BD7">
        <w:rPr>
          <w:rFonts w:eastAsia="Calibri"/>
          <w:lang w:val="en-US"/>
        </w:rPr>
        <w:t>s have</w:t>
      </w:r>
      <w:r w:rsidR="00C91B76" w:rsidRPr="00C91B76">
        <w:rPr>
          <w:rFonts w:eastAsia="Calibri"/>
          <w:lang w:val="en-US"/>
        </w:rPr>
        <w:t xml:space="preserve"> appealed against the decision of the High Court reviewing and setting aside a ruling of the Review Panel constituted in terms of the Public Procurement Act 15 of 1995 (the PPA), brought on review to it by the respondent. </w:t>
      </w:r>
    </w:p>
    <w:p w14:paraId="1194F89B" w14:textId="77777777" w:rsidR="00C91B76" w:rsidRPr="00C91B76" w:rsidRDefault="00C91B76" w:rsidP="0068402A">
      <w:pPr>
        <w:spacing w:line="360" w:lineRule="auto"/>
        <w:rPr>
          <w:rFonts w:eastAsia="Calibri"/>
          <w:lang w:val="en-US"/>
        </w:rPr>
      </w:pPr>
    </w:p>
    <w:p w14:paraId="1B12105A" w14:textId="77777777" w:rsidR="00C91B76" w:rsidRPr="00C91B76" w:rsidRDefault="00C91B76" w:rsidP="0068402A">
      <w:pPr>
        <w:spacing w:line="360" w:lineRule="auto"/>
        <w:rPr>
          <w:rFonts w:eastAsia="Calibri"/>
          <w:lang w:val="en-US"/>
        </w:rPr>
      </w:pPr>
      <w:r w:rsidRPr="00C91B76">
        <w:rPr>
          <w:rFonts w:eastAsia="Calibri"/>
          <w:lang w:val="en-US"/>
        </w:rPr>
        <w:t xml:space="preserve">The respondent submitted a bid following an invitation by the Central Procurement Board (the Board) for bids for the provision of protein, sugar, salt and transportation </w:t>
      </w:r>
      <w:r w:rsidRPr="00C91B76">
        <w:rPr>
          <w:rFonts w:eastAsia="Calibri"/>
          <w:lang w:val="en-US"/>
        </w:rPr>
        <w:lastRenderedPageBreak/>
        <w:t>to blenders’ warehouses. During the evaluation process, the respondent was asked to provide additional information, including the full birth certificate of its sole member. Subsequently, the respondent’s bid was deemed 'unresponsive' due to a perceived conflict of interest, as the respondent’s sole member shared the same surname and physical and postal addresses as the members of two other bidding corporations, namely Degrande Investments CC and Degree Power Investment CC.</w:t>
      </w:r>
    </w:p>
    <w:p w14:paraId="1F0A0F75" w14:textId="77777777" w:rsidR="00C91B76" w:rsidRPr="00C91B76" w:rsidRDefault="00C91B76" w:rsidP="0068402A">
      <w:pPr>
        <w:spacing w:line="360" w:lineRule="auto"/>
        <w:rPr>
          <w:rFonts w:eastAsia="Calibri"/>
          <w:lang w:val="en-US"/>
        </w:rPr>
      </w:pPr>
    </w:p>
    <w:p w14:paraId="5FFFCF46" w14:textId="7ACE09C2" w:rsidR="00C91B76" w:rsidRPr="00C91B76" w:rsidRDefault="00C91B76" w:rsidP="0068402A">
      <w:pPr>
        <w:spacing w:line="360" w:lineRule="auto"/>
        <w:rPr>
          <w:rFonts w:eastAsia="Calibri"/>
          <w:lang w:val="en-US"/>
        </w:rPr>
      </w:pPr>
      <w:r w:rsidRPr="00C91B76">
        <w:rPr>
          <w:rFonts w:eastAsia="Calibri"/>
          <w:lang w:val="en-US"/>
        </w:rPr>
        <w:t xml:space="preserve">Additionally, the respondent and the two other corporations had similar, if not identical laboratory reports which were submitted as a part of their respective bids. These findings, which did not form part of the appellants’ reasons for disqualifying the respondent's bid, came to light during the procurement statutory review process, having been stated in the answering affidavit prepared on behalf of the appellants. In response, the respondent contested its disqualification, arguing </w:t>
      </w:r>
      <w:r w:rsidR="00303583">
        <w:rPr>
          <w:rFonts w:eastAsia="Calibri"/>
          <w:lang w:val="en-US"/>
        </w:rPr>
        <w:t xml:space="preserve">that </w:t>
      </w:r>
      <w:r w:rsidRPr="00C91B76">
        <w:rPr>
          <w:rFonts w:eastAsia="Calibri"/>
          <w:lang w:val="en-US"/>
        </w:rPr>
        <w:t xml:space="preserve">it </w:t>
      </w:r>
      <w:r w:rsidR="00303583">
        <w:rPr>
          <w:rFonts w:eastAsia="Calibri"/>
          <w:lang w:val="en-US"/>
        </w:rPr>
        <w:t xml:space="preserve">has </w:t>
      </w:r>
      <w:r w:rsidRPr="00C91B76">
        <w:rPr>
          <w:rFonts w:eastAsia="Calibri"/>
          <w:lang w:val="en-US"/>
        </w:rPr>
        <w:t xml:space="preserve">legal identity as a corporation </w:t>
      </w:r>
      <w:r w:rsidR="00303583">
        <w:rPr>
          <w:rFonts w:eastAsia="Calibri"/>
          <w:lang w:val="en-US"/>
        </w:rPr>
        <w:t xml:space="preserve">separate </w:t>
      </w:r>
      <w:r w:rsidRPr="00C91B76">
        <w:rPr>
          <w:rFonts w:eastAsia="Calibri"/>
          <w:lang w:val="en-US"/>
        </w:rPr>
        <w:t xml:space="preserve">from that of its member and denying any conflict of interest. </w:t>
      </w:r>
    </w:p>
    <w:p w14:paraId="73BF8D1D" w14:textId="77777777" w:rsidR="00C91B76" w:rsidRPr="00C91B76" w:rsidRDefault="00C91B76" w:rsidP="0068402A">
      <w:pPr>
        <w:spacing w:line="360" w:lineRule="auto"/>
        <w:rPr>
          <w:rFonts w:eastAsia="Calibri"/>
          <w:lang w:val="en-US"/>
        </w:rPr>
      </w:pPr>
    </w:p>
    <w:p w14:paraId="169585D4" w14:textId="77777777" w:rsidR="00C91B76" w:rsidRPr="00C91B76" w:rsidRDefault="00C91B76" w:rsidP="0068402A">
      <w:pPr>
        <w:spacing w:line="360" w:lineRule="auto"/>
        <w:rPr>
          <w:rFonts w:eastAsia="Calibri"/>
          <w:lang w:val="en-US"/>
        </w:rPr>
      </w:pPr>
      <w:r w:rsidRPr="00C91B76">
        <w:rPr>
          <w:rFonts w:eastAsia="Calibri"/>
          <w:lang w:val="en-US"/>
        </w:rPr>
        <w:t>The Review Panel noted that while the bid documents permitted disqualification for conflict of interest, the similarities in surnames and addresses alone were not enough for such a decision. The Review Panel suggested a holistic review of all the documents and set aside the Board’s initial decision, directing the Board to reconsider the respondent’s bid and stating that if a conflict of interest was found to exist, the Board may disqualify the respondent and provide reasons for doing so.</w:t>
      </w:r>
    </w:p>
    <w:p w14:paraId="013BC5E6" w14:textId="77777777" w:rsidR="00C91B76" w:rsidRPr="00C91B76" w:rsidRDefault="00C91B76" w:rsidP="0068402A">
      <w:pPr>
        <w:spacing w:line="360" w:lineRule="auto"/>
        <w:rPr>
          <w:rFonts w:eastAsia="Calibri"/>
          <w:lang w:val="en-US"/>
        </w:rPr>
      </w:pPr>
    </w:p>
    <w:p w14:paraId="6D23BEA7" w14:textId="4D595F52" w:rsidR="00C91B76" w:rsidRPr="00C91B76" w:rsidRDefault="00C91B76" w:rsidP="0068402A">
      <w:pPr>
        <w:spacing w:line="360" w:lineRule="auto"/>
        <w:rPr>
          <w:rFonts w:eastAsia="Calibri"/>
          <w:lang w:val="en-US"/>
        </w:rPr>
      </w:pPr>
      <w:r w:rsidRPr="00C91B76">
        <w:rPr>
          <w:rFonts w:eastAsia="Calibri"/>
          <w:lang w:val="en-US"/>
        </w:rPr>
        <w:t xml:space="preserve">The matter escalated to the High Court </w:t>
      </w:r>
      <w:r w:rsidR="00303583">
        <w:rPr>
          <w:rFonts w:eastAsia="Calibri"/>
          <w:lang w:val="en-US"/>
        </w:rPr>
        <w:t>on</w:t>
      </w:r>
      <w:r w:rsidRPr="00C91B76">
        <w:rPr>
          <w:rFonts w:eastAsia="Calibri"/>
          <w:lang w:val="en-US"/>
        </w:rPr>
        <w:t xml:space="preserve"> judicial review. The High Court found that the Review Panel exceeded its authority by seeking additional reasons for disqualification beyond those initially provided by the Board. The court ruled that the Review Panel should have focused on the original reasons for the bid's exclusion. Consequently, the High Court substituted the ruling of the Review Panel for an order setting aside the decision and remitting the matter to the Board with the direction for the Board to consider the respondent’s bid together with other bids through all the stages of the bid evaluation process. It is this decision that the appellants have appealed against.</w:t>
      </w:r>
    </w:p>
    <w:p w14:paraId="0F55EC0E" w14:textId="77777777" w:rsidR="00C91B76" w:rsidRPr="00C91B76" w:rsidRDefault="00C91B76" w:rsidP="0068402A">
      <w:pPr>
        <w:spacing w:line="360" w:lineRule="auto"/>
        <w:rPr>
          <w:rFonts w:eastAsia="Calibri"/>
          <w:lang w:val="en-US"/>
        </w:rPr>
      </w:pPr>
    </w:p>
    <w:p w14:paraId="6E74584E" w14:textId="77777777" w:rsidR="007250FB" w:rsidRPr="00C91B76" w:rsidRDefault="007250FB" w:rsidP="007250FB">
      <w:pPr>
        <w:spacing w:line="360" w:lineRule="auto"/>
        <w:rPr>
          <w:rFonts w:eastAsia="Calibri"/>
          <w:lang w:val="en-US"/>
        </w:rPr>
      </w:pPr>
      <w:r w:rsidRPr="00C91B76">
        <w:rPr>
          <w:rFonts w:eastAsia="Calibri"/>
          <w:i/>
          <w:lang w:val="en-US"/>
        </w:rPr>
        <w:lastRenderedPageBreak/>
        <w:t>Held that,</w:t>
      </w:r>
      <w:r w:rsidRPr="00C91B76">
        <w:rPr>
          <w:rFonts w:eastAsia="Calibri"/>
          <w:lang w:val="en-US"/>
        </w:rPr>
        <w:t xml:space="preserve"> the pivotal question on appeal is whether the instruction by the Review Panel for the Board to consider the bid documents in totality and ascertain whether there was evidence of a conflict of interest is unfair or unreasonable or could be impugned on any of the other multiple grounds of review advanced by the respondent in the court a quo.</w:t>
      </w:r>
    </w:p>
    <w:p w14:paraId="75CA2BA7" w14:textId="77777777" w:rsidR="007250FB" w:rsidRDefault="007250FB" w:rsidP="0068402A">
      <w:pPr>
        <w:spacing w:line="360" w:lineRule="auto"/>
        <w:rPr>
          <w:rFonts w:eastAsia="Calibri"/>
          <w:i/>
          <w:lang w:val="en-US"/>
        </w:rPr>
      </w:pPr>
    </w:p>
    <w:p w14:paraId="6E4D9CF1" w14:textId="77777777" w:rsidR="00C91B76" w:rsidRPr="00C91B76" w:rsidRDefault="00C91B76" w:rsidP="0068402A">
      <w:pPr>
        <w:spacing w:line="360" w:lineRule="auto"/>
        <w:rPr>
          <w:rFonts w:eastAsia="Calibri"/>
          <w:lang w:val="en-US"/>
        </w:rPr>
      </w:pPr>
      <w:r w:rsidRPr="00C91B76">
        <w:rPr>
          <w:rFonts w:eastAsia="Calibri"/>
          <w:i/>
          <w:lang w:val="en-US"/>
        </w:rPr>
        <w:t xml:space="preserve">Held that, </w:t>
      </w:r>
      <w:r w:rsidRPr="00C91B76">
        <w:rPr>
          <w:rFonts w:eastAsia="Calibri"/>
          <w:lang w:val="en-US"/>
        </w:rPr>
        <w:t>in the context of the PPA’s legislative framework, the Review Panel has the power to set aside a decision of the Board and to remit the matter to the Board for reconsideration with specific instructions. That a matter may be referred back to an administrative body with instructions to consider past and later events that may have occurred is also a settled principle at common law.</w:t>
      </w:r>
    </w:p>
    <w:p w14:paraId="602C5D4E" w14:textId="77777777" w:rsidR="00C91B76" w:rsidRPr="00C91B76" w:rsidRDefault="00C91B76" w:rsidP="0068402A">
      <w:pPr>
        <w:spacing w:line="360" w:lineRule="auto"/>
        <w:rPr>
          <w:rFonts w:eastAsia="Calibri"/>
          <w:lang w:val="en-US"/>
        </w:rPr>
      </w:pPr>
    </w:p>
    <w:p w14:paraId="21046469" w14:textId="77777777" w:rsidR="00C91B76" w:rsidRPr="00C91B76" w:rsidRDefault="00C91B76" w:rsidP="0068402A">
      <w:pPr>
        <w:spacing w:line="360" w:lineRule="auto"/>
        <w:rPr>
          <w:rFonts w:eastAsia="Calibri"/>
          <w:lang w:val="en-US"/>
        </w:rPr>
      </w:pPr>
      <w:r w:rsidRPr="00C91B76">
        <w:rPr>
          <w:rFonts w:eastAsia="Calibri"/>
          <w:i/>
          <w:lang w:val="en-US"/>
        </w:rPr>
        <w:t xml:space="preserve">Held that, </w:t>
      </w:r>
      <w:r w:rsidRPr="00C91B76">
        <w:rPr>
          <w:rFonts w:eastAsia="Calibri"/>
          <w:lang w:val="en-US"/>
        </w:rPr>
        <w:t>an allegation or reasonable suspicion of appearance of a conflict of interest – a matter that could conceivably taint the procurement process – could and should not be ignored due to their potential detrimental consequences. It was thus open to the Review Panel to instruct the Board to look into the matter so as to ensure that all the bids meet the criteria set in the bidding documents and are above board.</w:t>
      </w:r>
    </w:p>
    <w:p w14:paraId="408CD946" w14:textId="77777777" w:rsidR="00C91B76" w:rsidRPr="00C91B76" w:rsidRDefault="00C91B76" w:rsidP="0068402A">
      <w:pPr>
        <w:spacing w:line="360" w:lineRule="auto"/>
        <w:rPr>
          <w:rFonts w:eastAsia="Calibri"/>
          <w:i/>
          <w:lang w:val="en-US"/>
        </w:rPr>
      </w:pPr>
    </w:p>
    <w:p w14:paraId="7678370E" w14:textId="77777777" w:rsidR="00C91B76" w:rsidRPr="00C91B76" w:rsidRDefault="00C91B76" w:rsidP="0068402A">
      <w:pPr>
        <w:spacing w:line="360" w:lineRule="auto"/>
        <w:rPr>
          <w:rFonts w:eastAsia="Calibri"/>
          <w:lang w:val="en-US"/>
        </w:rPr>
      </w:pPr>
      <w:r w:rsidRPr="00C91B76">
        <w:rPr>
          <w:rFonts w:eastAsia="Calibri"/>
          <w:i/>
          <w:lang w:val="en-US"/>
        </w:rPr>
        <w:t xml:space="preserve">Held further that, </w:t>
      </w:r>
      <w:r w:rsidRPr="00C91B76">
        <w:rPr>
          <w:rFonts w:eastAsia="Calibri"/>
          <w:lang w:val="en-US"/>
        </w:rPr>
        <w:t>it was not unlawful for the Review Panel to have directed that the bids be disqualified if they are found unresponsive on the basis of a conflict of interest. This was not only a legal requirement, but it would be the logical thing to do. Although it was not necessary for the Review Panel to say so, stating the obvious does not make the direction unlawful.</w:t>
      </w:r>
    </w:p>
    <w:p w14:paraId="7CE5121D" w14:textId="77777777" w:rsidR="00C91B76" w:rsidRPr="00C91B76" w:rsidRDefault="00C91B76" w:rsidP="0068402A">
      <w:pPr>
        <w:spacing w:line="360" w:lineRule="auto"/>
        <w:rPr>
          <w:rFonts w:eastAsia="Calibri"/>
          <w:lang w:val="en-US"/>
        </w:rPr>
      </w:pPr>
    </w:p>
    <w:p w14:paraId="7AF4D074" w14:textId="77777777" w:rsidR="00C91B76" w:rsidRPr="00C91B76" w:rsidRDefault="00C91B76" w:rsidP="0068402A">
      <w:pPr>
        <w:spacing w:line="360" w:lineRule="auto"/>
        <w:rPr>
          <w:rFonts w:eastAsia="Calibri"/>
          <w:lang w:val="en-US"/>
        </w:rPr>
      </w:pPr>
      <w:r w:rsidRPr="00C91B76">
        <w:rPr>
          <w:rFonts w:eastAsia="Calibri"/>
          <w:lang w:val="en-US"/>
        </w:rPr>
        <w:t>Accordingly, the appeal succeeds with costs, such costs to include the costs of one instructed and one instructing legal practitioner.</w:t>
      </w:r>
    </w:p>
    <w:p w14:paraId="3960CA30" w14:textId="6C9AD94E" w:rsidR="002F3421" w:rsidRPr="00FE01C3" w:rsidRDefault="00AE45DC" w:rsidP="0068402A">
      <w:pPr>
        <w:rPr>
          <w:b/>
          <w:lang w:val="en-GB"/>
        </w:rPr>
      </w:pPr>
      <w:r>
        <w:rPr>
          <w:lang w:val="en-GB"/>
        </w:rPr>
        <w:t xml:space="preserve">  </w:t>
      </w:r>
    </w:p>
    <w:p w14:paraId="5139755E" w14:textId="77777777" w:rsidR="002F3421" w:rsidRPr="00FE01C3" w:rsidRDefault="002F3421" w:rsidP="0068402A">
      <w:pPr>
        <w:rPr>
          <w:b/>
          <w:lang w:val="en-GB"/>
        </w:rPr>
      </w:pPr>
    </w:p>
    <w:p w14:paraId="24588080" w14:textId="77777777" w:rsidR="002F3421" w:rsidRPr="00FE01C3" w:rsidRDefault="002F3421" w:rsidP="0068402A">
      <w:pPr>
        <w:pBdr>
          <w:top w:val="single" w:sz="4" w:space="1" w:color="auto"/>
        </w:pBdr>
        <w:rPr>
          <w:b/>
          <w:lang w:val="en-GB"/>
        </w:rPr>
      </w:pPr>
    </w:p>
    <w:p w14:paraId="724670CF" w14:textId="77777777" w:rsidR="002F3421" w:rsidRPr="00FE01C3" w:rsidRDefault="002F3421" w:rsidP="0068402A">
      <w:pPr>
        <w:pBdr>
          <w:top w:val="single" w:sz="4" w:space="1" w:color="auto"/>
        </w:pBdr>
        <w:jc w:val="center"/>
        <w:rPr>
          <w:b/>
          <w:lang w:val="en-GB"/>
        </w:rPr>
      </w:pPr>
      <w:r w:rsidRPr="00FE01C3">
        <w:rPr>
          <w:b/>
          <w:lang w:val="en-GB"/>
        </w:rPr>
        <w:t>APPEAL JUDGMENT</w:t>
      </w:r>
    </w:p>
    <w:p w14:paraId="1362ABE4" w14:textId="77777777" w:rsidR="002F3421" w:rsidRPr="00FE01C3" w:rsidRDefault="002F3421" w:rsidP="0068402A">
      <w:pPr>
        <w:pBdr>
          <w:top w:val="single" w:sz="4" w:space="1" w:color="auto"/>
        </w:pBdr>
        <w:jc w:val="center"/>
        <w:rPr>
          <w:lang w:val="en-GB"/>
        </w:rPr>
      </w:pPr>
      <w:r w:rsidRPr="00FE01C3">
        <w:rPr>
          <w:lang w:val="en-GB"/>
        </w:rPr>
        <w:t>_________________________________________________________________</w:t>
      </w:r>
    </w:p>
    <w:p w14:paraId="4B68F284" w14:textId="77777777" w:rsidR="002F3421" w:rsidRPr="00FE01C3" w:rsidRDefault="002F3421" w:rsidP="0068402A">
      <w:pPr>
        <w:pBdr>
          <w:top w:val="single" w:sz="4" w:space="1" w:color="auto"/>
        </w:pBdr>
        <w:jc w:val="center"/>
        <w:rPr>
          <w:b/>
          <w:lang w:val="en-GB"/>
        </w:rPr>
      </w:pPr>
    </w:p>
    <w:p w14:paraId="142C7DA2" w14:textId="77777777" w:rsidR="002F3421" w:rsidRPr="00FE01C3" w:rsidRDefault="00A259AF" w:rsidP="0068402A">
      <w:pPr>
        <w:spacing w:line="480" w:lineRule="auto"/>
        <w:rPr>
          <w:lang w:val="en-GB"/>
        </w:rPr>
      </w:pPr>
      <w:r w:rsidRPr="00FE01C3">
        <w:rPr>
          <w:lang w:val="en-GB"/>
        </w:rPr>
        <w:t>SHIVUTE CJ (MAINGA JA and</w:t>
      </w:r>
      <w:r w:rsidR="002F3421" w:rsidRPr="00FE01C3">
        <w:rPr>
          <w:lang w:val="en-GB"/>
        </w:rPr>
        <w:t xml:space="preserve"> HOFF JA concurring):</w:t>
      </w:r>
    </w:p>
    <w:p w14:paraId="09DC74DD" w14:textId="77777777" w:rsidR="002A7F4D" w:rsidRPr="00FE01C3" w:rsidRDefault="00A259AF" w:rsidP="0068402A">
      <w:pPr>
        <w:spacing w:line="480" w:lineRule="auto"/>
        <w:rPr>
          <w:u w:val="single"/>
          <w:lang w:val="en-GB"/>
        </w:rPr>
      </w:pPr>
      <w:r w:rsidRPr="00FE01C3">
        <w:rPr>
          <w:u w:val="single"/>
          <w:lang w:val="en-GB"/>
        </w:rPr>
        <w:t>Introduction</w:t>
      </w:r>
    </w:p>
    <w:p w14:paraId="355F8971" w14:textId="53A4296C" w:rsidR="00C540B5" w:rsidRPr="009A71E2" w:rsidRDefault="009A71E2" w:rsidP="009A71E2">
      <w:pPr>
        <w:spacing w:line="480" w:lineRule="auto"/>
        <w:rPr>
          <w:lang w:val="en-GB"/>
        </w:rPr>
      </w:pPr>
      <w:r>
        <w:rPr>
          <w:lang w:val="en-GB"/>
        </w:rPr>
        <w:lastRenderedPageBreak/>
        <w:t>[1]</w:t>
      </w:r>
      <w:r>
        <w:rPr>
          <w:lang w:val="en-GB"/>
        </w:rPr>
        <w:tab/>
      </w:r>
      <w:r w:rsidR="00FE01C3" w:rsidRPr="009A71E2">
        <w:rPr>
          <w:lang w:val="en-GB"/>
        </w:rPr>
        <w:t>Th</w:t>
      </w:r>
      <w:r w:rsidR="00A34154" w:rsidRPr="009A71E2">
        <w:rPr>
          <w:lang w:val="en-GB"/>
        </w:rPr>
        <w:t>is</w:t>
      </w:r>
      <w:r w:rsidR="006B3CC3" w:rsidRPr="009A71E2">
        <w:rPr>
          <w:lang w:val="en-GB"/>
        </w:rPr>
        <w:t xml:space="preserve"> </w:t>
      </w:r>
      <w:r w:rsidR="00C63009" w:rsidRPr="009A71E2">
        <w:rPr>
          <w:lang w:val="en-GB"/>
        </w:rPr>
        <w:t>appeal lies against</w:t>
      </w:r>
      <w:r w:rsidR="003A5EAE" w:rsidRPr="009A71E2">
        <w:rPr>
          <w:lang w:val="en-GB"/>
        </w:rPr>
        <w:t xml:space="preserve"> an order </w:t>
      </w:r>
      <w:r w:rsidR="00FE01C3" w:rsidRPr="009A71E2">
        <w:rPr>
          <w:lang w:val="en-GB"/>
        </w:rPr>
        <w:t xml:space="preserve">of the High Court </w:t>
      </w:r>
      <w:r w:rsidR="00AC002A" w:rsidRPr="009A71E2">
        <w:rPr>
          <w:lang w:val="en-GB"/>
        </w:rPr>
        <w:t xml:space="preserve">reviewing and setting aside </w:t>
      </w:r>
      <w:r w:rsidR="00C63009" w:rsidRPr="009A71E2">
        <w:rPr>
          <w:lang w:val="en-GB"/>
        </w:rPr>
        <w:t xml:space="preserve">a decision of </w:t>
      </w:r>
      <w:r w:rsidR="00703E49" w:rsidRPr="009A71E2">
        <w:rPr>
          <w:lang w:val="en-GB"/>
        </w:rPr>
        <w:t xml:space="preserve">the Review Panel </w:t>
      </w:r>
      <w:r w:rsidR="001853B6" w:rsidRPr="009A71E2">
        <w:rPr>
          <w:lang w:val="en-GB"/>
        </w:rPr>
        <w:t>brought</w:t>
      </w:r>
      <w:r w:rsidR="006B3CC3" w:rsidRPr="009A71E2">
        <w:rPr>
          <w:lang w:val="en-GB"/>
        </w:rPr>
        <w:t xml:space="preserve"> on statutory review</w:t>
      </w:r>
      <w:r w:rsidR="001853B6" w:rsidRPr="009A71E2">
        <w:rPr>
          <w:lang w:val="en-GB"/>
        </w:rPr>
        <w:t xml:space="preserve"> before </w:t>
      </w:r>
      <w:r w:rsidR="00703E49" w:rsidRPr="009A71E2">
        <w:rPr>
          <w:lang w:val="en-GB"/>
        </w:rPr>
        <w:t>i</w:t>
      </w:r>
      <w:r w:rsidR="001853B6" w:rsidRPr="009A71E2">
        <w:rPr>
          <w:lang w:val="en-GB"/>
        </w:rPr>
        <w:t>t by</w:t>
      </w:r>
      <w:r w:rsidR="006B3CC3" w:rsidRPr="009A71E2">
        <w:rPr>
          <w:lang w:val="en-GB"/>
        </w:rPr>
        <w:t xml:space="preserve"> the respondent,</w:t>
      </w:r>
      <w:r w:rsidR="001853B6" w:rsidRPr="009A71E2">
        <w:rPr>
          <w:lang w:val="en-GB"/>
        </w:rPr>
        <w:t xml:space="preserve"> Stream Two Properties CC (Stream Two</w:t>
      </w:r>
      <w:r w:rsidR="00046333" w:rsidRPr="009A71E2">
        <w:rPr>
          <w:lang w:val="en-GB"/>
        </w:rPr>
        <w:t xml:space="preserve"> or the respondent</w:t>
      </w:r>
      <w:r w:rsidR="001853B6" w:rsidRPr="009A71E2">
        <w:rPr>
          <w:lang w:val="en-GB"/>
        </w:rPr>
        <w:t xml:space="preserve">). </w:t>
      </w:r>
      <w:r w:rsidR="00C63009" w:rsidRPr="009A71E2">
        <w:rPr>
          <w:lang w:val="en-GB"/>
        </w:rPr>
        <w:t xml:space="preserve">The Review Panel </w:t>
      </w:r>
      <w:r w:rsidR="00A34154" w:rsidRPr="009A71E2">
        <w:rPr>
          <w:lang w:val="en-GB"/>
        </w:rPr>
        <w:t>is appointed in terms of s 58(1) of the Public Procurement Act 15 of 2015</w:t>
      </w:r>
      <w:r w:rsidR="00A93FE5" w:rsidRPr="009A71E2">
        <w:rPr>
          <w:lang w:val="en-GB"/>
        </w:rPr>
        <w:t xml:space="preserve"> and </w:t>
      </w:r>
      <w:r w:rsidR="00503B0B" w:rsidRPr="009A71E2">
        <w:rPr>
          <w:lang w:val="en-GB"/>
        </w:rPr>
        <w:t xml:space="preserve">has </w:t>
      </w:r>
      <w:r w:rsidR="00A93FE5" w:rsidRPr="009A71E2">
        <w:rPr>
          <w:lang w:val="en-GB"/>
        </w:rPr>
        <w:t xml:space="preserve">the power to adjudicate on applications for review </w:t>
      </w:r>
      <w:r w:rsidR="003B3371" w:rsidRPr="009A71E2">
        <w:rPr>
          <w:lang w:val="en-GB"/>
        </w:rPr>
        <w:t xml:space="preserve">brought to it by a bidder or supplier </w:t>
      </w:r>
      <w:r w:rsidR="00A926AC" w:rsidRPr="009A71E2">
        <w:rPr>
          <w:lang w:val="en-GB"/>
        </w:rPr>
        <w:t xml:space="preserve">against a decision or action taken by the </w:t>
      </w:r>
      <w:r w:rsidR="00EA2153" w:rsidRPr="009A71E2">
        <w:rPr>
          <w:lang w:val="en-GB"/>
        </w:rPr>
        <w:t xml:space="preserve">Central Procurement </w:t>
      </w:r>
      <w:r w:rsidR="00A926AC" w:rsidRPr="009A71E2">
        <w:rPr>
          <w:lang w:val="en-GB"/>
        </w:rPr>
        <w:t xml:space="preserve">Board </w:t>
      </w:r>
      <w:r w:rsidR="00EA2153" w:rsidRPr="009A71E2">
        <w:rPr>
          <w:lang w:val="en-GB"/>
        </w:rPr>
        <w:t>of Namibia</w:t>
      </w:r>
      <w:r w:rsidR="0065640F" w:rsidRPr="009A71E2">
        <w:rPr>
          <w:lang w:val="en-GB"/>
        </w:rPr>
        <w:t xml:space="preserve"> (the Board) </w:t>
      </w:r>
      <w:r w:rsidR="00A926AC" w:rsidRPr="009A71E2">
        <w:rPr>
          <w:lang w:val="en-GB"/>
        </w:rPr>
        <w:t>or by a public entity</w:t>
      </w:r>
      <w:r w:rsidR="003F231D" w:rsidRPr="009A71E2">
        <w:rPr>
          <w:lang w:val="en-GB"/>
        </w:rPr>
        <w:t>.</w:t>
      </w:r>
      <w:r w:rsidR="00A34154" w:rsidRPr="009A71E2">
        <w:rPr>
          <w:lang w:val="en-GB"/>
        </w:rPr>
        <w:t xml:space="preserve"> </w:t>
      </w:r>
      <w:r w:rsidR="001853B6" w:rsidRPr="009A71E2">
        <w:rPr>
          <w:lang w:val="en-GB"/>
        </w:rPr>
        <w:t>T</w:t>
      </w:r>
      <w:r w:rsidR="00EA1F10" w:rsidRPr="009A71E2">
        <w:rPr>
          <w:lang w:val="en-GB"/>
        </w:rPr>
        <w:t xml:space="preserve">o </w:t>
      </w:r>
      <w:r w:rsidR="003A5EAE" w:rsidRPr="009A71E2">
        <w:rPr>
          <w:lang w:val="en-GB"/>
        </w:rPr>
        <w:t xml:space="preserve">fully appreciate </w:t>
      </w:r>
      <w:r w:rsidR="00EA1F10" w:rsidRPr="009A71E2">
        <w:rPr>
          <w:lang w:val="en-GB"/>
        </w:rPr>
        <w:t>the context</w:t>
      </w:r>
      <w:r w:rsidR="003A5EAE" w:rsidRPr="009A71E2">
        <w:rPr>
          <w:lang w:val="en-GB"/>
        </w:rPr>
        <w:t xml:space="preserve"> in which the appeal</w:t>
      </w:r>
      <w:r w:rsidR="00703E49" w:rsidRPr="009A71E2">
        <w:rPr>
          <w:lang w:val="en-GB"/>
        </w:rPr>
        <w:t xml:space="preserve"> is to be</w:t>
      </w:r>
      <w:r w:rsidR="003A5EAE" w:rsidRPr="009A71E2">
        <w:rPr>
          <w:lang w:val="en-GB"/>
        </w:rPr>
        <w:t xml:space="preserve"> decided</w:t>
      </w:r>
      <w:r w:rsidR="00EA1F10" w:rsidRPr="009A71E2">
        <w:rPr>
          <w:lang w:val="en-GB"/>
        </w:rPr>
        <w:t xml:space="preserve">, it is necessary to give the </w:t>
      </w:r>
      <w:r w:rsidR="00735699" w:rsidRPr="009A71E2">
        <w:rPr>
          <w:lang w:val="en-GB"/>
        </w:rPr>
        <w:t xml:space="preserve">history of the events that </w:t>
      </w:r>
      <w:r w:rsidR="00A93FE5" w:rsidRPr="009A71E2">
        <w:rPr>
          <w:lang w:val="en-GB"/>
        </w:rPr>
        <w:t xml:space="preserve">culminated in </w:t>
      </w:r>
      <w:r w:rsidR="00EA1F10" w:rsidRPr="009A71E2">
        <w:rPr>
          <w:lang w:val="en-GB"/>
        </w:rPr>
        <w:t>t</w:t>
      </w:r>
      <w:r w:rsidR="001853B6" w:rsidRPr="009A71E2">
        <w:rPr>
          <w:lang w:val="en-GB"/>
        </w:rPr>
        <w:t xml:space="preserve">he </w:t>
      </w:r>
      <w:r w:rsidR="006B3CC3" w:rsidRPr="009A71E2">
        <w:rPr>
          <w:lang w:val="en-GB"/>
        </w:rPr>
        <w:t>r</w:t>
      </w:r>
      <w:r w:rsidR="001853B6" w:rsidRPr="009A71E2">
        <w:rPr>
          <w:lang w:val="en-GB"/>
        </w:rPr>
        <w:t xml:space="preserve">eview </w:t>
      </w:r>
      <w:r w:rsidR="00C540B5" w:rsidRPr="009A71E2">
        <w:rPr>
          <w:lang w:val="en-GB"/>
        </w:rPr>
        <w:t xml:space="preserve">application </w:t>
      </w:r>
      <w:r w:rsidR="006B3CC3" w:rsidRPr="009A71E2">
        <w:rPr>
          <w:lang w:val="en-GB"/>
        </w:rPr>
        <w:t xml:space="preserve">before the Review Panel </w:t>
      </w:r>
      <w:r w:rsidR="001853B6" w:rsidRPr="009A71E2">
        <w:rPr>
          <w:lang w:val="en-GB"/>
        </w:rPr>
        <w:t xml:space="preserve">and </w:t>
      </w:r>
      <w:r w:rsidR="006B3CC3" w:rsidRPr="009A71E2">
        <w:rPr>
          <w:lang w:val="en-GB"/>
        </w:rPr>
        <w:t xml:space="preserve">the </w:t>
      </w:r>
      <w:r w:rsidR="003A5EAE" w:rsidRPr="009A71E2">
        <w:rPr>
          <w:lang w:val="en-GB"/>
        </w:rPr>
        <w:t xml:space="preserve">ultimate </w:t>
      </w:r>
      <w:r w:rsidR="001853B6" w:rsidRPr="009A71E2">
        <w:rPr>
          <w:lang w:val="en-GB"/>
        </w:rPr>
        <w:t>appeal</w:t>
      </w:r>
      <w:r w:rsidR="009757B6" w:rsidRPr="009A71E2">
        <w:rPr>
          <w:lang w:val="en-GB"/>
        </w:rPr>
        <w:t xml:space="preserve"> </w:t>
      </w:r>
      <w:r w:rsidR="00D20A40" w:rsidRPr="009A71E2">
        <w:rPr>
          <w:lang w:val="en-GB"/>
        </w:rPr>
        <w:t xml:space="preserve">from the High Court </w:t>
      </w:r>
      <w:r w:rsidR="009757B6" w:rsidRPr="009A71E2">
        <w:rPr>
          <w:lang w:val="en-GB"/>
        </w:rPr>
        <w:t xml:space="preserve">to this </w:t>
      </w:r>
      <w:r w:rsidR="002B61FD" w:rsidRPr="009A71E2">
        <w:rPr>
          <w:lang w:val="en-GB"/>
        </w:rPr>
        <w:t>C</w:t>
      </w:r>
      <w:r w:rsidR="009757B6" w:rsidRPr="009A71E2">
        <w:rPr>
          <w:lang w:val="en-GB"/>
        </w:rPr>
        <w:t>ourt</w:t>
      </w:r>
      <w:r w:rsidR="001853B6" w:rsidRPr="009A71E2">
        <w:rPr>
          <w:lang w:val="en-GB"/>
        </w:rPr>
        <w:t xml:space="preserve">. </w:t>
      </w:r>
    </w:p>
    <w:p w14:paraId="2EDAAD9A" w14:textId="77777777" w:rsidR="00C540B5" w:rsidRDefault="00C540B5" w:rsidP="0068402A">
      <w:pPr>
        <w:spacing w:line="480" w:lineRule="auto"/>
        <w:rPr>
          <w:lang w:val="en-GB"/>
        </w:rPr>
      </w:pPr>
    </w:p>
    <w:p w14:paraId="0588C7A7" w14:textId="61AFC30D" w:rsidR="00C540B5" w:rsidRPr="00C540B5" w:rsidRDefault="00C540B5" w:rsidP="0068402A">
      <w:pPr>
        <w:spacing w:line="480" w:lineRule="auto"/>
        <w:rPr>
          <w:u w:val="single"/>
          <w:lang w:val="en-GB"/>
        </w:rPr>
      </w:pPr>
      <w:r w:rsidRPr="00C540B5">
        <w:rPr>
          <w:u w:val="single"/>
          <w:lang w:val="en-GB"/>
        </w:rPr>
        <w:t>Background</w:t>
      </w:r>
    </w:p>
    <w:p w14:paraId="6D2103AF" w14:textId="0C07AB2E" w:rsidR="00064752" w:rsidRPr="009A71E2" w:rsidRDefault="009A71E2" w:rsidP="009A71E2">
      <w:pPr>
        <w:spacing w:line="480" w:lineRule="auto"/>
        <w:rPr>
          <w:lang w:val="en-GB"/>
        </w:rPr>
      </w:pPr>
      <w:r>
        <w:rPr>
          <w:lang w:val="en-GB"/>
        </w:rPr>
        <w:t>[2]</w:t>
      </w:r>
      <w:r>
        <w:rPr>
          <w:lang w:val="en-GB"/>
        </w:rPr>
        <w:tab/>
      </w:r>
      <w:r w:rsidR="00A93FE5" w:rsidRPr="009A71E2">
        <w:rPr>
          <w:lang w:val="en-GB"/>
        </w:rPr>
        <w:t>I</w:t>
      </w:r>
      <w:r w:rsidR="00EA1F10" w:rsidRPr="009A71E2">
        <w:rPr>
          <w:lang w:val="en-GB"/>
        </w:rPr>
        <w:t xml:space="preserve">n </w:t>
      </w:r>
      <w:r w:rsidR="00A93FE5" w:rsidRPr="009A71E2">
        <w:rPr>
          <w:lang w:val="en-GB"/>
        </w:rPr>
        <w:t xml:space="preserve">or about </w:t>
      </w:r>
      <w:r w:rsidR="00AC002A" w:rsidRPr="009A71E2">
        <w:rPr>
          <w:lang w:val="en-GB"/>
        </w:rPr>
        <w:t xml:space="preserve">2020, the </w:t>
      </w:r>
      <w:r w:rsidR="00594DB5" w:rsidRPr="009A71E2">
        <w:rPr>
          <w:lang w:val="en-GB"/>
        </w:rPr>
        <w:t xml:space="preserve">Board </w:t>
      </w:r>
      <w:r w:rsidR="00AC002A" w:rsidRPr="009A71E2">
        <w:rPr>
          <w:lang w:val="en-GB"/>
        </w:rPr>
        <w:t xml:space="preserve">invited bids on behalf of the Ministry of Education, Arts and Culture under Tender number G/ONB/ CBN-04-2020 for </w:t>
      </w:r>
      <w:r w:rsidR="00060B12" w:rsidRPr="009A71E2">
        <w:rPr>
          <w:lang w:val="en-GB"/>
        </w:rPr>
        <w:t xml:space="preserve">the </w:t>
      </w:r>
      <w:r w:rsidR="00AC002A" w:rsidRPr="009A71E2">
        <w:rPr>
          <w:lang w:val="en-GB"/>
        </w:rPr>
        <w:t xml:space="preserve">provision of protein, sugar, salt and transportation to blenders’ warehouses. </w:t>
      </w:r>
      <w:r w:rsidR="001853B6" w:rsidRPr="009A71E2">
        <w:rPr>
          <w:lang w:val="en-GB"/>
        </w:rPr>
        <w:t xml:space="preserve">Stream Two </w:t>
      </w:r>
      <w:r w:rsidR="006B3CC3" w:rsidRPr="009A71E2">
        <w:rPr>
          <w:lang w:val="en-GB"/>
        </w:rPr>
        <w:t xml:space="preserve">submitted a </w:t>
      </w:r>
      <w:r w:rsidR="001853B6" w:rsidRPr="009A71E2">
        <w:rPr>
          <w:lang w:val="en-GB"/>
        </w:rPr>
        <w:t>bid for the tender</w:t>
      </w:r>
      <w:r w:rsidR="005469DF" w:rsidRPr="009A71E2">
        <w:rPr>
          <w:lang w:val="en-GB"/>
        </w:rPr>
        <w:t>.</w:t>
      </w:r>
      <w:r w:rsidR="009757B6" w:rsidRPr="009A71E2">
        <w:rPr>
          <w:lang w:val="en-GB"/>
        </w:rPr>
        <w:t xml:space="preserve"> </w:t>
      </w:r>
      <w:r w:rsidR="005469DF" w:rsidRPr="009A71E2">
        <w:rPr>
          <w:lang w:val="en-GB"/>
        </w:rPr>
        <w:t>It</w:t>
      </w:r>
      <w:r w:rsidR="00090EF6" w:rsidRPr="009A71E2">
        <w:rPr>
          <w:lang w:val="en-GB"/>
        </w:rPr>
        <w:t xml:space="preserve"> </w:t>
      </w:r>
      <w:r w:rsidR="001853B6" w:rsidRPr="009A71E2">
        <w:rPr>
          <w:lang w:val="en-GB"/>
        </w:rPr>
        <w:t xml:space="preserve">subsequently received a letter from </w:t>
      </w:r>
      <w:r w:rsidR="0065640F" w:rsidRPr="009A71E2">
        <w:rPr>
          <w:lang w:val="en-GB"/>
        </w:rPr>
        <w:t xml:space="preserve">the </w:t>
      </w:r>
      <w:r w:rsidR="00951F33" w:rsidRPr="009A71E2">
        <w:rPr>
          <w:lang w:val="en-GB"/>
        </w:rPr>
        <w:t>Board</w:t>
      </w:r>
      <w:r w:rsidR="00BC3BF6" w:rsidRPr="009A71E2">
        <w:rPr>
          <w:lang w:val="en-GB"/>
        </w:rPr>
        <w:t>,</w:t>
      </w:r>
      <w:r w:rsidR="00951F33" w:rsidRPr="009A71E2">
        <w:rPr>
          <w:lang w:val="en-GB"/>
        </w:rPr>
        <w:t xml:space="preserve"> </w:t>
      </w:r>
      <w:r w:rsidR="001853B6" w:rsidRPr="009A71E2">
        <w:rPr>
          <w:lang w:val="en-GB"/>
        </w:rPr>
        <w:t xml:space="preserve">requesting </w:t>
      </w:r>
      <w:r w:rsidR="00EA1F10" w:rsidRPr="009A71E2">
        <w:rPr>
          <w:lang w:val="en-GB"/>
        </w:rPr>
        <w:t xml:space="preserve">it to furnish the Board with </w:t>
      </w:r>
      <w:r w:rsidR="001853B6" w:rsidRPr="009A71E2">
        <w:rPr>
          <w:lang w:val="en-GB"/>
        </w:rPr>
        <w:t xml:space="preserve">the full birth certificate of </w:t>
      </w:r>
      <w:r w:rsidR="003A5EAE" w:rsidRPr="009A71E2">
        <w:rPr>
          <w:lang w:val="en-GB"/>
        </w:rPr>
        <w:t xml:space="preserve">its </w:t>
      </w:r>
      <w:r w:rsidR="001853B6" w:rsidRPr="009A71E2">
        <w:rPr>
          <w:lang w:val="en-GB"/>
        </w:rPr>
        <w:t xml:space="preserve">sole member, Mr Herman Ando Nekomba, for the purpose of </w:t>
      </w:r>
      <w:r w:rsidR="00BC3BF6" w:rsidRPr="009A71E2">
        <w:rPr>
          <w:lang w:val="en-GB"/>
        </w:rPr>
        <w:t xml:space="preserve">completing </w:t>
      </w:r>
      <w:r w:rsidR="00220EBC" w:rsidRPr="009A71E2">
        <w:rPr>
          <w:lang w:val="en-GB"/>
        </w:rPr>
        <w:t xml:space="preserve">the </w:t>
      </w:r>
      <w:r w:rsidR="001853B6" w:rsidRPr="009A71E2">
        <w:rPr>
          <w:lang w:val="en-GB"/>
        </w:rPr>
        <w:t xml:space="preserve">evaluation of its bid. </w:t>
      </w:r>
    </w:p>
    <w:p w14:paraId="11C15C0F" w14:textId="77777777" w:rsidR="00064752" w:rsidRDefault="00064752" w:rsidP="0068402A">
      <w:pPr>
        <w:pStyle w:val="ListParagraph"/>
        <w:spacing w:line="480" w:lineRule="auto"/>
        <w:ind w:left="0"/>
        <w:rPr>
          <w:lang w:val="en-GB"/>
        </w:rPr>
      </w:pPr>
    </w:p>
    <w:p w14:paraId="697C00EC" w14:textId="39355E2C" w:rsidR="002A7F4D" w:rsidRPr="009A71E2" w:rsidRDefault="009A71E2" w:rsidP="009A71E2">
      <w:pPr>
        <w:spacing w:line="480" w:lineRule="auto"/>
        <w:rPr>
          <w:lang w:val="en-GB"/>
        </w:rPr>
      </w:pPr>
      <w:r>
        <w:rPr>
          <w:lang w:val="en-GB"/>
        </w:rPr>
        <w:t>[3]</w:t>
      </w:r>
      <w:r>
        <w:rPr>
          <w:lang w:val="en-GB"/>
        </w:rPr>
        <w:tab/>
      </w:r>
      <w:r w:rsidR="001853B6" w:rsidRPr="009A71E2">
        <w:rPr>
          <w:lang w:val="en-GB"/>
        </w:rPr>
        <w:t>Mr Nekomba provided the requested information</w:t>
      </w:r>
      <w:r w:rsidR="006711F7" w:rsidRPr="009A71E2">
        <w:rPr>
          <w:lang w:val="en-GB"/>
        </w:rPr>
        <w:t>. T</w:t>
      </w:r>
      <w:r w:rsidR="00EA1F10" w:rsidRPr="009A71E2">
        <w:rPr>
          <w:lang w:val="en-GB"/>
        </w:rPr>
        <w:t>hree months later</w:t>
      </w:r>
      <w:r w:rsidR="005E3BBE" w:rsidRPr="009A71E2">
        <w:rPr>
          <w:lang w:val="en-GB"/>
        </w:rPr>
        <w:t xml:space="preserve">, </w:t>
      </w:r>
      <w:r w:rsidR="001853B6" w:rsidRPr="009A71E2">
        <w:rPr>
          <w:lang w:val="en-GB"/>
        </w:rPr>
        <w:t>Stream Two</w:t>
      </w:r>
      <w:r w:rsidR="00EA1F10" w:rsidRPr="009A71E2">
        <w:rPr>
          <w:lang w:val="en-GB"/>
        </w:rPr>
        <w:t xml:space="preserve"> received a notice of selection of procurement award in terms of s 55(4) of the P</w:t>
      </w:r>
      <w:r w:rsidR="003F231D" w:rsidRPr="009A71E2">
        <w:rPr>
          <w:lang w:val="en-GB"/>
        </w:rPr>
        <w:t xml:space="preserve">ublic </w:t>
      </w:r>
      <w:r w:rsidR="00EA1F10" w:rsidRPr="009A71E2">
        <w:rPr>
          <w:lang w:val="en-GB"/>
        </w:rPr>
        <w:t>P</w:t>
      </w:r>
      <w:r w:rsidR="003F231D" w:rsidRPr="009A71E2">
        <w:rPr>
          <w:lang w:val="en-GB"/>
        </w:rPr>
        <w:t xml:space="preserve">rocurement </w:t>
      </w:r>
      <w:r w:rsidR="00EA1F10" w:rsidRPr="009A71E2">
        <w:rPr>
          <w:lang w:val="en-GB"/>
        </w:rPr>
        <w:t>A</w:t>
      </w:r>
      <w:r w:rsidR="003F231D" w:rsidRPr="009A71E2">
        <w:rPr>
          <w:lang w:val="en-GB"/>
        </w:rPr>
        <w:t>ct</w:t>
      </w:r>
      <w:r w:rsidR="00EA1F10" w:rsidRPr="009A71E2">
        <w:rPr>
          <w:lang w:val="en-GB"/>
        </w:rPr>
        <w:t xml:space="preserve"> </w:t>
      </w:r>
      <w:r w:rsidR="003F231D" w:rsidRPr="009A71E2">
        <w:rPr>
          <w:lang w:val="en-GB"/>
        </w:rPr>
        <w:t xml:space="preserve">(the PPA) </w:t>
      </w:r>
      <w:r w:rsidR="00064752" w:rsidRPr="009A71E2">
        <w:rPr>
          <w:lang w:val="en-GB"/>
        </w:rPr>
        <w:t>read with r</w:t>
      </w:r>
      <w:r w:rsidR="00EA1F10" w:rsidRPr="009A71E2">
        <w:rPr>
          <w:lang w:val="en-GB"/>
        </w:rPr>
        <w:t>eg 38(1) of the Regulations made thereunder</w:t>
      </w:r>
      <w:r w:rsidR="00064752" w:rsidRPr="009A71E2">
        <w:rPr>
          <w:lang w:val="en-GB"/>
        </w:rPr>
        <w:t xml:space="preserve"> a</w:t>
      </w:r>
      <w:r w:rsidR="003A5EAE" w:rsidRPr="009A71E2">
        <w:rPr>
          <w:lang w:val="en-GB"/>
        </w:rPr>
        <w:t>nd</w:t>
      </w:r>
      <w:r w:rsidR="00064752" w:rsidRPr="009A71E2">
        <w:rPr>
          <w:lang w:val="en-GB"/>
        </w:rPr>
        <w:t xml:space="preserve"> the executive summary of the </w:t>
      </w:r>
      <w:r w:rsidR="00220EBC" w:rsidRPr="009A71E2">
        <w:rPr>
          <w:lang w:val="en-GB"/>
        </w:rPr>
        <w:t>b</w:t>
      </w:r>
      <w:r w:rsidR="00064752" w:rsidRPr="009A71E2">
        <w:rPr>
          <w:lang w:val="en-GB"/>
        </w:rPr>
        <w:t xml:space="preserve">id </w:t>
      </w:r>
      <w:r w:rsidR="00220EBC" w:rsidRPr="009A71E2">
        <w:rPr>
          <w:lang w:val="en-GB"/>
        </w:rPr>
        <w:t>e</w:t>
      </w:r>
      <w:r w:rsidR="00064752" w:rsidRPr="009A71E2">
        <w:rPr>
          <w:lang w:val="en-GB"/>
        </w:rPr>
        <w:t xml:space="preserve">valuation </w:t>
      </w:r>
      <w:r w:rsidR="00220EBC" w:rsidRPr="009A71E2">
        <w:rPr>
          <w:lang w:val="en-GB"/>
        </w:rPr>
        <w:t>r</w:t>
      </w:r>
      <w:r w:rsidR="00064752" w:rsidRPr="009A71E2">
        <w:rPr>
          <w:lang w:val="en-GB"/>
        </w:rPr>
        <w:t>eport issued in terms of s 5</w:t>
      </w:r>
      <w:r w:rsidR="00EE3F5E" w:rsidRPr="009A71E2">
        <w:rPr>
          <w:lang w:val="en-GB"/>
        </w:rPr>
        <w:t>5</w:t>
      </w:r>
      <w:r w:rsidR="00064752" w:rsidRPr="009A71E2">
        <w:rPr>
          <w:lang w:val="en-GB"/>
        </w:rPr>
        <w:t>(8) of the PPA</w:t>
      </w:r>
      <w:r w:rsidR="00EA1F10" w:rsidRPr="009A71E2">
        <w:rPr>
          <w:lang w:val="en-GB"/>
        </w:rPr>
        <w:t xml:space="preserve">. </w:t>
      </w:r>
      <w:r w:rsidR="006711F7" w:rsidRPr="009A71E2">
        <w:rPr>
          <w:lang w:val="en-GB"/>
        </w:rPr>
        <w:t>Stream Two</w:t>
      </w:r>
      <w:r w:rsidR="00EA1F10" w:rsidRPr="009A71E2">
        <w:rPr>
          <w:lang w:val="en-GB"/>
        </w:rPr>
        <w:t xml:space="preserve"> was advised </w:t>
      </w:r>
      <w:r w:rsidR="008257F8" w:rsidRPr="009A71E2">
        <w:rPr>
          <w:lang w:val="en-GB"/>
        </w:rPr>
        <w:t xml:space="preserve">in the notice of selection </w:t>
      </w:r>
      <w:r w:rsidR="00EA1F10" w:rsidRPr="009A71E2">
        <w:rPr>
          <w:lang w:val="en-GB"/>
        </w:rPr>
        <w:t>that it</w:t>
      </w:r>
      <w:r w:rsidR="001853B6" w:rsidRPr="009A71E2">
        <w:rPr>
          <w:lang w:val="en-GB"/>
        </w:rPr>
        <w:t xml:space="preserve">s bid </w:t>
      </w:r>
      <w:r w:rsidR="001853B6" w:rsidRPr="009A71E2">
        <w:rPr>
          <w:lang w:val="en-GB"/>
        </w:rPr>
        <w:lastRenderedPageBreak/>
        <w:t xml:space="preserve">was </w:t>
      </w:r>
      <w:r w:rsidR="006B3CC3" w:rsidRPr="009A71E2">
        <w:rPr>
          <w:lang w:val="en-GB"/>
        </w:rPr>
        <w:t xml:space="preserve">found </w:t>
      </w:r>
      <w:r w:rsidR="008845DC" w:rsidRPr="009A71E2">
        <w:rPr>
          <w:lang w:val="en-GB"/>
        </w:rPr>
        <w:t xml:space="preserve">by the Board to be </w:t>
      </w:r>
      <w:r w:rsidR="00253227" w:rsidRPr="009A71E2">
        <w:rPr>
          <w:lang w:val="en-GB"/>
        </w:rPr>
        <w:t>‘</w:t>
      </w:r>
      <w:r w:rsidR="001853B6" w:rsidRPr="009A71E2">
        <w:rPr>
          <w:lang w:val="en-GB"/>
        </w:rPr>
        <w:t>un</w:t>
      </w:r>
      <w:r w:rsidR="006B3CC3" w:rsidRPr="009A71E2">
        <w:rPr>
          <w:lang w:val="en-GB"/>
        </w:rPr>
        <w:t>responsive</w:t>
      </w:r>
      <w:r w:rsidR="00253227" w:rsidRPr="009A71E2">
        <w:rPr>
          <w:lang w:val="en-GB"/>
        </w:rPr>
        <w:t>’</w:t>
      </w:r>
      <w:r w:rsidR="006B3CC3" w:rsidRPr="009A71E2">
        <w:rPr>
          <w:lang w:val="en-GB"/>
        </w:rPr>
        <w:t xml:space="preserve"> </w:t>
      </w:r>
      <w:r w:rsidR="008845DC" w:rsidRPr="009A71E2">
        <w:rPr>
          <w:lang w:val="en-GB"/>
        </w:rPr>
        <w:t xml:space="preserve">for the reasons </w:t>
      </w:r>
      <w:r w:rsidR="00BF6A78" w:rsidRPr="009A71E2">
        <w:rPr>
          <w:lang w:val="en-GB"/>
        </w:rPr>
        <w:t xml:space="preserve">recorded </w:t>
      </w:r>
      <w:r w:rsidR="001853B6" w:rsidRPr="009A71E2">
        <w:rPr>
          <w:lang w:val="en-GB"/>
        </w:rPr>
        <w:t xml:space="preserve">in the </w:t>
      </w:r>
      <w:r w:rsidR="00064752" w:rsidRPr="009A71E2">
        <w:rPr>
          <w:lang w:val="en-GB"/>
        </w:rPr>
        <w:t>e</w:t>
      </w:r>
      <w:r w:rsidR="001853B6" w:rsidRPr="009A71E2">
        <w:rPr>
          <w:lang w:val="en-GB"/>
        </w:rPr>
        <w:t xml:space="preserve">xecutive </w:t>
      </w:r>
      <w:r w:rsidR="00064752" w:rsidRPr="009A71E2">
        <w:rPr>
          <w:lang w:val="en-GB"/>
        </w:rPr>
        <w:t>s</w:t>
      </w:r>
      <w:r w:rsidR="001853B6" w:rsidRPr="009A71E2">
        <w:rPr>
          <w:lang w:val="en-GB"/>
        </w:rPr>
        <w:t xml:space="preserve">ummary of the </w:t>
      </w:r>
      <w:r w:rsidR="00220EBC" w:rsidRPr="009A71E2">
        <w:rPr>
          <w:lang w:val="en-GB"/>
        </w:rPr>
        <w:t>b</w:t>
      </w:r>
      <w:r w:rsidR="001853B6" w:rsidRPr="009A71E2">
        <w:rPr>
          <w:lang w:val="en-GB"/>
        </w:rPr>
        <w:t xml:space="preserve">id </w:t>
      </w:r>
      <w:r w:rsidR="00220EBC" w:rsidRPr="009A71E2">
        <w:rPr>
          <w:lang w:val="en-GB"/>
        </w:rPr>
        <w:t>e</w:t>
      </w:r>
      <w:r w:rsidR="001853B6" w:rsidRPr="009A71E2">
        <w:rPr>
          <w:lang w:val="en-GB"/>
        </w:rPr>
        <w:t xml:space="preserve">valuation </w:t>
      </w:r>
      <w:r w:rsidR="00220EBC" w:rsidRPr="009A71E2">
        <w:rPr>
          <w:lang w:val="en-GB"/>
        </w:rPr>
        <w:t>r</w:t>
      </w:r>
      <w:r w:rsidR="001853B6" w:rsidRPr="009A71E2">
        <w:rPr>
          <w:lang w:val="en-GB"/>
        </w:rPr>
        <w:t>eport</w:t>
      </w:r>
      <w:r w:rsidR="008845DC" w:rsidRPr="009A71E2">
        <w:rPr>
          <w:lang w:val="en-GB"/>
        </w:rPr>
        <w:t xml:space="preserve"> </w:t>
      </w:r>
      <w:r w:rsidR="00594DB5" w:rsidRPr="009A71E2">
        <w:rPr>
          <w:lang w:val="en-GB"/>
        </w:rPr>
        <w:t xml:space="preserve">as follows: </w:t>
      </w:r>
    </w:p>
    <w:p w14:paraId="7738D30D" w14:textId="77777777" w:rsidR="00090EF6" w:rsidRDefault="00090EF6" w:rsidP="0068402A">
      <w:pPr>
        <w:pStyle w:val="ListParagraph"/>
        <w:spacing w:line="360" w:lineRule="auto"/>
        <w:ind w:left="0"/>
        <w:rPr>
          <w:sz w:val="22"/>
          <w:szCs w:val="22"/>
          <w:lang w:val="en-GB"/>
        </w:rPr>
      </w:pPr>
    </w:p>
    <w:p w14:paraId="723CF88D" w14:textId="00B6932D" w:rsidR="00594DB5" w:rsidRPr="00090EF6" w:rsidRDefault="00594DB5" w:rsidP="0068402A">
      <w:pPr>
        <w:pStyle w:val="ListParagraph"/>
        <w:spacing w:line="360" w:lineRule="auto"/>
        <w:rPr>
          <w:sz w:val="22"/>
          <w:szCs w:val="22"/>
          <w:lang w:val="en-GB"/>
        </w:rPr>
      </w:pPr>
      <w:r w:rsidRPr="00090EF6">
        <w:rPr>
          <w:sz w:val="22"/>
          <w:szCs w:val="22"/>
          <w:lang w:val="en-GB"/>
        </w:rPr>
        <w:t>‘Bidder had the same surname, physical and postal address in their founding statements as Bidder No 27 and Bidder No 15. This is regarded to be a conflict of interest as ITB 5.2(d) states that conflict of interest is to “have a relationship with each other, directly or through common third parties, that puts them in a position to have access to information about or influence on the Bid of another Bidder or influence the decision of the Purchaser regarding this bidding.”’</w:t>
      </w:r>
    </w:p>
    <w:p w14:paraId="553C583E" w14:textId="77777777" w:rsidR="002A7F4D" w:rsidRPr="00FE01C3" w:rsidRDefault="002A7F4D" w:rsidP="0068402A">
      <w:pPr>
        <w:pStyle w:val="ListParagraph"/>
        <w:spacing w:line="480" w:lineRule="auto"/>
        <w:ind w:left="0"/>
        <w:rPr>
          <w:lang w:val="en-GB"/>
        </w:rPr>
      </w:pPr>
    </w:p>
    <w:p w14:paraId="2204D681" w14:textId="3C45DB81" w:rsidR="00AC327F" w:rsidRPr="009A71E2" w:rsidRDefault="009A71E2" w:rsidP="009A71E2">
      <w:pPr>
        <w:spacing w:line="480" w:lineRule="auto"/>
        <w:rPr>
          <w:lang w:val="en-GB"/>
        </w:rPr>
      </w:pPr>
      <w:r>
        <w:rPr>
          <w:lang w:val="en-GB"/>
        </w:rPr>
        <w:t>[4]</w:t>
      </w:r>
      <w:r>
        <w:rPr>
          <w:lang w:val="en-GB"/>
        </w:rPr>
        <w:tab/>
      </w:r>
      <w:r w:rsidR="00E753EB" w:rsidRPr="009A71E2">
        <w:rPr>
          <w:lang w:val="en-GB"/>
        </w:rPr>
        <w:t xml:space="preserve">Bidder </w:t>
      </w:r>
      <w:r w:rsidR="004B2993" w:rsidRPr="009A71E2">
        <w:rPr>
          <w:lang w:val="en-GB"/>
        </w:rPr>
        <w:t>numbers 15</w:t>
      </w:r>
      <w:r w:rsidR="00E753EB" w:rsidRPr="009A71E2">
        <w:rPr>
          <w:lang w:val="en-GB"/>
        </w:rPr>
        <w:t xml:space="preserve"> and </w:t>
      </w:r>
      <w:r w:rsidR="004B2993" w:rsidRPr="009A71E2">
        <w:rPr>
          <w:lang w:val="en-GB"/>
        </w:rPr>
        <w:t>27</w:t>
      </w:r>
      <w:r w:rsidR="00E753EB" w:rsidRPr="009A71E2">
        <w:rPr>
          <w:lang w:val="en-GB"/>
        </w:rPr>
        <w:t xml:space="preserve"> </w:t>
      </w:r>
      <w:r w:rsidR="00D3553A" w:rsidRPr="009A71E2">
        <w:rPr>
          <w:lang w:val="en-GB"/>
        </w:rPr>
        <w:t>refer</w:t>
      </w:r>
      <w:r w:rsidR="00253227" w:rsidRPr="009A71E2">
        <w:rPr>
          <w:lang w:val="en-GB"/>
        </w:rPr>
        <w:t>enced</w:t>
      </w:r>
      <w:r w:rsidR="00D3553A" w:rsidRPr="009A71E2">
        <w:rPr>
          <w:lang w:val="en-GB"/>
        </w:rPr>
        <w:t xml:space="preserve"> </w:t>
      </w:r>
      <w:r w:rsidR="00E753EB" w:rsidRPr="009A71E2">
        <w:rPr>
          <w:lang w:val="en-GB"/>
        </w:rPr>
        <w:t>in the bid evaluation report above were respectively</w:t>
      </w:r>
      <w:r w:rsidR="0093331F" w:rsidRPr="009A71E2">
        <w:rPr>
          <w:lang w:val="en-GB"/>
        </w:rPr>
        <w:t xml:space="preserve"> Degrande Investments CC</w:t>
      </w:r>
      <w:r w:rsidR="00BC12EC" w:rsidRPr="009A71E2">
        <w:rPr>
          <w:lang w:val="en-GB"/>
        </w:rPr>
        <w:t xml:space="preserve"> and Degree Power Investment CC </w:t>
      </w:r>
      <w:r w:rsidR="0093331F" w:rsidRPr="009A71E2">
        <w:rPr>
          <w:lang w:val="en-GB"/>
        </w:rPr>
        <w:t xml:space="preserve">that also separately submitted bids for the same tender. The </w:t>
      </w:r>
      <w:r w:rsidR="00337DFF" w:rsidRPr="009A71E2">
        <w:rPr>
          <w:lang w:val="en-GB"/>
        </w:rPr>
        <w:t xml:space="preserve">respective </w:t>
      </w:r>
      <w:r w:rsidR="0093331F" w:rsidRPr="009A71E2">
        <w:rPr>
          <w:lang w:val="en-GB"/>
        </w:rPr>
        <w:t>members of the</w:t>
      </w:r>
      <w:r w:rsidR="00337DFF" w:rsidRPr="009A71E2">
        <w:rPr>
          <w:lang w:val="en-GB"/>
        </w:rPr>
        <w:t>se</w:t>
      </w:r>
      <w:r w:rsidR="0093331F" w:rsidRPr="009A71E2">
        <w:rPr>
          <w:lang w:val="en-GB"/>
        </w:rPr>
        <w:t xml:space="preserve"> close corporations </w:t>
      </w:r>
      <w:r w:rsidR="00337DFF" w:rsidRPr="009A71E2">
        <w:rPr>
          <w:lang w:val="en-GB"/>
        </w:rPr>
        <w:t xml:space="preserve">and </w:t>
      </w:r>
      <w:r w:rsidR="0093331F" w:rsidRPr="009A71E2">
        <w:rPr>
          <w:lang w:val="en-GB"/>
        </w:rPr>
        <w:t>Stream Two’s sole member</w:t>
      </w:r>
      <w:r w:rsidR="00337DFF" w:rsidRPr="009A71E2">
        <w:rPr>
          <w:lang w:val="en-GB"/>
        </w:rPr>
        <w:t xml:space="preserve"> shared the same surname</w:t>
      </w:r>
      <w:r w:rsidR="0093331F" w:rsidRPr="009A71E2">
        <w:rPr>
          <w:lang w:val="en-GB"/>
        </w:rPr>
        <w:t xml:space="preserve">. The </w:t>
      </w:r>
      <w:r w:rsidR="00337DFF" w:rsidRPr="009A71E2">
        <w:rPr>
          <w:lang w:val="en-GB"/>
        </w:rPr>
        <w:t xml:space="preserve">three </w:t>
      </w:r>
      <w:r w:rsidR="0093331F" w:rsidRPr="009A71E2">
        <w:rPr>
          <w:lang w:val="en-GB"/>
        </w:rPr>
        <w:t xml:space="preserve">close corporations </w:t>
      </w:r>
      <w:r w:rsidR="007C5D20" w:rsidRPr="009A71E2">
        <w:rPr>
          <w:lang w:val="en-GB"/>
        </w:rPr>
        <w:t xml:space="preserve">also </w:t>
      </w:r>
      <w:r w:rsidR="0093331F" w:rsidRPr="009A71E2">
        <w:rPr>
          <w:lang w:val="en-GB"/>
        </w:rPr>
        <w:t>share</w:t>
      </w:r>
      <w:r w:rsidR="004B2993" w:rsidRPr="009A71E2">
        <w:rPr>
          <w:lang w:val="en-GB"/>
        </w:rPr>
        <w:t>d</w:t>
      </w:r>
      <w:r w:rsidR="0093331F" w:rsidRPr="009A71E2">
        <w:rPr>
          <w:lang w:val="en-GB"/>
        </w:rPr>
        <w:t xml:space="preserve"> </w:t>
      </w:r>
      <w:r w:rsidR="004B2993" w:rsidRPr="009A71E2">
        <w:rPr>
          <w:lang w:val="en-GB"/>
        </w:rPr>
        <w:t xml:space="preserve">the same </w:t>
      </w:r>
      <w:r w:rsidR="0093331F" w:rsidRPr="009A71E2">
        <w:rPr>
          <w:lang w:val="en-GB"/>
        </w:rPr>
        <w:t xml:space="preserve">physical and postal addresses. </w:t>
      </w:r>
    </w:p>
    <w:p w14:paraId="2A1299A1" w14:textId="77777777" w:rsidR="00AC327F" w:rsidRPr="00AC327F" w:rsidRDefault="00AC327F" w:rsidP="0068402A">
      <w:pPr>
        <w:spacing w:line="480" w:lineRule="auto"/>
        <w:ind w:left="360"/>
        <w:rPr>
          <w:lang w:val="en-GB"/>
        </w:rPr>
      </w:pPr>
    </w:p>
    <w:p w14:paraId="1B15BA3E" w14:textId="6A9B1A61" w:rsidR="007E511F" w:rsidRPr="009A71E2" w:rsidRDefault="009A71E2" w:rsidP="009A71E2">
      <w:pPr>
        <w:spacing w:line="480" w:lineRule="auto"/>
        <w:rPr>
          <w:lang w:val="en-GB"/>
        </w:rPr>
      </w:pPr>
      <w:r w:rsidRPr="00624F23">
        <w:rPr>
          <w:lang w:val="en-GB"/>
        </w:rPr>
        <w:t>[5]</w:t>
      </w:r>
      <w:r w:rsidRPr="00624F23">
        <w:rPr>
          <w:lang w:val="en-GB"/>
        </w:rPr>
        <w:tab/>
      </w:r>
      <w:r w:rsidR="0093331F" w:rsidRPr="009A71E2">
        <w:rPr>
          <w:lang w:val="en-GB"/>
        </w:rPr>
        <w:t xml:space="preserve">It would appear </w:t>
      </w:r>
      <w:r w:rsidR="00337DFF" w:rsidRPr="009A71E2">
        <w:rPr>
          <w:lang w:val="en-GB"/>
        </w:rPr>
        <w:t xml:space="preserve">also </w:t>
      </w:r>
      <w:r w:rsidR="0093331F" w:rsidRPr="009A71E2">
        <w:rPr>
          <w:lang w:val="en-GB"/>
        </w:rPr>
        <w:t>that the three corporations submitted</w:t>
      </w:r>
      <w:r w:rsidR="00D3553A" w:rsidRPr="009A71E2">
        <w:rPr>
          <w:lang w:val="en-GB"/>
        </w:rPr>
        <w:t xml:space="preserve"> to the Board</w:t>
      </w:r>
      <w:r w:rsidR="0093331F" w:rsidRPr="009A71E2">
        <w:rPr>
          <w:lang w:val="en-GB"/>
        </w:rPr>
        <w:t xml:space="preserve"> similar if not identical laboratory reports on the tests conducted by the Southern African Grain Laboratory (SAGL) on the required content of the soya beans they intended to supply in terms of t</w:t>
      </w:r>
      <w:r w:rsidR="006E3573" w:rsidRPr="009A71E2">
        <w:rPr>
          <w:lang w:val="en-GB"/>
        </w:rPr>
        <w:t>he tender should they have</w:t>
      </w:r>
      <w:r w:rsidR="00A4549B" w:rsidRPr="009A71E2">
        <w:rPr>
          <w:lang w:val="en-GB"/>
        </w:rPr>
        <w:t xml:space="preserve"> been</w:t>
      </w:r>
      <w:r w:rsidR="0093331F" w:rsidRPr="009A71E2">
        <w:rPr>
          <w:lang w:val="en-GB"/>
        </w:rPr>
        <w:t xml:space="preserve"> successful</w:t>
      </w:r>
      <w:r w:rsidR="00503B0B" w:rsidRPr="009A71E2">
        <w:rPr>
          <w:lang w:val="en-GB"/>
        </w:rPr>
        <w:t xml:space="preserve"> in their bids</w:t>
      </w:r>
      <w:r w:rsidR="007E511F" w:rsidRPr="009A71E2">
        <w:rPr>
          <w:lang w:val="en-GB"/>
        </w:rPr>
        <w:t>.</w:t>
      </w:r>
      <w:r w:rsidR="00624F23" w:rsidRPr="009A71E2">
        <w:rPr>
          <w:lang w:val="en-GB"/>
        </w:rPr>
        <w:t xml:space="preserve"> </w:t>
      </w:r>
      <w:r w:rsidR="005B41F3" w:rsidRPr="009A71E2">
        <w:rPr>
          <w:lang w:val="en-GB"/>
        </w:rPr>
        <w:t>It seems that the corporations</w:t>
      </w:r>
      <w:r w:rsidR="00B45FFA" w:rsidRPr="009A71E2">
        <w:rPr>
          <w:lang w:val="en-GB"/>
        </w:rPr>
        <w:t xml:space="preserve"> invariably collaborated in sending certain commodity samples to SAGL for tests</w:t>
      </w:r>
      <w:r w:rsidR="0038783B" w:rsidRPr="009A71E2">
        <w:rPr>
          <w:lang w:val="en-GB"/>
        </w:rPr>
        <w:t xml:space="preserve"> and the respondent appears to have issued a Certificate of Service to Degrande Investment CC for the purpose of participating in the same tender</w:t>
      </w:r>
      <w:r w:rsidR="0093331F" w:rsidRPr="009A71E2">
        <w:rPr>
          <w:lang w:val="en-GB"/>
        </w:rPr>
        <w:t xml:space="preserve">. </w:t>
      </w:r>
    </w:p>
    <w:p w14:paraId="4CFDAE02" w14:textId="77777777" w:rsidR="007E511F" w:rsidRPr="007E511F" w:rsidRDefault="007E511F" w:rsidP="0068402A">
      <w:pPr>
        <w:spacing w:line="480" w:lineRule="auto"/>
        <w:ind w:left="360"/>
        <w:rPr>
          <w:lang w:val="en-GB"/>
        </w:rPr>
      </w:pPr>
    </w:p>
    <w:p w14:paraId="5D2F3DAF" w14:textId="3760E1F6" w:rsidR="00656435" w:rsidRPr="009A71E2" w:rsidRDefault="009A71E2" w:rsidP="009A71E2">
      <w:pPr>
        <w:spacing w:line="480" w:lineRule="auto"/>
        <w:rPr>
          <w:lang w:val="en-GB"/>
        </w:rPr>
      </w:pPr>
      <w:r>
        <w:rPr>
          <w:lang w:val="en-GB"/>
        </w:rPr>
        <w:t>[6]</w:t>
      </w:r>
      <w:r>
        <w:rPr>
          <w:lang w:val="en-GB"/>
        </w:rPr>
        <w:tab/>
      </w:r>
      <w:r w:rsidR="007E511F" w:rsidRPr="009A71E2">
        <w:rPr>
          <w:lang w:val="en-GB"/>
        </w:rPr>
        <w:t>T</w:t>
      </w:r>
      <w:r w:rsidR="00656435" w:rsidRPr="009A71E2">
        <w:rPr>
          <w:lang w:val="en-GB"/>
        </w:rPr>
        <w:t>hese observations emerged from the answering affidavit</w:t>
      </w:r>
      <w:r w:rsidR="006E5E89" w:rsidRPr="009A71E2">
        <w:rPr>
          <w:lang w:val="en-GB"/>
        </w:rPr>
        <w:t xml:space="preserve"> – </w:t>
      </w:r>
      <w:r w:rsidR="00656435" w:rsidRPr="009A71E2">
        <w:rPr>
          <w:lang w:val="en-GB"/>
        </w:rPr>
        <w:t xml:space="preserve">which in </w:t>
      </w:r>
      <w:r w:rsidR="006E5E89" w:rsidRPr="009A71E2">
        <w:rPr>
          <w:lang w:val="en-GB"/>
        </w:rPr>
        <w:t xml:space="preserve">the procurement </w:t>
      </w:r>
      <w:r w:rsidR="00656435" w:rsidRPr="009A71E2">
        <w:rPr>
          <w:lang w:val="en-GB"/>
        </w:rPr>
        <w:t>statutory review parlance is styled ‘replying affidavit’</w:t>
      </w:r>
      <w:r w:rsidR="006E5E89" w:rsidRPr="009A71E2">
        <w:rPr>
          <w:lang w:val="en-GB"/>
        </w:rPr>
        <w:t xml:space="preserve"> – </w:t>
      </w:r>
      <w:r w:rsidR="00656435" w:rsidRPr="009A71E2">
        <w:rPr>
          <w:lang w:val="en-GB"/>
        </w:rPr>
        <w:t xml:space="preserve">deposed to on </w:t>
      </w:r>
      <w:r w:rsidR="00656435" w:rsidRPr="009A71E2">
        <w:rPr>
          <w:lang w:val="en-GB"/>
        </w:rPr>
        <w:lastRenderedPageBreak/>
        <w:t>behalf of the appellants</w:t>
      </w:r>
      <w:r w:rsidR="006E5E89" w:rsidRPr="009A71E2">
        <w:rPr>
          <w:lang w:val="en-GB"/>
        </w:rPr>
        <w:t>.</w:t>
      </w:r>
      <w:r w:rsidR="00656435" w:rsidRPr="009A71E2">
        <w:rPr>
          <w:lang w:val="en-GB"/>
        </w:rPr>
        <w:t xml:space="preserve"> </w:t>
      </w:r>
      <w:r w:rsidR="006E5E89" w:rsidRPr="009A71E2">
        <w:rPr>
          <w:lang w:val="en-GB"/>
        </w:rPr>
        <w:t>I</w:t>
      </w:r>
      <w:r w:rsidR="00656435" w:rsidRPr="009A71E2">
        <w:rPr>
          <w:lang w:val="en-GB"/>
        </w:rPr>
        <w:t xml:space="preserve">t is not surprising that the </w:t>
      </w:r>
      <w:r w:rsidR="006E5E89" w:rsidRPr="009A71E2">
        <w:rPr>
          <w:lang w:val="en-GB"/>
        </w:rPr>
        <w:t xml:space="preserve">introduction of these </w:t>
      </w:r>
      <w:r w:rsidR="00656435" w:rsidRPr="009A71E2">
        <w:rPr>
          <w:lang w:val="en-GB"/>
        </w:rPr>
        <w:t xml:space="preserve">additional instances of alleged conflict of interest was roundly </w:t>
      </w:r>
      <w:r w:rsidR="00E44765" w:rsidRPr="009A71E2">
        <w:rPr>
          <w:lang w:val="en-GB"/>
        </w:rPr>
        <w:t xml:space="preserve">denounced </w:t>
      </w:r>
      <w:r w:rsidR="00656435" w:rsidRPr="009A71E2">
        <w:rPr>
          <w:lang w:val="en-GB"/>
        </w:rPr>
        <w:t xml:space="preserve">by the respondent as an impermissible attempt to introduce new grounds for the respondent’s disqualification through an answering affidavit. </w:t>
      </w:r>
      <w:r w:rsidR="00284BE2" w:rsidRPr="009A71E2">
        <w:rPr>
          <w:lang w:val="en-GB"/>
        </w:rPr>
        <w:t>This in fact remain</w:t>
      </w:r>
      <w:r w:rsidR="00E44765" w:rsidRPr="009A71E2">
        <w:rPr>
          <w:lang w:val="en-GB"/>
        </w:rPr>
        <w:t>s</w:t>
      </w:r>
      <w:r w:rsidR="00284BE2" w:rsidRPr="009A71E2">
        <w:rPr>
          <w:lang w:val="en-GB"/>
        </w:rPr>
        <w:t xml:space="preserve"> </w:t>
      </w:r>
      <w:r w:rsidR="00E44765" w:rsidRPr="009A71E2">
        <w:rPr>
          <w:lang w:val="en-GB"/>
        </w:rPr>
        <w:t xml:space="preserve">the </w:t>
      </w:r>
      <w:r w:rsidR="00284BE2" w:rsidRPr="009A71E2">
        <w:rPr>
          <w:lang w:val="en-GB"/>
        </w:rPr>
        <w:t xml:space="preserve">kernel of the respondent’s </w:t>
      </w:r>
      <w:r w:rsidR="00161E51" w:rsidRPr="009A71E2">
        <w:rPr>
          <w:lang w:val="en-GB"/>
        </w:rPr>
        <w:t xml:space="preserve">argument </w:t>
      </w:r>
      <w:r w:rsidR="00284BE2" w:rsidRPr="009A71E2">
        <w:rPr>
          <w:lang w:val="en-GB"/>
        </w:rPr>
        <w:t xml:space="preserve">on appeal. </w:t>
      </w:r>
    </w:p>
    <w:p w14:paraId="48575507" w14:textId="77777777" w:rsidR="00503B0B" w:rsidRPr="00503B0B" w:rsidRDefault="00503B0B" w:rsidP="0068402A">
      <w:pPr>
        <w:spacing w:line="480" w:lineRule="auto"/>
        <w:ind w:left="360"/>
        <w:rPr>
          <w:lang w:val="en-GB"/>
        </w:rPr>
      </w:pPr>
    </w:p>
    <w:p w14:paraId="522455C7" w14:textId="253D383E" w:rsidR="00946388" w:rsidRPr="009A71E2" w:rsidRDefault="009A71E2" w:rsidP="009A71E2">
      <w:pPr>
        <w:spacing w:line="480" w:lineRule="auto"/>
        <w:rPr>
          <w:lang w:val="en-GB"/>
        </w:rPr>
      </w:pPr>
      <w:r>
        <w:rPr>
          <w:lang w:val="en-GB"/>
        </w:rPr>
        <w:t>[7]</w:t>
      </w:r>
      <w:r>
        <w:rPr>
          <w:lang w:val="en-GB"/>
        </w:rPr>
        <w:tab/>
      </w:r>
      <w:r w:rsidR="00946388" w:rsidRPr="009A71E2">
        <w:rPr>
          <w:lang w:val="en-GB"/>
        </w:rPr>
        <w:t xml:space="preserve">Degree Power Investment CC and Degrande Investments CC also joined Stream Two in the statutory review before the Review Panel, but </w:t>
      </w:r>
      <w:r w:rsidR="00624F23" w:rsidRPr="009A71E2">
        <w:rPr>
          <w:lang w:val="en-GB"/>
        </w:rPr>
        <w:t>neither</w:t>
      </w:r>
      <w:r w:rsidR="00946388" w:rsidRPr="009A71E2">
        <w:rPr>
          <w:lang w:val="en-GB"/>
        </w:rPr>
        <w:t xml:space="preserve"> participate</w:t>
      </w:r>
      <w:r w:rsidR="00624F23" w:rsidRPr="009A71E2">
        <w:rPr>
          <w:lang w:val="en-GB"/>
        </w:rPr>
        <w:t>d</w:t>
      </w:r>
      <w:r w:rsidR="00946388" w:rsidRPr="009A71E2">
        <w:rPr>
          <w:lang w:val="en-GB"/>
        </w:rPr>
        <w:t xml:space="preserve"> in the judicial review in the High Court </w:t>
      </w:r>
      <w:r w:rsidR="00503B0B" w:rsidRPr="009A71E2">
        <w:rPr>
          <w:lang w:val="en-GB"/>
        </w:rPr>
        <w:t xml:space="preserve">nor </w:t>
      </w:r>
      <w:r w:rsidR="00946388" w:rsidRPr="009A71E2">
        <w:rPr>
          <w:lang w:val="en-GB"/>
        </w:rPr>
        <w:t xml:space="preserve">are </w:t>
      </w:r>
      <w:r w:rsidR="00503B0B" w:rsidRPr="009A71E2">
        <w:rPr>
          <w:lang w:val="en-GB"/>
        </w:rPr>
        <w:t xml:space="preserve">they </w:t>
      </w:r>
      <w:r w:rsidR="00946388" w:rsidRPr="009A71E2">
        <w:rPr>
          <w:lang w:val="en-GB"/>
        </w:rPr>
        <w:t>parties to this appeal.</w:t>
      </w:r>
    </w:p>
    <w:p w14:paraId="1E8C72EB" w14:textId="77777777" w:rsidR="00951F33" w:rsidRPr="00951F33" w:rsidRDefault="00951F33" w:rsidP="0068402A">
      <w:pPr>
        <w:spacing w:line="480" w:lineRule="auto"/>
        <w:ind w:left="360"/>
        <w:rPr>
          <w:lang w:val="en-GB"/>
        </w:rPr>
      </w:pPr>
    </w:p>
    <w:p w14:paraId="32D2EC2A" w14:textId="3C55C1EA" w:rsidR="00946388" w:rsidRPr="009A71E2" w:rsidRDefault="009A71E2" w:rsidP="009A71E2">
      <w:pPr>
        <w:spacing w:line="480" w:lineRule="auto"/>
        <w:rPr>
          <w:lang w:val="en-GB"/>
        </w:rPr>
      </w:pPr>
      <w:r>
        <w:rPr>
          <w:lang w:val="en-GB"/>
        </w:rPr>
        <w:t>[8]</w:t>
      </w:r>
      <w:r>
        <w:rPr>
          <w:lang w:val="en-GB"/>
        </w:rPr>
        <w:tab/>
      </w:r>
      <w:r w:rsidR="009B0574" w:rsidRPr="009A71E2">
        <w:rPr>
          <w:lang w:val="en-GB"/>
        </w:rPr>
        <w:t xml:space="preserve">Furthermore, </w:t>
      </w:r>
      <w:r w:rsidR="0065640F" w:rsidRPr="009A71E2">
        <w:rPr>
          <w:lang w:val="en-GB"/>
        </w:rPr>
        <w:t xml:space="preserve">the acronym </w:t>
      </w:r>
      <w:r w:rsidR="00BA41AF" w:rsidRPr="009A71E2">
        <w:rPr>
          <w:lang w:val="en-GB"/>
        </w:rPr>
        <w:t>‘</w:t>
      </w:r>
      <w:r w:rsidR="009B0574" w:rsidRPr="009A71E2">
        <w:rPr>
          <w:lang w:val="en-GB"/>
        </w:rPr>
        <w:t>ITB</w:t>
      </w:r>
      <w:r w:rsidR="00BA41AF" w:rsidRPr="009A71E2">
        <w:rPr>
          <w:lang w:val="en-GB"/>
        </w:rPr>
        <w:t xml:space="preserve">’ </w:t>
      </w:r>
      <w:r w:rsidR="005B41F3" w:rsidRPr="009A71E2">
        <w:rPr>
          <w:lang w:val="en-GB"/>
        </w:rPr>
        <w:t xml:space="preserve">mentioned </w:t>
      </w:r>
      <w:r w:rsidR="00BA41AF" w:rsidRPr="009A71E2">
        <w:rPr>
          <w:lang w:val="en-GB"/>
        </w:rPr>
        <w:t>in the report s</w:t>
      </w:r>
      <w:r w:rsidR="009B0574" w:rsidRPr="009A71E2">
        <w:rPr>
          <w:lang w:val="en-GB"/>
        </w:rPr>
        <w:t>t</w:t>
      </w:r>
      <w:r w:rsidR="00BA41AF" w:rsidRPr="009A71E2">
        <w:rPr>
          <w:lang w:val="en-GB"/>
        </w:rPr>
        <w:t>ands fo</w:t>
      </w:r>
      <w:r w:rsidR="009B0574" w:rsidRPr="009A71E2">
        <w:rPr>
          <w:lang w:val="en-GB"/>
        </w:rPr>
        <w:t>r</w:t>
      </w:r>
      <w:r w:rsidR="00BA41AF" w:rsidRPr="009A71E2">
        <w:rPr>
          <w:lang w:val="en-GB"/>
        </w:rPr>
        <w:t xml:space="preserve"> ‘Instructions to Bidders’</w:t>
      </w:r>
      <w:r w:rsidR="00B86DF8" w:rsidRPr="009A71E2">
        <w:rPr>
          <w:lang w:val="en-GB"/>
        </w:rPr>
        <w:t>.</w:t>
      </w:r>
      <w:r w:rsidR="00BA41AF" w:rsidRPr="009A71E2">
        <w:rPr>
          <w:lang w:val="en-GB"/>
        </w:rPr>
        <w:t xml:space="preserve"> </w:t>
      </w:r>
      <w:r w:rsidR="00530609" w:rsidRPr="009A71E2">
        <w:rPr>
          <w:lang w:val="en-GB"/>
        </w:rPr>
        <w:t xml:space="preserve">Paragraph 5.2 of </w:t>
      </w:r>
      <w:r w:rsidR="00A4549B" w:rsidRPr="009A71E2">
        <w:rPr>
          <w:lang w:val="en-GB"/>
        </w:rPr>
        <w:t xml:space="preserve">the </w:t>
      </w:r>
      <w:r w:rsidR="00530609" w:rsidRPr="009A71E2">
        <w:rPr>
          <w:lang w:val="en-GB"/>
        </w:rPr>
        <w:t>Instructions to Bidders (</w:t>
      </w:r>
      <w:r w:rsidR="00BA41AF" w:rsidRPr="009A71E2">
        <w:rPr>
          <w:lang w:val="en-GB"/>
        </w:rPr>
        <w:t>ITB 5.2</w:t>
      </w:r>
      <w:r w:rsidR="00530609" w:rsidRPr="009A71E2">
        <w:rPr>
          <w:lang w:val="en-GB"/>
        </w:rPr>
        <w:t>)</w:t>
      </w:r>
      <w:r w:rsidR="00BA41AF" w:rsidRPr="009A71E2">
        <w:rPr>
          <w:lang w:val="en-GB"/>
        </w:rPr>
        <w:t xml:space="preserve"> in the </w:t>
      </w:r>
      <w:r w:rsidR="00530609" w:rsidRPr="009A71E2">
        <w:rPr>
          <w:lang w:val="en-GB"/>
        </w:rPr>
        <w:t>b</w:t>
      </w:r>
      <w:r w:rsidR="00BA41AF" w:rsidRPr="009A71E2">
        <w:rPr>
          <w:lang w:val="en-GB"/>
        </w:rPr>
        <w:t>id documents read</w:t>
      </w:r>
      <w:r w:rsidR="00624F23" w:rsidRPr="009A71E2">
        <w:rPr>
          <w:lang w:val="en-GB"/>
        </w:rPr>
        <w:t>s</w:t>
      </w:r>
      <w:r w:rsidR="00BA41AF" w:rsidRPr="009A71E2">
        <w:rPr>
          <w:lang w:val="en-GB"/>
        </w:rPr>
        <w:t xml:space="preserve"> as follow</w:t>
      </w:r>
      <w:r w:rsidR="00624F23" w:rsidRPr="009A71E2">
        <w:rPr>
          <w:lang w:val="en-GB"/>
        </w:rPr>
        <w:t>s</w:t>
      </w:r>
      <w:r w:rsidR="00BA41AF" w:rsidRPr="009A71E2">
        <w:rPr>
          <w:lang w:val="en-GB"/>
        </w:rPr>
        <w:t>:</w:t>
      </w:r>
    </w:p>
    <w:p w14:paraId="10E46AEB" w14:textId="77777777" w:rsidR="00B002CB" w:rsidRPr="00B002CB" w:rsidRDefault="00B002CB" w:rsidP="0068402A">
      <w:pPr>
        <w:pStyle w:val="ListParagraph"/>
        <w:rPr>
          <w:lang w:val="en-GB"/>
        </w:rPr>
      </w:pPr>
    </w:p>
    <w:p w14:paraId="4741E654" w14:textId="157E8C24" w:rsidR="00BA41AF" w:rsidRDefault="00946388" w:rsidP="0068402A">
      <w:pPr>
        <w:pStyle w:val="ListParagraph"/>
        <w:spacing w:line="360" w:lineRule="auto"/>
        <w:rPr>
          <w:sz w:val="22"/>
          <w:szCs w:val="22"/>
          <w:lang w:val="en-GB"/>
        </w:rPr>
      </w:pPr>
      <w:r w:rsidRPr="00946388">
        <w:rPr>
          <w:sz w:val="22"/>
          <w:szCs w:val="22"/>
          <w:lang w:val="en-GB"/>
        </w:rPr>
        <w:t>‘</w:t>
      </w:r>
      <w:r w:rsidR="00BA41AF" w:rsidRPr="00946388">
        <w:rPr>
          <w:sz w:val="22"/>
          <w:szCs w:val="22"/>
          <w:lang w:val="en-GB"/>
        </w:rPr>
        <w:t xml:space="preserve">A </w:t>
      </w:r>
      <w:r w:rsidRPr="00946388">
        <w:rPr>
          <w:sz w:val="22"/>
          <w:szCs w:val="22"/>
          <w:lang w:val="en-GB"/>
        </w:rPr>
        <w:t>B</w:t>
      </w:r>
      <w:r w:rsidR="00BA41AF" w:rsidRPr="00946388">
        <w:rPr>
          <w:sz w:val="22"/>
          <w:szCs w:val="22"/>
          <w:lang w:val="en-GB"/>
        </w:rPr>
        <w:t xml:space="preserve">idder shall not have a conflict of interest. All bidders found to have a conflict of interest shall be disqualified. </w:t>
      </w:r>
      <w:r w:rsidRPr="00946388">
        <w:rPr>
          <w:sz w:val="22"/>
          <w:szCs w:val="22"/>
          <w:lang w:val="en-GB"/>
        </w:rPr>
        <w:t>B</w:t>
      </w:r>
      <w:r w:rsidR="00BA41AF" w:rsidRPr="00946388">
        <w:rPr>
          <w:sz w:val="22"/>
          <w:szCs w:val="22"/>
          <w:lang w:val="en-GB"/>
        </w:rPr>
        <w:t>idder</w:t>
      </w:r>
      <w:r w:rsidRPr="00946388">
        <w:rPr>
          <w:sz w:val="22"/>
          <w:szCs w:val="22"/>
          <w:lang w:val="en-GB"/>
        </w:rPr>
        <w:t>s</w:t>
      </w:r>
      <w:r w:rsidR="00BA41AF" w:rsidRPr="00946388">
        <w:rPr>
          <w:sz w:val="22"/>
          <w:szCs w:val="22"/>
          <w:lang w:val="en-GB"/>
        </w:rPr>
        <w:t xml:space="preserve"> may be in a conflict of interest with one or more parties in this bidding process if</w:t>
      </w:r>
      <w:r w:rsidRPr="00946388">
        <w:rPr>
          <w:sz w:val="22"/>
          <w:szCs w:val="22"/>
          <w:lang w:val="en-GB"/>
        </w:rPr>
        <w:t xml:space="preserve"> [they]</w:t>
      </w:r>
      <w:r w:rsidR="00BA41AF" w:rsidRPr="00946388">
        <w:rPr>
          <w:sz w:val="22"/>
          <w:szCs w:val="22"/>
          <w:lang w:val="en-GB"/>
        </w:rPr>
        <w:t>:</w:t>
      </w:r>
    </w:p>
    <w:p w14:paraId="77B5D324" w14:textId="77777777" w:rsidR="00B002CB" w:rsidRPr="00946388" w:rsidRDefault="00B002CB" w:rsidP="0068402A">
      <w:pPr>
        <w:pStyle w:val="ListParagraph"/>
        <w:spacing w:line="360" w:lineRule="auto"/>
        <w:rPr>
          <w:sz w:val="22"/>
          <w:szCs w:val="22"/>
          <w:lang w:val="en-GB"/>
        </w:rPr>
      </w:pPr>
    </w:p>
    <w:p w14:paraId="784EFF89" w14:textId="1571F907" w:rsidR="00BA41AF" w:rsidRPr="00946388" w:rsidRDefault="00BA41AF" w:rsidP="0068402A">
      <w:pPr>
        <w:pStyle w:val="ListParagraph"/>
        <w:spacing w:line="360" w:lineRule="auto"/>
        <w:rPr>
          <w:sz w:val="22"/>
          <w:szCs w:val="22"/>
          <w:lang w:val="en-GB"/>
        </w:rPr>
      </w:pPr>
      <w:r w:rsidRPr="00946388">
        <w:rPr>
          <w:sz w:val="22"/>
          <w:szCs w:val="22"/>
          <w:lang w:val="en-GB"/>
        </w:rPr>
        <w:t xml:space="preserve">(a) </w:t>
      </w:r>
      <w:r w:rsidR="00B002CB">
        <w:rPr>
          <w:sz w:val="22"/>
          <w:szCs w:val="22"/>
          <w:lang w:val="en-GB"/>
        </w:rPr>
        <w:tab/>
      </w:r>
      <w:r w:rsidR="00946388" w:rsidRPr="00946388">
        <w:rPr>
          <w:sz w:val="22"/>
          <w:szCs w:val="22"/>
          <w:lang w:val="en-GB"/>
        </w:rPr>
        <w:t>H</w:t>
      </w:r>
      <w:r w:rsidRPr="00946388">
        <w:rPr>
          <w:sz w:val="22"/>
          <w:szCs w:val="22"/>
          <w:lang w:val="en-GB"/>
        </w:rPr>
        <w:t xml:space="preserve">ave controlling shareholders in common; or </w:t>
      </w:r>
    </w:p>
    <w:p w14:paraId="246DF281" w14:textId="3C7ECB3F" w:rsidR="00BA41AF" w:rsidRPr="00946388" w:rsidRDefault="00B002CB" w:rsidP="0068402A">
      <w:pPr>
        <w:pStyle w:val="ListParagraph"/>
        <w:spacing w:line="360" w:lineRule="auto"/>
        <w:rPr>
          <w:sz w:val="22"/>
          <w:szCs w:val="22"/>
          <w:lang w:val="en-GB"/>
        </w:rPr>
      </w:pPr>
      <w:r>
        <w:rPr>
          <w:sz w:val="22"/>
          <w:szCs w:val="22"/>
          <w:lang w:val="en-GB"/>
        </w:rPr>
        <w:t>(b)</w:t>
      </w:r>
      <w:r>
        <w:rPr>
          <w:sz w:val="22"/>
          <w:szCs w:val="22"/>
          <w:lang w:val="en-GB"/>
        </w:rPr>
        <w:tab/>
        <w:t xml:space="preserve">. . . </w:t>
      </w:r>
    </w:p>
    <w:p w14:paraId="213CE074" w14:textId="5181B80D" w:rsidR="00BA41AF" w:rsidRPr="00946388" w:rsidRDefault="00B002CB" w:rsidP="0068402A">
      <w:pPr>
        <w:pStyle w:val="ListParagraph"/>
        <w:spacing w:line="360" w:lineRule="auto"/>
        <w:rPr>
          <w:sz w:val="22"/>
          <w:szCs w:val="22"/>
          <w:lang w:val="en-GB"/>
        </w:rPr>
      </w:pPr>
      <w:r>
        <w:rPr>
          <w:sz w:val="22"/>
          <w:szCs w:val="22"/>
          <w:lang w:val="en-GB"/>
        </w:rPr>
        <w:t>(c)</w:t>
      </w:r>
      <w:r>
        <w:rPr>
          <w:sz w:val="22"/>
          <w:szCs w:val="22"/>
          <w:lang w:val="en-GB"/>
        </w:rPr>
        <w:tab/>
        <w:t>. . .</w:t>
      </w:r>
    </w:p>
    <w:p w14:paraId="16048FD6" w14:textId="787EB771" w:rsidR="00BA41AF" w:rsidRPr="00946388" w:rsidRDefault="00BA41AF" w:rsidP="0068402A">
      <w:pPr>
        <w:pStyle w:val="ListParagraph"/>
        <w:spacing w:line="360" w:lineRule="auto"/>
        <w:ind w:left="1440" w:hanging="720"/>
        <w:rPr>
          <w:sz w:val="22"/>
          <w:szCs w:val="22"/>
          <w:lang w:val="en-GB"/>
        </w:rPr>
      </w:pPr>
      <w:r w:rsidRPr="00946388">
        <w:rPr>
          <w:sz w:val="22"/>
          <w:szCs w:val="22"/>
          <w:lang w:val="en-GB"/>
        </w:rPr>
        <w:t xml:space="preserve">(d) </w:t>
      </w:r>
      <w:r w:rsidR="00B002CB">
        <w:rPr>
          <w:sz w:val="22"/>
          <w:szCs w:val="22"/>
          <w:lang w:val="en-GB"/>
        </w:rPr>
        <w:tab/>
      </w:r>
      <w:r w:rsidRPr="00946388">
        <w:rPr>
          <w:sz w:val="22"/>
          <w:szCs w:val="22"/>
          <w:lang w:val="en-GB"/>
        </w:rPr>
        <w:t>Have a relationship with each other, directly or through common third parties that puts them in a position to have access to information about or influence on the Bid of another Bidder or influence the decisions of the Purchaser regarding the bidding process;</w:t>
      </w:r>
      <w:r w:rsidR="00946388" w:rsidRPr="00946388">
        <w:rPr>
          <w:sz w:val="22"/>
          <w:szCs w:val="22"/>
          <w:lang w:val="en-GB"/>
        </w:rPr>
        <w:t xml:space="preserve"> </w:t>
      </w:r>
      <w:r w:rsidRPr="00946388">
        <w:rPr>
          <w:sz w:val="22"/>
          <w:szCs w:val="22"/>
          <w:lang w:val="en-GB"/>
        </w:rPr>
        <w:t xml:space="preserve">or </w:t>
      </w:r>
    </w:p>
    <w:p w14:paraId="3518A8FF" w14:textId="30CF6D08" w:rsidR="00BA41AF" w:rsidRPr="00946388" w:rsidRDefault="00B002CB" w:rsidP="0068402A">
      <w:pPr>
        <w:pStyle w:val="ListParagraph"/>
        <w:spacing w:line="360" w:lineRule="auto"/>
        <w:rPr>
          <w:sz w:val="22"/>
          <w:szCs w:val="22"/>
          <w:lang w:val="en-GB"/>
        </w:rPr>
      </w:pPr>
      <w:r>
        <w:rPr>
          <w:sz w:val="22"/>
          <w:szCs w:val="22"/>
          <w:lang w:val="en-GB"/>
        </w:rPr>
        <w:t xml:space="preserve">(e) </w:t>
      </w:r>
      <w:r>
        <w:rPr>
          <w:sz w:val="22"/>
          <w:szCs w:val="22"/>
          <w:lang w:val="en-GB"/>
        </w:rPr>
        <w:tab/>
        <w:t xml:space="preserve">. . . </w:t>
      </w:r>
    </w:p>
    <w:p w14:paraId="2EEAC812" w14:textId="2162F35C" w:rsidR="004B2993" w:rsidRPr="00946388" w:rsidRDefault="00B002CB" w:rsidP="0068402A">
      <w:pPr>
        <w:pStyle w:val="ListParagraph"/>
        <w:spacing w:line="360" w:lineRule="auto"/>
        <w:rPr>
          <w:sz w:val="22"/>
          <w:szCs w:val="22"/>
          <w:lang w:val="en-GB"/>
        </w:rPr>
      </w:pPr>
      <w:r>
        <w:rPr>
          <w:sz w:val="22"/>
          <w:szCs w:val="22"/>
          <w:lang w:val="en-GB"/>
        </w:rPr>
        <w:t>(f)</w:t>
      </w:r>
      <w:r>
        <w:rPr>
          <w:sz w:val="22"/>
          <w:szCs w:val="22"/>
          <w:lang w:val="en-GB"/>
        </w:rPr>
        <w:tab/>
        <w:t>. . . ’</w:t>
      </w:r>
      <w:r w:rsidR="00BA41AF" w:rsidRPr="00946388">
        <w:rPr>
          <w:sz w:val="22"/>
          <w:szCs w:val="22"/>
          <w:lang w:val="en-GB"/>
        </w:rPr>
        <w:t xml:space="preserve"> </w:t>
      </w:r>
    </w:p>
    <w:p w14:paraId="1FFBBC45" w14:textId="77777777" w:rsidR="004B2993" w:rsidRPr="004B2993" w:rsidRDefault="004B2993" w:rsidP="0068402A">
      <w:pPr>
        <w:spacing w:line="480" w:lineRule="auto"/>
        <w:ind w:left="360"/>
        <w:rPr>
          <w:lang w:val="en-GB"/>
        </w:rPr>
      </w:pPr>
    </w:p>
    <w:p w14:paraId="29192899" w14:textId="4F7E1DC6" w:rsidR="00B45FFA" w:rsidRPr="009A71E2" w:rsidRDefault="009A71E2" w:rsidP="009A71E2">
      <w:pPr>
        <w:spacing w:line="480" w:lineRule="auto"/>
        <w:rPr>
          <w:lang w:val="en-GB"/>
        </w:rPr>
      </w:pPr>
      <w:r>
        <w:rPr>
          <w:lang w:val="en-GB"/>
        </w:rPr>
        <w:lastRenderedPageBreak/>
        <w:t>[9]</w:t>
      </w:r>
      <w:r>
        <w:rPr>
          <w:lang w:val="en-GB"/>
        </w:rPr>
        <w:tab/>
      </w:r>
      <w:r w:rsidR="004B2993" w:rsidRPr="009A71E2">
        <w:rPr>
          <w:lang w:val="en-GB"/>
        </w:rPr>
        <w:t xml:space="preserve">Proceeding </w:t>
      </w:r>
      <w:r w:rsidR="00337DFF" w:rsidRPr="009A71E2">
        <w:rPr>
          <w:lang w:val="en-GB"/>
        </w:rPr>
        <w:t xml:space="preserve">with the presentation of the background </w:t>
      </w:r>
      <w:r w:rsidR="005B41F3" w:rsidRPr="009A71E2">
        <w:rPr>
          <w:lang w:val="en-GB"/>
        </w:rPr>
        <w:t>t</w:t>
      </w:r>
      <w:r w:rsidR="00337DFF" w:rsidRPr="009A71E2">
        <w:rPr>
          <w:lang w:val="en-GB"/>
        </w:rPr>
        <w:t>o the matter, f</w:t>
      </w:r>
      <w:r w:rsidR="00594DB5" w:rsidRPr="009A71E2">
        <w:rPr>
          <w:lang w:val="en-GB"/>
        </w:rPr>
        <w:t>or th</w:t>
      </w:r>
      <w:r w:rsidR="008845DC" w:rsidRPr="009A71E2">
        <w:rPr>
          <w:lang w:val="en-GB"/>
        </w:rPr>
        <w:t>e</w:t>
      </w:r>
      <w:r w:rsidR="00594DB5" w:rsidRPr="009A71E2">
        <w:rPr>
          <w:lang w:val="en-GB"/>
        </w:rPr>
        <w:t xml:space="preserve"> reason</w:t>
      </w:r>
      <w:r w:rsidR="008845DC" w:rsidRPr="009A71E2">
        <w:rPr>
          <w:lang w:val="en-GB"/>
        </w:rPr>
        <w:t>s</w:t>
      </w:r>
      <w:r w:rsidR="004108BB" w:rsidRPr="009A71E2">
        <w:rPr>
          <w:lang w:val="en-GB"/>
        </w:rPr>
        <w:t xml:space="preserve"> stated in the executive summary of the evaluation report</w:t>
      </w:r>
      <w:r w:rsidR="00594DB5" w:rsidRPr="009A71E2">
        <w:rPr>
          <w:lang w:val="en-GB"/>
        </w:rPr>
        <w:t xml:space="preserve">, Stream Two’s bid was disqualified upfront and was not subjected to the bid evaluation process </w:t>
      </w:r>
      <w:r w:rsidR="008845DC" w:rsidRPr="009A71E2">
        <w:rPr>
          <w:lang w:val="en-GB"/>
        </w:rPr>
        <w:t xml:space="preserve">consisting of </w:t>
      </w:r>
      <w:r w:rsidR="00BF6A78" w:rsidRPr="009A71E2">
        <w:rPr>
          <w:lang w:val="en-GB"/>
        </w:rPr>
        <w:t xml:space="preserve">six </w:t>
      </w:r>
      <w:r w:rsidR="00090EF6" w:rsidRPr="009A71E2">
        <w:rPr>
          <w:lang w:val="en-GB"/>
        </w:rPr>
        <w:t>stages</w:t>
      </w:r>
      <w:r w:rsidR="00594DB5" w:rsidRPr="009A71E2">
        <w:rPr>
          <w:lang w:val="en-GB"/>
        </w:rPr>
        <w:t>.</w:t>
      </w:r>
      <w:r w:rsidR="00090EF6" w:rsidRPr="009A71E2">
        <w:rPr>
          <w:lang w:val="en-GB"/>
        </w:rPr>
        <w:t xml:space="preserve"> </w:t>
      </w:r>
      <w:r w:rsidR="008845DC" w:rsidRPr="009A71E2">
        <w:rPr>
          <w:lang w:val="en-GB"/>
        </w:rPr>
        <w:t>As noted above, t</w:t>
      </w:r>
      <w:r w:rsidR="00090EF6" w:rsidRPr="009A71E2">
        <w:rPr>
          <w:lang w:val="en-GB"/>
        </w:rPr>
        <w:t>he Board</w:t>
      </w:r>
      <w:r w:rsidR="008845DC" w:rsidRPr="009A71E2">
        <w:rPr>
          <w:lang w:val="en-GB"/>
        </w:rPr>
        <w:t>’s decision</w:t>
      </w:r>
      <w:r w:rsidR="00090EF6" w:rsidRPr="009A71E2">
        <w:rPr>
          <w:lang w:val="en-GB"/>
        </w:rPr>
        <w:t xml:space="preserve"> disqualifying Stream Two’s bid was taken on statutory review before the Review Panel pursuant to s 59 of the PPA. </w:t>
      </w:r>
    </w:p>
    <w:p w14:paraId="45373532" w14:textId="77777777" w:rsidR="00B45FFA" w:rsidRPr="00B002CB" w:rsidRDefault="00B45FFA" w:rsidP="0068402A">
      <w:pPr>
        <w:spacing w:line="480" w:lineRule="auto"/>
        <w:rPr>
          <w:lang w:val="en-GB"/>
        </w:rPr>
      </w:pPr>
    </w:p>
    <w:p w14:paraId="464C424A" w14:textId="16839F43" w:rsidR="00AC327F" w:rsidRPr="009A71E2" w:rsidRDefault="009A71E2" w:rsidP="009A71E2">
      <w:pPr>
        <w:spacing w:line="480" w:lineRule="auto"/>
        <w:rPr>
          <w:lang w:val="en-GB"/>
        </w:rPr>
      </w:pPr>
      <w:r>
        <w:rPr>
          <w:lang w:val="en-GB"/>
        </w:rPr>
        <w:t>[10]</w:t>
      </w:r>
      <w:r>
        <w:rPr>
          <w:lang w:val="en-GB"/>
        </w:rPr>
        <w:tab/>
      </w:r>
      <w:r w:rsidR="008845DC" w:rsidRPr="009A71E2">
        <w:rPr>
          <w:lang w:val="en-GB"/>
        </w:rPr>
        <w:t xml:space="preserve">Stream Two’s principal </w:t>
      </w:r>
      <w:r w:rsidR="00090EF6" w:rsidRPr="009A71E2">
        <w:rPr>
          <w:lang w:val="en-GB"/>
        </w:rPr>
        <w:t xml:space="preserve">ground </w:t>
      </w:r>
      <w:r w:rsidR="00A34154" w:rsidRPr="009A71E2">
        <w:rPr>
          <w:lang w:val="en-GB"/>
        </w:rPr>
        <w:t>in th</w:t>
      </w:r>
      <w:r w:rsidR="003E3CF9" w:rsidRPr="009A71E2">
        <w:rPr>
          <w:lang w:val="en-GB"/>
        </w:rPr>
        <w:t>at</w:t>
      </w:r>
      <w:r w:rsidR="00A34154" w:rsidRPr="009A71E2">
        <w:rPr>
          <w:lang w:val="en-GB"/>
        </w:rPr>
        <w:t xml:space="preserve"> review</w:t>
      </w:r>
      <w:r w:rsidR="00090EF6" w:rsidRPr="009A71E2">
        <w:rPr>
          <w:lang w:val="en-GB"/>
        </w:rPr>
        <w:t xml:space="preserve"> was that upon registration, Stream Two acquired its own legal personality, rights and responsibilities separate from those of Mr Nekomba’s.</w:t>
      </w:r>
      <w:r w:rsidR="00F8178B" w:rsidRPr="009A71E2">
        <w:rPr>
          <w:lang w:val="en-GB"/>
        </w:rPr>
        <w:t xml:space="preserve"> </w:t>
      </w:r>
      <w:r w:rsidR="00AC327F" w:rsidRPr="009A71E2">
        <w:rPr>
          <w:lang w:val="en-GB"/>
        </w:rPr>
        <w:t xml:space="preserve">Therefore, when it submitted its bid it did so in its own name. </w:t>
      </w:r>
      <w:r w:rsidR="00530609" w:rsidRPr="009A71E2">
        <w:rPr>
          <w:lang w:val="en-GB"/>
        </w:rPr>
        <w:t xml:space="preserve">This </w:t>
      </w:r>
      <w:r w:rsidR="003A6D01" w:rsidRPr="009A71E2">
        <w:rPr>
          <w:lang w:val="en-GB"/>
        </w:rPr>
        <w:t xml:space="preserve">was not said in so many words </w:t>
      </w:r>
      <w:r w:rsidR="0065640F" w:rsidRPr="009A71E2">
        <w:rPr>
          <w:lang w:val="en-GB"/>
        </w:rPr>
        <w:t xml:space="preserve">in </w:t>
      </w:r>
      <w:r w:rsidR="00530609" w:rsidRPr="009A71E2">
        <w:rPr>
          <w:lang w:val="en-GB"/>
        </w:rPr>
        <w:t>Stream Two’s papers</w:t>
      </w:r>
      <w:r w:rsidR="0065640F" w:rsidRPr="009A71E2">
        <w:rPr>
          <w:lang w:val="en-GB"/>
        </w:rPr>
        <w:t xml:space="preserve">, </w:t>
      </w:r>
      <w:r w:rsidR="003A6D01" w:rsidRPr="009A71E2">
        <w:rPr>
          <w:lang w:val="en-GB"/>
        </w:rPr>
        <w:t>but the implication for th</w:t>
      </w:r>
      <w:r w:rsidR="00530609" w:rsidRPr="009A71E2">
        <w:rPr>
          <w:lang w:val="en-GB"/>
        </w:rPr>
        <w:t>e</w:t>
      </w:r>
      <w:r w:rsidR="003A6D01" w:rsidRPr="009A71E2">
        <w:rPr>
          <w:lang w:val="en-GB"/>
        </w:rPr>
        <w:t xml:space="preserve"> </w:t>
      </w:r>
      <w:r w:rsidR="00530609" w:rsidRPr="009A71E2">
        <w:rPr>
          <w:lang w:val="en-GB"/>
        </w:rPr>
        <w:t xml:space="preserve">above </w:t>
      </w:r>
      <w:r w:rsidR="003A6D01" w:rsidRPr="009A71E2">
        <w:rPr>
          <w:lang w:val="en-GB"/>
        </w:rPr>
        <w:t xml:space="preserve">contention </w:t>
      </w:r>
      <w:r w:rsidR="00AC327F" w:rsidRPr="009A71E2">
        <w:rPr>
          <w:lang w:val="en-GB"/>
        </w:rPr>
        <w:t xml:space="preserve">is </w:t>
      </w:r>
      <w:r w:rsidR="003A6D01" w:rsidRPr="009A71E2">
        <w:rPr>
          <w:lang w:val="en-GB"/>
        </w:rPr>
        <w:t xml:space="preserve">that </w:t>
      </w:r>
      <w:r w:rsidR="00CE662E" w:rsidRPr="009A71E2">
        <w:rPr>
          <w:lang w:val="en-GB"/>
        </w:rPr>
        <w:t xml:space="preserve">the Board </w:t>
      </w:r>
      <w:r w:rsidR="003A6D01" w:rsidRPr="009A71E2">
        <w:rPr>
          <w:lang w:val="en-GB"/>
        </w:rPr>
        <w:t xml:space="preserve">thus </w:t>
      </w:r>
      <w:r w:rsidR="00CE662E" w:rsidRPr="009A71E2">
        <w:rPr>
          <w:lang w:val="en-GB"/>
        </w:rPr>
        <w:t xml:space="preserve">erred </w:t>
      </w:r>
      <w:r w:rsidR="0065640F" w:rsidRPr="009A71E2">
        <w:rPr>
          <w:lang w:val="en-GB"/>
        </w:rPr>
        <w:t xml:space="preserve">by appearing to conflate the identity of the </w:t>
      </w:r>
      <w:r w:rsidR="00CE662E" w:rsidRPr="009A71E2">
        <w:rPr>
          <w:lang w:val="en-GB"/>
        </w:rPr>
        <w:t xml:space="preserve">corporation </w:t>
      </w:r>
      <w:r w:rsidR="0065640F" w:rsidRPr="009A71E2">
        <w:rPr>
          <w:lang w:val="en-GB"/>
        </w:rPr>
        <w:t xml:space="preserve">with that of </w:t>
      </w:r>
      <w:r w:rsidR="00CE662E" w:rsidRPr="009A71E2">
        <w:rPr>
          <w:lang w:val="en-GB"/>
        </w:rPr>
        <w:t xml:space="preserve">its member. </w:t>
      </w:r>
    </w:p>
    <w:p w14:paraId="7697DA4F" w14:textId="77777777" w:rsidR="00AC327F" w:rsidRPr="00AC327F" w:rsidRDefault="00AC327F" w:rsidP="0068402A">
      <w:pPr>
        <w:pStyle w:val="ListParagraph"/>
        <w:spacing w:line="480" w:lineRule="auto"/>
        <w:rPr>
          <w:lang w:val="en-GB"/>
        </w:rPr>
      </w:pPr>
    </w:p>
    <w:p w14:paraId="34148335" w14:textId="10E38A77" w:rsidR="00AC327F" w:rsidRPr="009A71E2" w:rsidRDefault="009A71E2" w:rsidP="009A71E2">
      <w:pPr>
        <w:spacing w:line="480" w:lineRule="auto"/>
        <w:rPr>
          <w:lang w:val="en-GB"/>
        </w:rPr>
      </w:pPr>
      <w:r>
        <w:rPr>
          <w:lang w:val="en-GB"/>
        </w:rPr>
        <w:t>[11]</w:t>
      </w:r>
      <w:r>
        <w:rPr>
          <w:lang w:val="en-GB"/>
        </w:rPr>
        <w:tab/>
      </w:r>
      <w:r w:rsidR="00F8178B" w:rsidRPr="009A71E2">
        <w:rPr>
          <w:lang w:val="en-GB"/>
        </w:rPr>
        <w:t xml:space="preserve">Moreover, Stream Two </w:t>
      </w:r>
      <w:r w:rsidR="0065640F" w:rsidRPr="009A71E2">
        <w:rPr>
          <w:lang w:val="en-GB"/>
        </w:rPr>
        <w:t xml:space="preserve">also </w:t>
      </w:r>
      <w:r w:rsidR="003A6D01" w:rsidRPr="009A71E2">
        <w:rPr>
          <w:lang w:val="en-GB"/>
        </w:rPr>
        <w:t xml:space="preserve">contended – </w:t>
      </w:r>
      <w:r w:rsidR="00530609" w:rsidRPr="009A71E2">
        <w:rPr>
          <w:lang w:val="en-GB"/>
        </w:rPr>
        <w:t xml:space="preserve">following </w:t>
      </w:r>
      <w:r w:rsidR="003A6D01" w:rsidRPr="009A71E2">
        <w:rPr>
          <w:lang w:val="en-GB"/>
        </w:rPr>
        <w:t xml:space="preserve">the wording of ITB 5.2 above regarding the type of </w:t>
      </w:r>
      <w:r w:rsidR="00976646" w:rsidRPr="009A71E2">
        <w:rPr>
          <w:lang w:val="en-GB"/>
        </w:rPr>
        <w:t xml:space="preserve">the </w:t>
      </w:r>
      <w:r w:rsidR="003A6D01" w:rsidRPr="009A71E2">
        <w:rPr>
          <w:lang w:val="en-GB"/>
        </w:rPr>
        <w:t xml:space="preserve">conflict of interest </w:t>
      </w:r>
      <w:r w:rsidR="00976646" w:rsidRPr="009A71E2">
        <w:rPr>
          <w:lang w:val="en-GB"/>
        </w:rPr>
        <w:t xml:space="preserve">proscribed </w:t>
      </w:r>
      <w:r w:rsidR="0065640F" w:rsidRPr="009A71E2">
        <w:rPr>
          <w:lang w:val="en-GB"/>
        </w:rPr>
        <w:t xml:space="preserve">in the bid documents </w:t>
      </w:r>
      <w:r w:rsidR="003A6D01" w:rsidRPr="009A71E2">
        <w:rPr>
          <w:lang w:val="en-GB"/>
        </w:rPr>
        <w:t xml:space="preserve">– that it </w:t>
      </w:r>
      <w:r w:rsidR="00F8178B" w:rsidRPr="009A71E2">
        <w:rPr>
          <w:lang w:val="en-GB"/>
        </w:rPr>
        <w:t xml:space="preserve">neither </w:t>
      </w:r>
      <w:r w:rsidR="00AC327F" w:rsidRPr="009A71E2">
        <w:rPr>
          <w:lang w:val="en-GB"/>
        </w:rPr>
        <w:t xml:space="preserve">had </w:t>
      </w:r>
      <w:r w:rsidR="009C5A9B" w:rsidRPr="009A71E2">
        <w:rPr>
          <w:lang w:val="en-GB"/>
        </w:rPr>
        <w:t xml:space="preserve">a </w:t>
      </w:r>
      <w:r w:rsidR="00F8178B" w:rsidRPr="009A71E2">
        <w:rPr>
          <w:lang w:val="en-GB"/>
        </w:rPr>
        <w:t xml:space="preserve">relationship with any other bidder nor a relationship through common third parties that would </w:t>
      </w:r>
      <w:r w:rsidR="005B41F3" w:rsidRPr="009A71E2">
        <w:rPr>
          <w:lang w:val="en-GB"/>
        </w:rPr>
        <w:t xml:space="preserve">give </w:t>
      </w:r>
      <w:r w:rsidR="00F8178B" w:rsidRPr="009A71E2">
        <w:rPr>
          <w:lang w:val="en-GB"/>
        </w:rPr>
        <w:t xml:space="preserve">the bidders access to information </w:t>
      </w:r>
      <w:r w:rsidR="00AC327F" w:rsidRPr="009A71E2">
        <w:rPr>
          <w:lang w:val="en-GB"/>
        </w:rPr>
        <w:t xml:space="preserve">about </w:t>
      </w:r>
      <w:r w:rsidR="00F8178B" w:rsidRPr="009A71E2">
        <w:rPr>
          <w:lang w:val="en-GB"/>
        </w:rPr>
        <w:t>other bidders</w:t>
      </w:r>
      <w:r w:rsidR="00443176" w:rsidRPr="009A71E2">
        <w:rPr>
          <w:lang w:val="en-GB"/>
        </w:rPr>
        <w:t xml:space="preserve"> </w:t>
      </w:r>
      <w:r w:rsidR="00F8178B" w:rsidRPr="009A71E2">
        <w:rPr>
          <w:lang w:val="en-GB"/>
        </w:rPr>
        <w:t xml:space="preserve">nor was it in a position to influence the Board as it did not have </w:t>
      </w:r>
      <w:r w:rsidR="009C5A9B" w:rsidRPr="009A71E2">
        <w:rPr>
          <w:lang w:val="en-GB"/>
        </w:rPr>
        <w:t xml:space="preserve">a relationship </w:t>
      </w:r>
      <w:r w:rsidR="00F8178B" w:rsidRPr="009A71E2">
        <w:rPr>
          <w:lang w:val="en-GB"/>
        </w:rPr>
        <w:t>with any</w:t>
      </w:r>
      <w:r w:rsidR="009C5A9B" w:rsidRPr="009A71E2">
        <w:rPr>
          <w:lang w:val="en-GB"/>
        </w:rPr>
        <w:t>one</w:t>
      </w:r>
      <w:r w:rsidR="00F8178B" w:rsidRPr="009A71E2">
        <w:rPr>
          <w:lang w:val="en-GB"/>
        </w:rPr>
        <w:t xml:space="preserve"> on the </w:t>
      </w:r>
      <w:r w:rsidR="00907B14" w:rsidRPr="009A71E2">
        <w:rPr>
          <w:lang w:val="en-GB"/>
        </w:rPr>
        <w:t>b</w:t>
      </w:r>
      <w:r w:rsidR="00F8178B" w:rsidRPr="009A71E2">
        <w:rPr>
          <w:lang w:val="en-GB"/>
        </w:rPr>
        <w:t xml:space="preserve">id </w:t>
      </w:r>
      <w:r w:rsidR="00907B14" w:rsidRPr="009A71E2">
        <w:rPr>
          <w:lang w:val="en-GB"/>
        </w:rPr>
        <w:t>e</w:t>
      </w:r>
      <w:r w:rsidR="00F8178B" w:rsidRPr="009A71E2">
        <w:rPr>
          <w:lang w:val="en-GB"/>
        </w:rPr>
        <w:t xml:space="preserve">valuation </w:t>
      </w:r>
      <w:r w:rsidR="00907B14" w:rsidRPr="009A71E2">
        <w:rPr>
          <w:lang w:val="en-GB"/>
        </w:rPr>
        <w:t>c</w:t>
      </w:r>
      <w:r w:rsidR="00F8178B" w:rsidRPr="009A71E2">
        <w:rPr>
          <w:lang w:val="en-GB"/>
        </w:rPr>
        <w:t>ommittee</w:t>
      </w:r>
      <w:r w:rsidR="00443176" w:rsidRPr="009A71E2">
        <w:rPr>
          <w:lang w:val="en-GB"/>
        </w:rPr>
        <w:t xml:space="preserve"> </w:t>
      </w:r>
      <w:r w:rsidR="00F8178B" w:rsidRPr="009A71E2">
        <w:rPr>
          <w:lang w:val="en-GB"/>
        </w:rPr>
        <w:t>or the Board</w:t>
      </w:r>
      <w:r w:rsidR="003A6D01" w:rsidRPr="009A71E2">
        <w:rPr>
          <w:lang w:val="en-GB"/>
        </w:rPr>
        <w:t xml:space="preserve"> itself</w:t>
      </w:r>
      <w:r w:rsidR="00F8178B" w:rsidRPr="009A71E2">
        <w:rPr>
          <w:lang w:val="en-GB"/>
        </w:rPr>
        <w:t xml:space="preserve">. </w:t>
      </w:r>
    </w:p>
    <w:p w14:paraId="11FA6372" w14:textId="77777777" w:rsidR="00AC327F" w:rsidRPr="00AC327F" w:rsidRDefault="00AC327F" w:rsidP="0068402A">
      <w:pPr>
        <w:pStyle w:val="ListParagraph"/>
        <w:spacing w:line="480" w:lineRule="auto"/>
        <w:rPr>
          <w:lang w:val="en-GB"/>
        </w:rPr>
      </w:pPr>
    </w:p>
    <w:p w14:paraId="07121BB1" w14:textId="7B607B89" w:rsidR="002A7F4D" w:rsidRPr="009A71E2" w:rsidRDefault="009A71E2" w:rsidP="009A71E2">
      <w:pPr>
        <w:spacing w:line="480" w:lineRule="auto"/>
        <w:rPr>
          <w:lang w:val="en-GB"/>
        </w:rPr>
      </w:pPr>
      <w:r>
        <w:rPr>
          <w:lang w:val="en-GB"/>
        </w:rPr>
        <w:t>[12]</w:t>
      </w:r>
      <w:r>
        <w:rPr>
          <w:lang w:val="en-GB"/>
        </w:rPr>
        <w:tab/>
      </w:r>
      <w:r w:rsidR="00F8178B" w:rsidRPr="009A71E2">
        <w:rPr>
          <w:lang w:val="en-GB"/>
        </w:rPr>
        <w:t xml:space="preserve">It </w:t>
      </w:r>
      <w:r w:rsidR="003A5EAE" w:rsidRPr="009A71E2">
        <w:rPr>
          <w:lang w:val="en-GB"/>
        </w:rPr>
        <w:t xml:space="preserve">was argued </w:t>
      </w:r>
      <w:r w:rsidR="00443176" w:rsidRPr="009A71E2">
        <w:rPr>
          <w:lang w:val="en-GB"/>
        </w:rPr>
        <w:t xml:space="preserve">that once Stream Two’s disqualification </w:t>
      </w:r>
      <w:r w:rsidR="00E34EE0" w:rsidRPr="009A71E2">
        <w:rPr>
          <w:lang w:val="en-GB"/>
        </w:rPr>
        <w:t xml:space="preserve">by the Board </w:t>
      </w:r>
      <w:r w:rsidR="00443176" w:rsidRPr="009A71E2">
        <w:rPr>
          <w:lang w:val="en-GB"/>
        </w:rPr>
        <w:t>is found to be unlawful</w:t>
      </w:r>
      <w:r w:rsidR="00E34EE0" w:rsidRPr="009A71E2">
        <w:rPr>
          <w:lang w:val="en-GB"/>
        </w:rPr>
        <w:t xml:space="preserve"> as contended for by Stream Two</w:t>
      </w:r>
      <w:r w:rsidR="00443176" w:rsidRPr="009A71E2">
        <w:rPr>
          <w:lang w:val="en-GB"/>
        </w:rPr>
        <w:t>, then its bid must be assessed and evaluated together</w:t>
      </w:r>
      <w:r w:rsidR="00E06B63" w:rsidRPr="009A71E2">
        <w:rPr>
          <w:lang w:val="en-GB"/>
        </w:rPr>
        <w:t xml:space="preserve"> with other bids through all </w:t>
      </w:r>
      <w:r w:rsidR="00443176" w:rsidRPr="009A71E2">
        <w:rPr>
          <w:lang w:val="en-GB"/>
        </w:rPr>
        <w:t xml:space="preserve">six stages of the evaluation process. </w:t>
      </w:r>
      <w:r w:rsidR="00443176" w:rsidRPr="009A71E2">
        <w:rPr>
          <w:lang w:val="en-GB"/>
        </w:rPr>
        <w:lastRenderedPageBreak/>
        <w:t xml:space="preserve">The Review Panel was thus urged to review, correct and set aside the Board’s decision to disqualify Stream Two upfront.   </w:t>
      </w:r>
      <w:r w:rsidR="00090EF6" w:rsidRPr="009A71E2">
        <w:rPr>
          <w:lang w:val="en-GB"/>
        </w:rPr>
        <w:t xml:space="preserve"> </w:t>
      </w:r>
    </w:p>
    <w:p w14:paraId="75ECEFFC" w14:textId="77777777" w:rsidR="005B41F3" w:rsidRDefault="005B41F3" w:rsidP="0068402A">
      <w:pPr>
        <w:spacing w:line="480" w:lineRule="auto"/>
        <w:rPr>
          <w:i/>
          <w:lang w:val="en-GB"/>
        </w:rPr>
      </w:pPr>
    </w:p>
    <w:p w14:paraId="62DCD5A6" w14:textId="1FA41CAE" w:rsidR="00BA0A46" w:rsidRPr="005B41F3" w:rsidRDefault="005B41F3" w:rsidP="0068402A">
      <w:pPr>
        <w:spacing w:line="480" w:lineRule="auto"/>
        <w:rPr>
          <w:i/>
          <w:lang w:val="en-GB"/>
        </w:rPr>
      </w:pPr>
      <w:r w:rsidRPr="005B41F3">
        <w:rPr>
          <w:i/>
          <w:lang w:val="en-GB"/>
        </w:rPr>
        <w:t>Review Panel ruling</w:t>
      </w:r>
    </w:p>
    <w:p w14:paraId="5AED7167" w14:textId="5A7CA08A" w:rsidR="00B45FFA" w:rsidRPr="009A71E2" w:rsidRDefault="009A71E2" w:rsidP="009A71E2">
      <w:pPr>
        <w:spacing w:line="480" w:lineRule="auto"/>
        <w:rPr>
          <w:lang w:val="en-GB"/>
        </w:rPr>
      </w:pPr>
      <w:r>
        <w:rPr>
          <w:lang w:val="en-GB"/>
        </w:rPr>
        <w:t>[13]</w:t>
      </w:r>
      <w:r>
        <w:rPr>
          <w:lang w:val="en-GB"/>
        </w:rPr>
        <w:tab/>
      </w:r>
      <w:r w:rsidR="00E34EE0" w:rsidRPr="009A71E2">
        <w:rPr>
          <w:lang w:val="en-GB"/>
        </w:rPr>
        <w:t xml:space="preserve">In its ruling, the Review Panel </w:t>
      </w:r>
      <w:r w:rsidR="00643149" w:rsidRPr="009A71E2">
        <w:rPr>
          <w:lang w:val="en-GB"/>
        </w:rPr>
        <w:t>observed</w:t>
      </w:r>
      <w:r w:rsidR="00DD3273" w:rsidRPr="009A71E2">
        <w:rPr>
          <w:lang w:val="en-GB"/>
        </w:rPr>
        <w:t xml:space="preserve"> that </w:t>
      </w:r>
      <w:r w:rsidR="000A44C3" w:rsidRPr="009A71E2">
        <w:rPr>
          <w:lang w:val="en-GB"/>
        </w:rPr>
        <w:t xml:space="preserve">the bid documents </w:t>
      </w:r>
      <w:r w:rsidR="00F168E4" w:rsidRPr="009A71E2">
        <w:rPr>
          <w:lang w:val="en-GB"/>
        </w:rPr>
        <w:t xml:space="preserve">made provision for the disqualification of </w:t>
      </w:r>
      <w:r w:rsidR="000A44C3" w:rsidRPr="009A71E2">
        <w:rPr>
          <w:lang w:val="en-GB"/>
        </w:rPr>
        <w:t xml:space="preserve">bidders who were </w:t>
      </w:r>
      <w:r w:rsidR="00F168E4" w:rsidRPr="009A71E2">
        <w:rPr>
          <w:lang w:val="en-GB"/>
        </w:rPr>
        <w:t xml:space="preserve">found to be </w:t>
      </w:r>
      <w:r w:rsidR="000A44C3" w:rsidRPr="009A71E2">
        <w:rPr>
          <w:lang w:val="en-GB"/>
        </w:rPr>
        <w:t>conflicted.</w:t>
      </w:r>
      <w:r w:rsidR="00F168E4" w:rsidRPr="009A71E2">
        <w:rPr>
          <w:lang w:val="en-GB"/>
        </w:rPr>
        <w:t xml:space="preserve"> It noted the Board’s finding of conflict of interest based on the surname, physical and postal addresses of the </w:t>
      </w:r>
      <w:r w:rsidR="00B45FFA" w:rsidRPr="009A71E2">
        <w:rPr>
          <w:lang w:val="en-GB"/>
        </w:rPr>
        <w:t xml:space="preserve">relevant </w:t>
      </w:r>
      <w:r w:rsidR="00F168E4" w:rsidRPr="009A71E2">
        <w:rPr>
          <w:lang w:val="en-GB"/>
        </w:rPr>
        <w:t xml:space="preserve">applicants but </w:t>
      </w:r>
      <w:r w:rsidR="00B45FFA" w:rsidRPr="009A71E2">
        <w:rPr>
          <w:lang w:val="en-GB"/>
        </w:rPr>
        <w:t xml:space="preserve">found </w:t>
      </w:r>
      <w:r w:rsidR="00F168E4" w:rsidRPr="009A71E2">
        <w:rPr>
          <w:lang w:val="en-GB"/>
        </w:rPr>
        <w:t>that these instances alone would not be sufficient to constitute a conflict of interest.</w:t>
      </w:r>
      <w:r w:rsidR="000A44C3" w:rsidRPr="009A71E2">
        <w:rPr>
          <w:lang w:val="en-GB"/>
        </w:rPr>
        <w:t xml:space="preserve"> It </w:t>
      </w:r>
      <w:r w:rsidR="00F168E4" w:rsidRPr="009A71E2">
        <w:rPr>
          <w:lang w:val="en-GB"/>
        </w:rPr>
        <w:t xml:space="preserve">postulated that ‘the strongest possible evidence to suggest a conflict of interest could be </w:t>
      </w:r>
      <w:r w:rsidR="00E34EE0" w:rsidRPr="009A71E2">
        <w:rPr>
          <w:lang w:val="en-GB"/>
        </w:rPr>
        <w:t xml:space="preserve">found </w:t>
      </w:r>
      <w:r w:rsidR="00282582" w:rsidRPr="009A71E2">
        <w:rPr>
          <w:lang w:val="en-GB"/>
        </w:rPr>
        <w:t>in the laboratory reports, the stamps used and the lease agreement</w:t>
      </w:r>
      <w:r w:rsidR="00E34EE0" w:rsidRPr="009A71E2">
        <w:rPr>
          <w:lang w:val="en-GB"/>
        </w:rPr>
        <w:t xml:space="preserve"> between</w:t>
      </w:r>
      <w:r w:rsidR="00282582" w:rsidRPr="009A71E2">
        <w:rPr>
          <w:lang w:val="en-GB"/>
        </w:rPr>
        <w:t xml:space="preserve"> Degree </w:t>
      </w:r>
      <w:r w:rsidR="007C5D20" w:rsidRPr="009A71E2">
        <w:rPr>
          <w:lang w:val="en-GB"/>
        </w:rPr>
        <w:t xml:space="preserve">Power </w:t>
      </w:r>
      <w:r w:rsidR="004F09A2" w:rsidRPr="009A71E2">
        <w:rPr>
          <w:lang w:val="en-GB"/>
        </w:rPr>
        <w:t>Investment CC and Degrande Investment</w:t>
      </w:r>
      <w:r w:rsidR="004108BB" w:rsidRPr="009A71E2">
        <w:rPr>
          <w:lang w:val="en-GB"/>
        </w:rPr>
        <w:t>s</w:t>
      </w:r>
      <w:r w:rsidR="00B86DF8" w:rsidRPr="009A71E2">
        <w:rPr>
          <w:lang w:val="en-GB"/>
        </w:rPr>
        <w:t xml:space="preserve"> CC</w:t>
      </w:r>
      <w:r w:rsidR="004F09A2" w:rsidRPr="009A71E2">
        <w:rPr>
          <w:lang w:val="en-GB"/>
        </w:rPr>
        <w:t>’</w:t>
      </w:r>
      <w:r w:rsidR="00B86DF8" w:rsidRPr="009A71E2">
        <w:rPr>
          <w:lang w:val="en-GB"/>
        </w:rPr>
        <w:t>.</w:t>
      </w:r>
      <w:r w:rsidR="00E34EE0" w:rsidRPr="009A71E2">
        <w:rPr>
          <w:lang w:val="en-GB"/>
        </w:rPr>
        <w:t xml:space="preserve"> </w:t>
      </w:r>
    </w:p>
    <w:p w14:paraId="62246158" w14:textId="77777777" w:rsidR="00B45FFA" w:rsidRPr="00B45FFA" w:rsidRDefault="00B45FFA" w:rsidP="0068402A">
      <w:pPr>
        <w:pStyle w:val="ListParagraph"/>
        <w:spacing w:line="480" w:lineRule="auto"/>
        <w:rPr>
          <w:lang w:val="en-GB"/>
        </w:rPr>
      </w:pPr>
    </w:p>
    <w:p w14:paraId="15B8B5D6" w14:textId="52EB1210" w:rsidR="00EB704F" w:rsidRPr="009A71E2" w:rsidRDefault="009A71E2" w:rsidP="009A71E2">
      <w:pPr>
        <w:spacing w:line="480" w:lineRule="auto"/>
        <w:rPr>
          <w:lang w:val="en-GB"/>
        </w:rPr>
      </w:pPr>
      <w:r>
        <w:rPr>
          <w:lang w:val="en-GB"/>
        </w:rPr>
        <w:t>[14]</w:t>
      </w:r>
      <w:r>
        <w:rPr>
          <w:lang w:val="en-GB"/>
        </w:rPr>
        <w:tab/>
      </w:r>
      <w:r w:rsidR="000A44C3" w:rsidRPr="009A71E2">
        <w:rPr>
          <w:lang w:val="en-GB"/>
        </w:rPr>
        <w:t xml:space="preserve">It urged the Board ‘to examine all documents in </w:t>
      </w:r>
      <w:r w:rsidR="00E87587" w:rsidRPr="009A71E2">
        <w:rPr>
          <w:lang w:val="en-GB"/>
        </w:rPr>
        <w:t xml:space="preserve">[their] </w:t>
      </w:r>
      <w:r w:rsidR="000A44C3" w:rsidRPr="009A71E2">
        <w:rPr>
          <w:lang w:val="en-GB"/>
        </w:rPr>
        <w:t>totality to determine whether there was a conflict of interest or not</w:t>
      </w:r>
      <w:r w:rsidR="00F168E4" w:rsidRPr="009A71E2">
        <w:rPr>
          <w:lang w:val="en-GB"/>
        </w:rPr>
        <w:t>’</w:t>
      </w:r>
      <w:r w:rsidR="00B86DF8" w:rsidRPr="009A71E2">
        <w:rPr>
          <w:lang w:val="en-GB"/>
        </w:rPr>
        <w:t>.</w:t>
      </w:r>
      <w:r w:rsidR="00F168E4" w:rsidRPr="009A71E2">
        <w:rPr>
          <w:lang w:val="en-GB"/>
        </w:rPr>
        <w:t xml:space="preserve"> </w:t>
      </w:r>
      <w:r w:rsidR="00E87587" w:rsidRPr="009A71E2">
        <w:rPr>
          <w:lang w:val="en-GB"/>
        </w:rPr>
        <w:t xml:space="preserve">In the interest of fairness and transparency, </w:t>
      </w:r>
      <w:r w:rsidR="004108BB" w:rsidRPr="009A71E2">
        <w:rPr>
          <w:lang w:val="en-GB"/>
        </w:rPr>
        <w:t>so the Review Panel reasoned, it</w:t>
      </w:r>
      <w:r w:rsidR="004F09A2" w:rsidRPr="009A71E2">
        <w:rPr>
          <w:lang w:val="en-GB"/>
        </w:rPr>
        <w:t xml:space="preserve"> </w:t>
      </w:r>
      <w:r w:rsidR="00E87587" w:rsidRPr="009A71E2">
        <w:rPr>
          <w:lang w:val="en-GB"/>
        </w:rPr>
        <w:t xml:space="preserve">set aside the Board’s decision and directed </w:t>
      </w:r>
      <w:r w:rsidR="004F09A2" w:rsidRPr="009A71E2">
        <w:rPr>
          <w:lang w:val="en-GB"/>
        </w:rPr>
        <w:t>the Board t</w:t>
      </w:r>
      <w:r w:rsidR="00E87587" w:rsidRPr="009A71E2">
        <w:rPr>
          <w:lang w:val="en-GB"/>
        </w:rPr>
        <w:t xml:space="preserve">o consider all the documents provided by the applicants to determine if there was </w:t>
      </w:r>
      <w:r w:rsidR="004F09A2" w:rsidRPr="009A71E2">
        <w:rPr>
          <w:lang w:val="en-GB"/>
        </w:rPr>
        <w:t xml:space="preserve">a conflict of interest </w:t>
      </w:r>
      <w:r w:rsidR="00E87587" w:rsidRPr="009A71E2">
        <w:rPr>
          <w:lang w:val="en-GB"/>
        </w:rPr>
        <w:t xml:space="preserve">or not. It directed further that </w:t>
      </w:r>
      <w:r w:rsidR="004108BB" w:rsidRPr="009A71E2">
        <w:rPr>
          <w:lang w:val="en-GB"/>
        </w:rPr>
        <w:t>–</w:t>
      </w:r>
      <w:r w:rsidR="003E3CF9" w:rsidRPr="009A71E2">
        <w:rPr>
          <w:lang w:val="en-GB"/>
        </w:rPr>
        <w:t xml:space="preserve"> </w:t>
      </w:r>
      <w:r w:rsidR="004108BB" w:rsidRPr="009A71E2">
        <w:rPr>
          <w:lang w:val="en-GB"/>
        </w:rPr>
        <w:t>it would appear</w:t>
      </w:r>
      <w:r w:rsidR="00E06B63" w:rsidRPr="009A71E2">
        <w:rPr>
          <w:lang w:val="en-GB"/>
        </w:rPr>
        <w:t>,</w:t>
      </w:r>
      <w:r w:rsidR="004108BB" w:rsidRPr="009A71E2">
        <w:rPr>
          <w:lang w:val="en-GB"/>
        </w:rPr>
        <w:t xml:space="preserve"> merely </w:t>
      </w:r>
      <w:r w:rsidR="00F22751" w:rsidRPr="009A71E2">
        <w:rPr>
          <w:lang w:val="en-GB"/>
        </w:rPr>
        <w:t>stating</w:t>
      </w:r>
      <w:r w:rsidR="004108BB" w:rsidRPr="009A71E2">
        <w:rPr>
          <w:lang w:val="en-GB"/>
        </w:rPr>
        <w:t xml:space="preserve"> a conclusion of law </w:t>
      </w:r>
      <w:r w:rsidR="00F22751" w:rsidRPr="009A71E2">
        <w:rPr>
          <w:lang w:val="en-GB"/>
        </w:rPr>
        <w:t xml:space="preserve">or logic </w:t>
      </w:r>
      <w:r w:rsidR="004108BB" w:rsidRPr="009A71E2">
        <w:rPr>
          <w:lang w:val="en-GB"/>
        </w:rPr>
        <w:t xml:space="preserve">– that </w:t>
      </w:r>
      <w:r w:rsidR="00E87587" w:rsidRPr="009A71E2">
        <w:rPr>
          <w:lang w:val="en-GB"/>
        </w:rPr>
        <w:t xml:space="preserve">if </w:t>
      </w:r>
      <w:r w:rsidR="004108BB" w:rsidRPr="009A71E2">
        <w:rPr>
          <w:lang w:val="en-GB"/>
        </w:rPr>
        <w:t xml:space="preserve">a </w:t>
      </w:r>
      <w:r w:rsidR="00E87587" w:rsidRPr="009A71E2">
        <w:rPr>
          <w:lang w:val="en-GB"/>
        </w:rPr>
        <w:t xml:space="preserve">conflict of interest </w:t>
      </w:r>
      <w:r w:rsidR="00BA0A46" w:rsidRPr="009A71E2">
        <w:rPr>
          <w:lang w:val="en-GB"/>
        </w:rPr>
        <w:t xml:space="preserve">was found to </w:t>
      </w:r>
      <w:r w:rsidR="004F09A2" w:rsidRPr="009A71E2">
        <w:rPr>
          <w:lang w:val="en-GB"/>
        </w:rPr>
        <w:t>exist, the Board may disqualify Stream Tw</w:t>
      </w:r>
      <w:r w:rsidR="00621F0B" w:rsidRPr="009A71E2">
        <w:rPr>
          <w:lang w:val="en-GB"/>
        </w:rPr>
        <w:t>o</w:t>
      </w:r>
      <w:r w:rsidR="004F09A2" w:rsidRPr="009A71E2">
        <w:rPr>
          <w:lang w:val="en-GB"/>
        </w:rPr>
        <w:t xml:space="preserve"> and provide reasons for doing so.</w:t>
      </w:r>
    </w:p>
    <w:p w14:paraId="4D860E94" w14:textId="5FC37108" w:rsidR="00B002CB" w:rsidRDefault="00B002CB" w:rsidP="0068402A">
      <w:pPr>
        <w:rPr>
          <w:lang w:val="en-GB"/>
        </w:rPr>
      </w:pPr>
      <w:r>
        <w:rPr>
          <w:lang w:val="en-GB"/>
        </w:rPr>
        <w:br w:type="page"/>
      </w:r>
    </w:p>
    <w:p w14:paraId="6A2486BD" w14:textId="0BDA373E" w:rsidR="00EB704F" w:rsidRPr="00646BBF" w:rsidRDefault="00646BBF" w:rsidP="0068402A">
      <w:pPr>
        <w:spacing w:line="480" w:lineRule="auto"/>
        <w:rPr>
          <w:lang w:val="en-GB"/>
        </w:rPr>
      </w:pPr>
      <w:r w:rsidRPr="00646BBF">
        <w:rPr>
          <w:u w:val="single"/>
          <w:lang w:val="en-GB"/>
        </w:rPr>
        <w:lastRenderedPageBreak/>
        <w:t>Review before the High Cour</w:t>
      </w:r>
      <w:r w:rsidRPr="00646BBF">
        <w:rPr>
          <w:lang w:val="en-GB"/>
        </w:rPr>
        <w:t>t</w:t>
      </w:r>
    </w:p>
    <w:p w14:paraId="2EACC65E" w14:textId="3E1145A9" w:rsidR="00117253" w:rsidRPr="009A71E2" w:rsidRDefault="009A71E2" w:rsidP="009A71E2">
      <w:pPr>
        <w:spacing w:line="480" w:lineRule="auto"/>
        <w:rPr>
          <w:lang w:val="en-GB"/>
        </w:rPr>
      </w:pPr>
      <w:r>
        <w:rPr>
          <w:lang w:val="en-GB"/>
        </w:rPr>
        <w:t>[15]</w:t>
      </w:r>
      <w:r>
        <w:rPr>
          <w:lang w:val="en-GB"/>
        </w:rPr>
        <w:tab/>
      </w:r>
      <w:r w:rsidR="00EB704F" w:rsidRPr="009A71E2">
        <w:rPr>
          <w:lang w:val="en-GB"/>
        </w:rPr>
        <w:t xml:space="preserve">The </w:t>
      </w:r>
      <w:r w:rsidR="00512B75" w:rsidRPr="009A71E2">
        <w:rPr>
          <w:lang w:val="en-GB"/>
        </w:rPr>
        <w:t xml:space="preserve">decisions of the </w:t>
      </w:r>
      <w:r w:rsidR="00A77C41" w:rsidRPr="009A71E2">
        <w:rPr>
          <w:lang w:val="en-GB"/>
        </w:rPr>
        <w:t>Review Panel</w:t>
      </w:r>
      <w:r w:rsidR="00512B75" w:rsidRPr="009A71E2">
        <w:rPr>
          <w:lang w:val="en-GB"/>
        </w:rPr>
        <w:t xml:space="preserve"> and the Board were</w:t>
      </w:r>
      <w:r w:rsidR="00A77C41" w:rsidRPr="009A71E2">
        <w:rPr>
          <w:lang w:val="en-GB"/>
        </w:rPr>
        <w:t xml:space="preserve"> taken on judicial review before the High Court. In thi</w:t>
      </w:r>
      <w:r w:rsidR="00646BBF" w:rsidRPr="009A71E2">
        <w:rPr>
          <w:lang w:val="en-GB"/>
        </w:rPr>
        <w:t>s review application</w:t>
      </w:r>
      <w:r w:rsidR="00A77C41" w:rsidRPr="009A71E2">
        <w:rPr>
          <w:lang w:val="en-GB"/>
        </w:rPr>
        <w:t xml:space="preserve">, the respondent expressly stated that the Review Panel’s decisions setting aside the Board’s decision embodied in the notice of selection and remitting the matter to the Board for reconsideration were not impugned. The respondent’s grievance </w:t>
      </w:r>
      <w:r w:rsidR="00E004B7" w:rsidRPr="009A71E2">
        <w:rPr>
          <w:lang w:val="en-GB"/>
        </w:rPr>
        <w:t>was</w:t>
      </w:r>
      <w:r w:rsidR="00A77C41" w:rsidRPr="009A71E2">
        <w:rPr>
          <w:lang w:val="en-GB"/>
        </w:rPr>
        <w:t xml:space="preserve"> against </w:t>
      </w:r>
      <w:r w:rsidR="003A6E42" w:rsidRPr="009A71E2">
        <w:rPr>
          <w:lang w:val="en-GB"/>
        </w:rPr>
        <w:t>‘a number of findings in the reasoning’ of the Review Panel and the order it made directing the Board to ‘determine holistically if there is a conflict of interest’ between the respondent and the other two corporations</w:t>
      </w:r>
      <w:r w:rsidR="005B37FA" w:rsidRPr="009A71E2">
        <w:rPr>
          <w:lang w:val="en-GB"/>
        </w:rPr>
        <w:t>,</w:t>
      </w:r>
      <w:r w:rsidR="003A6E42" w:rsidRPr="009A71E2">
        <w:rPr>
          <w:lang w:val="en-GB"/>
        </w:rPr>
        <w:t xml:space="preserve"> the members of which share a surname. </w:t>
      </w:r>
      <w:r w:rsidR="00857AAD" w:rsidRPr="009A71E2">
        <w:rPr>
          <w:lang w:val="en-GB"/>
        </w:rPr>
        <w:t xml:space="preserve">It is axiomatic that an appeal lies against a </w:t>
      </w:r>
      <w:r w:rsidR="00735440" w:rsidRPr="009A71E2">
        <w:rPr>
          <w:lang w:val="en-GB"/>
        </w:rPr>
        <w:t xml:space="preserve">judgment, </w:t>
      </w:r>
      <w:r w:rsidR="00857AAD" w:rsidRPr="009A71E2">
        <w:rPr>
          <w:lang w:val="en-GB"/>
        </w:rPr>
        <w:t xml:space="preserve">ruling </w:t>
      </w:r>
      <w:r w:rsidR="00735440" w:rsidRPr="009A71E2">
        <w:rPr>
          <w:lang w:val="en-GB"/>
        </w:rPr>
        <w:t>and/</w:t>
      </w:r>
      <w:r w:rsidR="00857AAD" w:rsidRPr="009A71E2">
        <w:rPr>
          <w:lang w:val="en-GB"/>
        </w:rPr>
        <w:t xml:space="preserve">or order of a court or tribunal and not against the reasons therefor.  </w:t>
      </w:r>
    </w:p>
    <w:p w14:paraId="5F179DEE" w14:textId="77777777" w:rsidR="00117253" w:rsidRDefault="00117253" w:rsidP="0068402A">
      <w:pPr>
        <w:pStyle w:val="ListParagraph"/>
        <w:spacing w:line="480" w:lineRule="auto"/>
        <w:ind w:left="0"/>
        <w:rPr>
          <w:lang w:val="en-GB"/>
        </w:rPr>
      </w:pPr>
    </w:p>
    <w:p w14:paraId="54B37B45" w14:textId="15B0A418" w:rsidR="00117253" w:rsidRPr="009A71E2" w:rsidRDefault="009A71E2" w:rsidP="009A71E2">
      <w:pPr>
        <w:spacing w:line="480" w:lineRule="auto"/>
        <w:rPr>
          <w:lang w:val="en-GB"/>
        </w:rPr>
      </w:pPr>
      <w:r>
        <w:rPr>
          <w:lang w:val="en-GB"/>
        </w:rPr>
        <w:t>[16]</w:t>
      </w:r>
      <w:r>
        <w:rPr>
          <w:lang w:val="en-GB"/>
        </w:rPr>
        <w:tab/>
      </w:r>
      <w:r w:rsidR="00857AAD" w:rsidRPr="009A71E2">
        <w:rPr>
          <w:lang w:val="en-GB"/>
        </w:rPr>
        <w:t>All the same, t</w:t>
      </w:r>
      <w:r w:rsidR="00512B75" w:rsidRPr="009A71E2">
        <w:rPr>
          <w:lang w:val="en-GB"/>
        </w:rPr>
        <w:t xml:space="preserve">he decision was impugned on </w:t>
      </w:r>
      <w:r w:rsidR="00E17B0B" w:rsidRPr="009A71E2">
        <w:rPr>
          <w:lang w:val="en-GB"/>
        </w:rPr>
        <w:t xml:space="preserve">multiple </w:t>
      </w:r>
      <w:r w:rsidR="00CD7688" w:rsidRPr="009A71E2">
        <w:rPr>
          <w:lang w:val="en-GB"/>
        </w:rPr>
        <w:t xml:space="preserve">and wide-ranging </w:t>
      </w:r>
      <w:r w:rsidR="00E17B0B" w:rsidRPr="009A71E2">
        <w:rPr>
          <w:lang w:val="en-GB"/>
        </w:rPr>
        <w:t>grounds</w:t>
      </w:r>
      <w:r w:rsidR="00512B75" w:rsidRPr="009A71E2">
        <w:rPr>
          <w:lang w:val="en-GB"/>
        </w:rPr>
        <w:t>, including unfairness and unreasonablen</w:t>
      </w:r>
      <w:r w:rsidR="00FE6D53" w:rsidRPr="009A71E2">
        <w:rPr>
          <w:lang w:val="en-GB"/>
        </w:rPr>
        <w:t>es</w:t>
      </w:r>
      <w:r w:rsidR="00512B75" w:rsidRPr="009A71E2">
        <w:rPr>
          <w:lang w:val="en-GB"/>
        </w:rPr>
        <w:t xml:space="preserve">s; </w:t>
      </w:r>
      <w:r w:rsidR="00FE6D53" w:rsidRPr="009A71E2">
        <w:rPr>
          <w:lang w:val="en-GB"/>
        </w:rPr>
        <w:t>impermissibl</w:t>
      </w:r>
      <w:r w:rsidR="00CD7688" w:rsidRPr="009A71E2">
        <w:rPr>
          <w:lang w:val="en-GB"/>
        </w:rPr>
        <w:t>y</w:t>
      </w:r>
      <w:r w:rsidR="00FE6D53" w:rsidRPr="009A71E2">
        <w:rPr>
          <w:lang w:val="en-GB"/>
        </w:rPr>
        <w:t xml:space="preserve"> broadening </w:t>
      </w:r>
      <w:r w:rsidR="00117253" w:rsidRPr="009A71E2">
        <w:rPr>
          <w:lang w:val="en-GB"/>
        </w:rPr>
        <w:t xml:space="preserve">of </w:t>
      </w:r>
      <w:r w:rsidR="006717D8" w:rsidRPr="009A71E2">
        <w:rPr>
          <w:lang w:val="en-GB"/>
        </w:rPr>
        <w:t>the Review Panel’s</w:t>
      </w:r>
      <w:r w:rsidR="00FE6D53" w:rsidRPr="009A71E2">
        <w:rPr>
          <w:lang w:val="en-GB"/>
        </w:rPr>
        <w:t xml:space="preserve"> powers and functions inconsistent with the scheme of the PPA; failing to consider the complaint that the Board was not entitled to rely on grounds it </w:t>
      </w:r>
      <w:r w:rsidR="00646BBF" w:rsidRPr="009A71E2">
        <w:rPr>
          <w:lang w:val="en-GB"/>
        </w:rPr>
        <w:t xml:space="preserve">initially </w:t>
      </w:r>
      <w:r w:rsidR="00CD7688" w:rsidRPr="009A71E2">
        <w:rPr>
          <w:lang w:val="en-GB"/>
        </w:rPr>
        <w:t xml:space="preserve">did not </w:t>
      </w:r>
      <w:r w:rsidR="00FE6D53" w:rsidRPr="009A71E2">
        <w:rPr>
          <w:lang w:val="en-GB"/>
        </w:rPr>
        <w:t>rely on in disqualifying the respondent; rel</w:t>
      </w:r>
      <w:r w:rsidR="00646BBF" w:rsidRPr="009A71E2">
        <w:rPr>
          <w:lang w:val="en-GB"/>
        </w:rPr>
        <w:t>y</w:t>
      </w:r>
      <w:r w:rsidR="00FE6D53" w:rsidRPr="009A71E2">
        <w:rPr>
          <w:lang w:val="en-GB"/>
        </w:rPr>
        <w:t>in</w:t>
      </w:r>
      <w:r w:rsidR="00646BBF" w:rsidRPr="009A71E2">
        <w:rPr>
          <w:lang w:val="en-GB"/>
        </w:rPr>
        <w:t>g</w:t>
      </w:r>
      <w:r w:rsidR="006717D8" w:rsidRPr="009A71E2">
        <w:rPr>
          <w:lang w:val="en-GB"/>
        </w:rPr>
        <w:t xml:space="preserve"> on matters not raised</w:t>
      </w:r>
      <w:r w:rsidR="00FE6D53" w:rsidRPr="009A71E2">
        <w:rPr>
          <w:lang w:val="en-GB"/>
        </w:rPr>
        <w:t xml:space="preserve"> in the pleadings; unfairly prescribing to the Board how to determine the matter upon </w:t>
      </w:r>
      <w:r w:rsidR="00646BBF" w:rsidRPr="009A71E2">
        <w:rPr>
          <w:lang w:val="en-GB"/>
        </w:rPr>
        <w:t xml:space="preserve">its </w:t>
      </w:r>
      <w:r w:rsidR="00FE6D53" w:rsidRPr="009A71E2">
        <w:rPr>
          <w:lang w:val="en-GB"/>
        </w:rPr>
        <w:t xml:space="preserve">remittal </w:t>
      </w:r>
      <w:r w:rsidR="0021152F" w:rsidRPr="009A71E2">
        <w:rPr>
          <w:lang w:val="en-GB"/>
        </w:rPr>
        <w:t xml:space="preserve">to </w:t>
      </w:r>
      <w:r w:rsidR="00FE6D53" w:rsidRPr="009A71E2">
        <w:rPr>
          <w:lang w:val="en-GB"/>
        </w:rPr>
        <w:t xml:space="preserve">it; failing to order the Board to evaluate the respondent’s bid along responsive bids; offending the </w:t>
      </w:r>
      <w:r w:rsidR="00FE6D53" w:rsidRPr="009A71E2">
        <w:rPr>
          <w:i/>
          <w:lang w:val="en-GB"/>
        </w:rPr>
        <w:t>functus officio</w:t>
      </w:r>
      <w:r w:rsidR="00FE6D53" w:rsidRPr="009A71E2">
        <w:rPr>
          <w:lang w:val="en-GB"/>
        </w:rPr>
        <w:t xml:space="preserve"> principle by ‘instigating’ the Board to reassess </w:t>
      </w:r>
      <w:r w:rsidR="00646BBF" w:rsidRPr="009A71E2">
        <w:rPr>
          <w:lang w:val="en-GB"/>
        </w:rPr>
        <w:t xml:space="preserve">allegations of </w:t>
      </w:r>
      <w:r w:rsidR="00FE6D53" w:rsidRPr="009A71E2">
        <w:rPr>
          <w:lang w:val="en-GB"/>
        </w:rPr>
        <w:t>conflict of inter</w:t>
      </w:r>
      <w:r w:rsidR="00646BBF" w:rsidRPr="009A71E2">
        <w:rPr>
          <w:lang w:val="en-GB"/>
        </w:rPr>
        <w:t>e</w:t>
      </w:r>
      <w:r w:rsidR="00FE6D53" w:rsidRPr="009A71E2">
        <w:rPr>
          <w:lang w:val="en-GB"/>
        </w:rPr>
        <w:t>st</w:t>
      </w:r>
      <w:r w:rsidR="00CD7688" w:rsidRPr="009A71E2">
        <w:rPr>
          <w:lang w:val="en-GB"/>
        </w:rPr>
        <w:t>, etc</w:t>
      </w:r>
      <w:r w:rsidR="00FE6D53" w:rsidRPr="009A71E2">
        <w:rPr>
          <w:lang w:val="en-GB"/>
        </w:rPr>
        <w:t xml:space="preserve">. </w:t>
      </w:r>
    </w:p>
    <w:p w14:paraId="048CF81C" w14:textId="77777777" w:rsidR="00117253" w:rsidRPr="00117253" w:rsidRDefault="00117253" w:rsidP="0068402A">
      <w:pPr>
        <w:pStyle w:val="ListParagraph"/>
        <w:spacing w:line="480" w:lineRule="auto"/>
        <w:rPr>
          <w:lang w:val="en-GB"/>
        </w:rPr>
      </w:pPr>
    </w:p>
    <w:p w14:paraId="035E519A" w14:textId="50E715FD" w:rsidR="00117253" w:rsidRPr="009A71E2" w:rsidRDefault="009A71E2" w:rsidP="009A71E2">
      <w:pPr>
        <w:spacing w:line="480" w:lineRule="auto"/>
        <w:rPr>
          <w:lang w:val="en-GB"/>
        </w:rPr>
      </w:pPr>
      <w:r>
        <w:rPr>
          <w:lang w:val="en-GB"/>
        </w:rPr>
        <w:t>[17]</w:t>
      </w:r>
      <w:r>
        <w:rPr>
          <w:lang w:val="en-GB"/>
        </w:rPr>
        <w:tab/>
      </w:r>
      <w:r w:rsidR="003A6E42" w:rsidRPr="009A71E2">
        <w:rPr>
          <w:lang w:val="en-GB"/>
        </w:rPr>
        <w:t xml:space="preserve">The respondent also complained about the position taken by members of the Review Panel during the hearing of the matter, that they were at liberty to consider materials and information not attached to the parties’ review pleadings and </w:t>
      </w:r>
      <w:r w:rsidR="003A6E42" w:rsidRPr="009A71E2">
        <w:rPr>
          <w:lang w:val="en-GB"/>
        </w:rPr>
        <w:lastRenderedPageBreak/>
        <w:t xml:space="preserve">affidavits, and that they were free to consider any other matter, whether raised by the parties or not. </w:t>
      </w:r>
      <w:r w:rsidR="0021152F" w:rsidRPr="009A71E2">
        <w:rPr>
          <w:lang w:val="en-GB"/>
        </w:rPr>
        <w:t>This complaint does not appear to have been persisted with on appeal.</w:t>
      </w:r>
    </w:p>
    <w:p w14:paraId="546D4607" w14:textId="77777777" w:rsidR="00117253" w:rsidRPr="00117253" w:rsidRDefault="00117253" w:rsidP="0068402A">
      <w:pPr>
        <w:pStyle w:val="ListParagraph"/>
        <w:spacing w:line="480" w:lineRule="auto"/>
        <w:rPr>
          <w:lang w:val="en-GB"/>
        </w:rPr>
      </w:pPr>
    </w:p>
    <w:p w14:paraId="04DDF106" w14:textId="43A7A42F" w:rsidR="004108BB" w:rsidRPr="009A71E2" w:rsidRDefault="009A71E2" w:rsidP="009A71E2">
      <w:pPr>
        <w:spacing w:line="480" w:lineRule="auto"/>
        <w:rPr>
          <w:lang w:val="en-GB"/>
        </w:rPr>
      </w:pPr>
      <w:r>
        <w:rPr>
          <w:lang w:val="en-GB"/>
        </w:rPr>
        <w:t>[18]</w:t>
      </w:r>
      <w:r>
        <w:rPr>
          <w:lang w:val="en-GB"/>
        </w:rPr>
        <w:tab/>
      </w:r>
      <w:r w:rsidR="00117253" w:rsidRPr="009A71E2">
        <w:rPr>
          <w:lang w:val="en-GB"/>
        </w:rPr>
        <w:t>As regards the decision of the Board, despite this having been set aside by the Review Panel, it was sought to be reviewed on the grounds that</w:t>
      </w:r>
      <w:r w:rsidR="00CD7688" w:rsidRPr="009A71E2">
        <w:rPr>
          <w:lang w:val="en-GB"/>
        </w:rPr>
        <w:t>:</w:t>
      </w:r>
      <w:r w:rsidR="00117253" w:rsidRPr="009A71E2">
        <w:rPr>
          <w:lang w:val="en-GB"/>
        </w:rPr>
        <w:t xml:space="preserve"> it was unlawful, unreasonable and irrational; it failed to distinguish between the respondent as a legal persona and its member; </w:t>
      </w:r>
      <w:r w:rsidR="00CD7688" w:rsidRPr="009A71E2">
        <w:rPr>
          <w:lang w:val="en-GB"/>
        </w:rPr>
        <w:t xml:space="preserve">it found </w:t>
      </w:r>
      <w:r w:rsidR="00117253" w:rsidRPr="009A71E2">
        <w:rPr>
          <w:lang w:val="en-GB"/>
        </w:rPr>
        <w:t xml:space="preserve">new reasons to </w:t>
      </w:r>
      <w:r w:rsidR="00117253" w:rsidRPr="009A71E2">
        <w:rPr>
          <w:i/>
          <w:lang w:val="en-GB"/>
        </w:rPr>
        <w:t>ex post facto</w:t>
      </w:r>
      <w:r w:rsidR="00117253" w:rsidRPr="009A71E2">
        <w:rPr>
          <w:lang w:val="en-GB"/>
        </w:rPr>
        <w:t xml:space="preserve"> justify its decision</w:t>
      </w:r>
      <w:r w:rsidR="00CD7688" w:rsidRPr="009A71E2">
        <w:rPr>
          <w:lang w:val="en-GB"/>
        </w:rPr>
        <w:t xml:space="preserve">; and </w:t>
      </w:r>
      <w:r w:rsidR="0021152F" w:rsidRPr="009A71E2">
        <w:rPr>
          <w:lang w:val="en-GB"/>
        </w:rPr>
        <w:t>it</w:t>
      </w:r>
      <w:r w:rsidR="00CD7688" w:rsidRPr="009A71E2">
        <w:rPr>
          <w:lang w:val="en-GB"/>
        </w:rPr>
        <w:t xml:space="preserve"> was so unreasonable that no reasonable decision maker would have made it</w:t>
      </w:r>
      <w:r w:rsidR="00117253" w:rsidRPr="009A71E2">
        <w:rPr>
          <w:lang w:val="en-GB"/>
        </w:rPr>
        <w:t>.</w:t>
      </w:r>
      <w:r w:rsidR="003A6E42" w:rsidRPr="009A71E2">
        <w:rPr>
          <w:lang w:val="en-GB"/>
        </w:rPr>
        <w:t xml:space="preserve">  </w:t>
      </w:r>
      <w:r w:rsidR="00A77C41" w:rsidRPr="009A71E2">
        <w:rPr>
          <w:lang w:val="en-GB"/>
        </w:rPr>
        <w:t xml:space="preserve">   </w:t>
      </w:r>
      <w:r w:rsidR="004F09A2" w:rsidRPr="009A71E2">
        <w:rPr>
          <w:lang w:val="en-GB"/>
        </w:rPr>
        <w:t xml:space="preserve"> </w:t>
      </w:r>
    </w:p>
    <w:p w14:paraId="53486302" w14:textId="77777777" w:rsidR="005B41F3" w:rsidRDefault="005B41F3" w:rsidP="0068402A">
      <w:pPr>
        <w:spacing w:line="480" w:lineRule="auto"/>
        <w:rPr>
          <w:u w:val="single"/>
          <w:lang w:val="en-GB"/>
        </w:rPr>
      </w:pPr>
    </w:p>
    <w:p w14:paraId="35C90DBF" w14:textId="13057439" w:rsidR="00BA0A46" w:rsidRPr="005B41F3" w:rsidRDefault="005B41F3" w:rsidP="0068402A">
      <w:pPr>
        <w:spacing w:line="480" w:lineRule="auto"/>
        <w:rPr>
          <w:u w:val="single"/>
          <w:lang w:val="en-GB"/>
        </w:rPr>
      </w:pPr>
      <w:r w:rsidRPr="005B41F3">
        <w:rPr>
          <w:u w:val="single"/>
          <w:lang w:val="en-GB"/>
        </w:rPr>
        <w:t>High Court’s appro</w:t>
      </w:r>
      <w:r>
        <w:rPr>
          <w:u w:val="single"/>
          <w:lang w:val="en-GB"/>
        </w:rPr>
        <w:t>a</w:t>
      </w:r>
      <w:r w:rsidRPr="005B41F3">
        <w:rPr>
          <w:u w:val="single"/>
          <w:lang w:val="en-GB"/>
        </w:rPr>
        <w:t>ch</w:t>
      </w:r>
      <w:r w:rsidR="00A8121C" w:rsidRPr="005B41F3">
        <w:rPr>
          <w:u w:val="single"/>
          <w:lang w:val="en-GB"/>
        </w:rPr>
        <w:t xml:space="preserve"> </w:t>
      </w:r>
      <w:r w:rsidR="004F09A2" w:rsidRPr="005B41F3">
        <w:rPr>
          <w:u w:val="single"/>
          <w:lang w:val="en-GB"/>
        </w:rPr>
        <w:t xml:space="preserve"> </w:t>
      </w:r>
    </w:p>
    <w:p w14:paraId="749A7718" w14:textId="7296589A" w:rsidR="004108BB" w:rsidRPr="009A71E2" w:rsidRDefault="009A71E2" w:rsidP="009A71E2">
      <w:pPr>
        <w:spacing w:line="480" w:lineRule="auto"/>
        <w:rPr>
          <w:lang w:val="en-GB"/>
        </w:rPr>
      </w:pPr>
      <w:r>
        <w:rPr>
          <w:lang w:val="en-GB"/>
        </w:rPr>
        <w:t>[19]</w:t>
      </w:r>
      <w:r>
        <w:rPr>
          <w:lang w:val="en-GB"/>
        </w:rPr>
        <w:tab/>
      </w:r>
      <w:r w:rsidR="00703E49" w:rsidRPr="009A71E2">
        <w:rPr>
          <w:lang w:val="en-GB"/>
        </w:rPr>
        <w:t xml:space="preserve">Obviously </w:t>
      </w:r>
      <w:r w:rsidR="00A8121C" w:rsidRPr="009A71E2">
        <w:rPr>
          <w:lang w:val="en-GB"/>
        </w:rPr>
        <w:t>aggrieved by the Review Panel</w:t>
      </w:r>
      <w:r w:rsidR="00907B14" w:rsidRPr="009A71E2">
        <w:rPr>
          <w:lang w:val="en-GB"/>
        </w:rPr>
        <w:t>’s decision</w:t>
      </w:r>
      <w:r w:rsidR="00A8121C" w:rsidRPr="009A71E2">
        <w:rPr>
          <w:lang w:val="en-GB"/>
        </w:rPr>
        <w:t xml:space="preserve"> </w:t>
      </w:r>
      <w:r w:rsidR="00621F0B" w:rsidRPr="009A71E2">
        <w:rPr>
          <w:lang w:val="en-GB"/>
        </w:rPr>
        <w:t>to disqualify it from further participation in the tender process</w:t>
      </w:r>
      <w:r w:rsidR="00703E49" w:rsidRPr="009A71E2">
        <w:rPr>
          <w:lang w:val="en-GB"/>
        </w:rPr>
        <w:t>, Stream Two</w:t>
      </w:r>
      <w:r w:rsidR="00A8121C" w:rsidRPr="009A71E2">
        <w:rPr>
          <w:lang w:val="en-GB"/>
        </w:rPr>
        <w:t xml:space="preserve"> took the decision on judicial review before the High Court, which found in </w:t>
      </w:r>
      <w:r w:rsidR="00703E49" w:rsidRPr="009A71E2">
        <w:rPr>
          <w:lang w:val="en-GB"/>
        </w:rPr>
        <w:t xml:space="preserve">its </w:t>
      </w:r>
      <w:r w:rsidR="00A8121C" w:rsidRPr="009A71E2">
        <w:rPr>
          <w:lang w:val="en-GB"/>
        </w:rPr>
        <w:t>favour</w:t>
      </w:r>
      <w:r w:rsidR="00BC64B1" w:rsidRPr="009A71E2">
        <w:rPr>
          <w:lang w:val="en-GB"/>
        </w:rPr>
        <w:t>.</w:t>
      </w:r>
      <w:r w:rsidR="000C0EF3" w:rsidRPr="009A71E2">
        <w:rPr>
          <w:lang w:val="en-GB"/>
        </w:rPr>
        <w:t xml:space="preserve">  </w:t>
      </w:r>
    </w:p>
    <w:p w14:paraId="64D7BABE" w14:textId="77777777" w:rsidR="004108BB" w:rsidRPr="004108BB" w:rsidRDefault="004108BB" w:rsidP="0068402A">
      <w:pPr>
        <w:pStyle w:val="ListParagraph"/>
        <w:spacing w:line="480" w:lineRule="auto"/>
        <w:rPr>
          <w:u w:val="single"/>
          <w:lang w:val="en-GB"/>
        </w:rPr>
      </w:pPr>
    </w:p>
    <w:p w14:paraId="417284B6" w14:textId="2E7BA9DC" w:rsidR="00FE6620" w:rsidRPr="009A71E2" w:rsidRDefault="009A71E2" w:rsidP="009A71E2">
      <w:pPr>
        <w:spacing w:line="480" w:lineRule="auto"/>
        <w:rPr>
          <w:lang w:val="en-GB"/>
        </w:rPr>
      </w:pPr>
      <w:r>
        <w:rPr>
          <w:lang w:val="en-GB"/>
        </w:rPr>
        <w:t>[20]</w:t>
      </w:r>
      <w:r>
        <w:rPr>
          <w:lang w:val="en-GB"/>
        </w:rPr>
        <w:tab/>
      </w:r>
      <w:r w:rsidR="000C0EF3" w:rsidRPr="009A71E2">
        <w:rPr>
          <w:lang w:val="en-GB"/>
        </w:rPr>
        <w:t xml:space="preserve">  </w:t>
      </w:r>
      <w:r w:rsidR="00602C5D" w:rsidRPr="009A71E2">
        <w:rPr>
          <w:lang w:val="en-GB"/>
        </w:rPr>
        <w:t xml:space="preserve">The High Court </w:t>
      </w:r>
      <w:r w:rsidR="00FE6620" w:rsidRPr="009A71E2">
        <w:rPr>
          <w:lang w:val="en-GB"/>
        </w:rPr>
        <w:t>noted</w:t>
      </w:r>
      <w:r w:rsidR="00602C5D" w:rsidRPr="009A71E2">
        <w:rPr>
          <w:lang w:val="en-GB"/>
        </w:rPr>
        <w:t xml:space="preserve"> that</w:t>
      </w:r>
      <w:r w:rsidR="00AD6214" w:rsidRPr="009A71E2">
        <w:rPr>
          <w:lang w:val="en-GB"/>
        </w:rPr>
        <w:t xml:space="preserve"> the Review Panel did not find the reasons given by the Board to exclude Stream Two valid</w:t>
      </w:r>
      <w:r w:rsidR="00FE6620" w:rsidRPr="009A71E2">
        <w:rPr>
          <w:lang w:val="en-GB"/>
        </w:rPr>
        <w:t xml:space="preserve">, but that instead of setting aside the Review Panel’s decision on this basis, </w:t>
      </w:r>
      <w:r w:rsidR="00AD6214" w:rsidRPr="009A71E2">
        <w:rPr>
          <w:lang w:val="en-GB"/>
        </w:rPr>
        <w:t>the Review Panel examined the tender documents and came to its own conclusion that there may be evidence of a conflict of interest. The court reasoned that by embarking on th</w:t>
      </w:r>
      <w:r w:rsidR="00FE6620" w:rsidRPr="009A71E2">
        <w:rPr>
          <w:lang w:val="en-GB"/>
        </w:rPr>
        <w:t>is</w:t>
      </w:r>
      <w:r w:rsidR="00AD6214" w:rsidRPr="009A71E2">
        <w:rPr>
          <w:lang w:val="en-GB"/>
        </w:rPr>
        <w:t xml:space="preserve"> proce</w:t>
      </w:r>
      <w:r w:rsidR="006717D8" w:rsidRPr="009A71E2">
        <w:rPr>
          <w:lang w:val="en-GB"/>
        </w:rPr>
        <w:t>ss, the Review Panel exceeded</w:t>
      </w:r>
      <w:r w:rsidR="00AD6214" w:rsidRPr="009A71E2">
        <w:rPr>
          <w:lang w:val="en-GB"/>
        </w:rPr>
        <w:t xml:space="preserve"> </w:t>
      </w:r>
      <w:r w:rsidR="002F5017" w:rsidRPr="009A71E2">
        <w:rPr>
          <w:lang w:val="en-GB"/>
        </w:rPr>
        <w:t xml:space="preserve">its </w:t>
      </w:r>
      <w:r w:rsidR="00AD6214" w:rsidRPr="009A71E2">
        <w:rPr>
          <w:lang w:val="en-GB"/>
        </w:rPr>
        <w:t>powers as it was bound by the reasons given by the Board and could not find additional reasons to set aside the Board’s decision</w:t>
      </w:r>
      <w:r w:rsidR="00FE6620" w:rsidRPr="009A71E2">
        <w:rPr>
          <w:lang w:val="en-GB"/>
        </w:rPr>
        <w:t xml:space="preserve"> on that basis</w:t>
      </w:r>
      <w:r w:rsidR="00AD6214" w:rsidRPr="009A71E2">
        <w:rPr>
          <w:lang w:val="en-GB"/>
        </w:rPr>
        <w:t xml:space="preserve">. </w:t>
      </w:r>
    </w:p>
    <w:p w14:paraId="615A0019" w14:textId="77777777" w:rsidR="00FE6620" w:rsidRPr="00FE6620" w:rsidRDefault="00FE6620" w:rsidP="0068402A">
      <w:pPr>
        <w:pStyle w:val="ListParagraph"/>
        <w:rPr>
          <w:lang w:val="en-GB"/>
        </w:rPr>
      </w:pPr>
    </w:p>
    <w:p w14:paraId="35DE63F6" w14:textId="221FAB9D" w:rsidR="00951F33" w:rsidRPr="009A71E2" w:rsidRDefault="009A71E2" w:rsidP="009A71E2">
      <w:pPr>
        <w:spacing w:line="480" w:lineRule="auto"/>
        <w:rPr>
          <w:lang w:val="en-GB"/>
        </w:rPr>
      </w:pPr>
      <w:r w:rsidRPr="00951F33">
        <w:rPr>
          <w:lang w:val="en-GB"/>
        </w:rPr>
        <w:lastRenderedPageBreak/>
        <w:t>[21]</w:t>
      </w:r>
      <w:r w:rsidRPr="00951F33">
        <w:rPr>
          <w:lang w:val="en-GB"/>
        </w:rPr>
        <w:tab/>
      </w:r>
      <w:r w:rsidR="002F5017" w:rsidRPr="009A71E2">
        <w:rPr>
          <w:lang w:val="en-GB"/>
        </w:rPr>
        <w:t>The</w:t>
      </w:r>
      <w:r w:rsidR="00FE6620" w:rsidRPr="009A71E2">
        <w:rPr>
          <w:lang w:val="en-GB"/>
        </w:rPr>
        <w:t xml:space="preserve"> court held furthermore that the</w:t>
      </w:r>
      <w:r w:rsidR="002F5017" w:rsidRPr="009A71E2">
        <w:rPr>
          <w:lang w:val="en-GB"/>
        </w:rPr>
        <w:t xml:space="preserve"> overall objectives of the PPA and the need to allow a competitive bidding process were matters known by the Board at the time it deci</w:t>
      </w:r>
      <w:r w:rsidR="00FE6620" w:rsidRPr="009A71E2">
        <w:rPr>
          <w:lang w:val="en-GB"/>
        </w:rPr>
        <w:t>ded</w:t>
      </w:r>
      <w:r w:rsidR="002F5017" w:rsidRPr="009A71E2">
        <w:rPr>
          <w:lang w:val="en-GB"/>
        </w:rPr>
        <w:t xml:space="preserve"> to exclude Stream Two from further participation in the bidding process. As such, those considerations should have guided the Board when deciding whether there was a conflict of interest or not. The reason of a conflict of interest based on similarity of </w:t>
      </w:r>
      <w:r w:rsidR="001214DB" w:rsidRPr="009A71E2">
        <w:rPr>
          <w:lang w:val="en-GB"/>
        </w:rPr>
        <w:t xml:space="preserve">the </w:t>
      </w:r>
      <w:r w:rsidR="002F5017" w:rsidRPr="009A71E2">
        <w:rPr>
          <w:lang w:val="en-GB"/>
        </w:rPr>
        <w:t xml:space="preserve">surname </w:t>
      </w:r>
      <w:r w:rsidR="00D9608F" w:rsidRPr="009A71E2">
        <w:rPr>
          <w:lang w:val="en-GB"/>
        </w:rPr>
        <w:t xml:space="preserve">of members of the corporations </w:t>
      </w:r>
      <w:r w:rsidR="002F5017" w:rsidRPr="009A71E2">
        <w:rPr>
          <w:lang w:val="en-GB"/>
        </w:rPr>
        <w:t xml:space="preserve">and the </w:t>
      </w:r>
      <w:r w:rsidR="00D9608F" w:rsidRPr="009A71E2">
        <w:rPr>
          <w:lang w:val="en-GB"/>
        </w:rPr>
        <w:t xml:space="preserve">same </w:t>
      </w:r>
      <w:r w:rsidR="002F5017" w:rsidRPr="009A71E2">
        <w:rPr>
          <w:lang w:val="en-GB"/>
        </w:rPr>
        <w:t xml:space="preserve">physical </w:t>
      </w:r>
      <w:r w:rsidR="00D9608F" w:rsidRPr="009A71E2">
        <w:rPr>
          <w:lang w:val="en-GB"/>
        </w:rPr>
        <w:t xml:space="preserve">as well as postal </w:t>
      </w:r>
      <w:r w:rsidR="002F5017" w:rsidRPr="009A71E2">
        <w:rPr>
          <w:lang w:val="en-GB"/>
        </w:rPr>
        <w:t>address</w:t>
      </w:r>
      <w:r w:rsidR="00D9608F" w:rsidRPr="009A71E2">
        <w:rPr>
          <w:lang w:val="en-GB"/>
        </w:rPr>
        <w:t>es</w:t>
      </w:r>
      <w:r w:rsidR="002F5017" w:rsidRPr="009A71E2">
        <w:rPr>
          <w:lang w:val="en-GB"/>
        </w:rPr>
        <w:t xml:space="preserve"> of </w:t>
      </w:r>
      <w:r w:rsidR="00D9608F" w:rsidRPr="009A71E2">
        <w:rPr>
          <w:lang w:val="en-GB"/>
        </w:rPr>
        <w:t xml:space="preserve">those </w:t>
      </w:r>
      <w:r w:rsidR="002F5017" w:rsidRPr="009A71E2">
        <w:rPr>
          <w:lang w:val="en-GB"/>
        </w:rPr>
        <w:t xml:space="preserve">corporations </w:t>
      </w:r>
      <w:r w:rsidR="006717D8" w:rsidRPr="009A71E2">
        <w:rPr>
          <w:lang w:val="en-GB"/>
        </w:rPr>
        <w:t>were the base</w:t>
      </w:r>
      <w:r w:rsidR="00D9608F" w:rsidRPr="009A71E2">
        <w:rPr>
          <w:lang w:val="en-GB"/>
        </w:rPr>
        <w:t xml:space="preserve">s upon which the review application was launched before the </w:t>
      </w:r>
      <w:r w:rsidR="00FE6620" w:rsidRPr="009A71E2">
        <w:rPr>
          <w:lang w:val="en-GB"/>
        </w:rPr>
        <w:t>R</w:t>
      </w:r>
      <w:r w:rsidR="00D9608F" w:rsidRPr="009A71E2">
        <w:rPr>
          <w:lang w:val="en-GB"/>
        </w:rPr>
        <w:t xml:space="preserve">eview Panel. </w:t>
      </w:r>
    </w:p>
    <w:p w14:paraId="2FADA7EA" w14:textId="77777777" w:rsidR="00951F33" w:rsidRPr="00951F33" w:rsidRDefault="00951F33" w:rsidP="0068402A">
      <w:pPr>
        <w:pStyle w:val="ListParagraph"/>
        <w:spacing w:line="480" w:lineRule="auto"/>
        <w:rPr>
          <w:lang w:val="en-GB"/>
        </w:rPr>
      </w:pPr>
    </w:p>
    <w:p w14:paraId="7F95D3F3" w14:textId="439673F8" w:rsidR="00FE6620" w:rsidRPr="009A71E2" w:rsidRDefault="009A71E2" w:rsidP="009A71E2">
      <w:pPr>
        <w:spacing w:line="480" w:lineRule="auto"/>
        <w:rPr>
          <w:lang w:val="en-GB"/>
        </w:rPr>
      </w:pPr>
      <w:r>
        <w:rPr>
          <w:lang w:val="en-GB"/>
        </w:rPr>
        <w:t>[22]</w:t>
      </w:r>
      <w:r>
        <w:rPr>
          <w:lang w:val="en-GB"/>
        </w:rPr>
        <w:tab/>
      </w:r>
      <w:r w:rsidR="00D9608F" w:rsidRPr="009A71E2">
        <w:rPr>
          <w:lang w:val="en-GB"/>
        </w:rPr>
        <w:t>As such, the Review Panel erred in finding additional reason</w:t>
      </w:r>
      <w:r w:rsidR="001214DB" w:rsidRPr="009A71E2">
        <w:rPr>
          <w:lang w:val="en-GB"/>
        </w:rPr>
        <w:t>s</w:t>
      </w:r>
      <w:r w:rsidR="00D9608F" w:rsidRPr="009A71E2">
        <w:rPr>
          <w:lang w:val="en-GB"/>
        </w:rPr>
        <w:t>.</w:t>
      </w:r>
      <w:r w:rsidR="002F5017" w:rsidRPr="009A71E2">
        <w:rPr>
          <w:lang w:val="en-GB"/>
        </w:rPr>
        <w:t xml:space="preserve"> </w:t>
      </w:r>
      <w:r w:rsidR="00D9608F" w:rsidRPr="009A71E2">
        <w:rPr>
          <w:lang w:val="en-GB"/>
        </w:rPr>
        <w:t xml:space="preserve">To remit the matter to the Board to find additional possible instances of a conflict of interest </w:t>
      </w:r>
      <w:r w:rsidR="00FE6620" w:rsidRPr="009A71E2">
        <w:rPr>
          <w:lang w:val="en-GB"/>
        </w:rPr>
        <w:t xml:space="preserve">as the Review Panel had done, </w:t>
      </w:r>
      <w:r w:rsidR="00D9608F" w:rsidRPr="009A71E2">
        <w:rPr>
          <w:lang w:val="en-GB"/>
        </w:rPr>
        <w:t>would allow the Board to have ‘a second bite at the cherry’ and this was impermis</w:t>
      </w:r>
      <w:r w:rsidR="00FB45D2" w:rsidRPr="009A71E2">
        <w:rPr>
          <w:lang w:val="en-GB"/>
        </w:rPr>
        <w:t>si</w:t>
      </w:r>
      <w:r w:rsidR="00D9608F" w:rsidRPr="009A71E2">
        <w:rPr>
          <w:lang w:val="en-GB"/>
        </w:rPr>
        <w:t xml:space="preserve">ble. </w:t>
      </w:r>
    </w:p>
    <w:p w14:paraId="0918A359" w14:textId="77777777" w:rsidR="00FE6620" w:rsidRDefault="00FE6620" w:rsidP="0068402A">
      <w:pPr>
        <w:pStyle w:val="ListParagraph"/>
        <w:spacing w:line="480" w:lineRule="auto"/>
        <w:ind w:left="0"/>
        <w:rPr>
          <w:lang w:val="en-GB"/>
        </w:rPr>
      </w:pPr>
    </w:p>
    <w:p w14:paraId="10340784" w14:textId="467F5C4D" w:rsidR="00E34EE0" w:rsidRPr="009A71E2" w:rsidRDefault="009A71E2" w:rsidP="009A71E2">
      <w:pPr>
        <w:spacing w:line="480" w:lineRule="auto"/>
        <w:rPr>
          <w:lang w:val="en-GB"/>
        </w:rPr>
      </w:pPr>
      <w:r>
        <w:rPr>
          <w:lang w:val="en-GB"/>
        </w:rPr>
        <w:t>[23]</w:t>
      </w:r>
      <w:r>
        <w:rPr>
          <w:lang w:val="en-GB"/>
        </w:rPr>
        <w:tab/>
      </w:r>
      <w:r w:rsidR="005B41F3" w:rsidRPr="009A71E2">
        <w:rPr>
          <w:lang w:val="en-GB"/>
        </w:rPr>
        <w:t xml:space="preserve">The High Court </w:t>
      </w:r>
      <w:r w:rsidR="00FE6620" w:rsidRPr="009A71E2">
        <w:rPr>
          <w:lang w:val="en-GB"/>
        </w:rPr>
        <w:t xml:space="preserve">thus </w:t>
      </w:r>
      <w:r w:rsidR="005B41F3" w:rsidRPr="009A71E2">
        <w:rPr>
          <w:lang w:val="en-GB"/>
        </w:rPr>
        <w:t xml:space="preserve">substituted the ruling of the Review Panel for an order setting aside the decision and remitting the matter to the Board with the direction for the Board to consider Stream Two’s bid together with other bids </w:t>
      </w:r>
      <w:r w:rsidR="00FE6620" w:rsidRPr="009A71E2">
        <w:rPr>
          <w:lang w:val="en-GB"/>
        </w:rPr>
        <w:t xml:space="preserve">through </w:t>
      </w:r>
      <w:r w:rsidR="005B41F3" w:rsidRPr="009A71E2">
        <w:rPr>
          <w:lang w:val="en-GB"/>
        </w:rPr>
        <w:t xml:space="preserve">all the stages of the bid evaluation process. It is this decision that the </w:t>
      </w:r>
      <w:r w:rsidR="00422F6E" w:rsidRPr="009A71E2">
        <w:rPr>
          <w:lang w:val="en-GB"/>
        </w:rPr>
        <w:t xml:space="preserve">appellants </w:t>
      </w:r>
      <w:r w:rsidR="006717D8" w:rsidRPr="009A71E2">
        <w:rPr>
          <w:lang w:val="en-GB"/>
        </w:rPr>
        <w:t>have appealed</w:t>
      </w:r>
      <w:r w:rsidR="005B41F3" w:rsidRPr="009A71E2">
        <w:rPr>
          <w:lang w:val="en-GB"/>
        </w:rPr>
        <w:t xml:space="preserve"> against.</w:t>
      </w:r>
    </w:p>
    <w:p w14:paraId="0070BD90" w14:textId="77777777" w:rsidR="005B41F3" w:rsidRDefault="005B41F3" w:rsidP="0068402A">
      <w:pPr>
        <w:pStyle w:val="ListParagraph"/>
        <w:spacing w:line="480" w:lineRule="auto"/>
        <w:ind w:left="0"/>
        <w:rPr>
          <w:u w:val="single"/>
          <w:lang w:val="en-GB"/>
        </w:rPr>
      </w:pPr>
    </w:p>
    <w:p w14:paraId="1462E3FC" w14:textId="153DD713" w:rsidR="00FB45D2" w:rsidRDefault="00FB45D2" w:rsidP="0068402A">
      <w:pPr>
        <w:pStyle w:val="ListParagraph"/>
        <w:spacing w:line="480" w:lineRule="auto"/>
        <w:ind w:left="0"/>
        <w:rPr>
          <w:u w:val="single"/>
          <w:lang w:val="en-GB"/>
        </w:rPr>
      </w:pPr>
      <w:r w:rsidRPr="00FB45D2">
        <w:rPr>
          <w:u w:val="single"/>
          <w:lang w:val="en-GB"/>
        </w:rPr>
        <w:t>Legislative context</w:t>
      </w:r>
    </w:p>
    <w:p w14:paraId="7ED4A918" w14:textId="41BA2ABA" w:rsidR="00FB45D2" w:rsidRPr="00FB45D2" w:rsidRDefault="00FB45D2" w:rsidP="0068402A">
      <w:pPr>
        <w:pStyle w:val="ListParagraph"/>
        <w:spacing w:line="480" w:lineRule="auto"/>
        <w:ind w:left="0"/>
        <w:rPr>
          <w:i/>
          <w:lang w:val="en-GB"/>
        </w:rPr>
      </w:pPr>
      <w:r w:rsidRPr="00FB45D2">
        <w:rPr>
          <w:i/>
          <w:lang w:val="en-GB"/>
        </w:rPr>
        <w:t>The P</w:t>
      </w:r>
      <w:r w:rsidR="0080499E">
        <w:rPr>
          <w:i/>
          <w:lang w:val="en-GB"/>
        </w:rPr>
        <w:t xml:space="preserve">ublic </w:t>
      </w:r>
      <w:r w:rsidRPr="00FB45D2">
        <w:rPr>
          <w:i/>
          <w:lang w:val="en-GB"/>
        </w:rPr>
        <w:t>P</w:t>
      </w:r>
      <w:r w:rsidR="0080499E">
        <w:rPr>
          <w:i/>
          <w:lang w:val="en-GB"/>
        </w:rPr>
        <w:t xml:space="preserve">rocurement </w:t>
      </w:r>
      <w:r w:rsidRPr="00FB45D2">
        <w:rPr>
          <w:i/>
          <w:lang w:val="en-GB"/>
        </w:rPr>
        <w:t>A</w:t>
      </w:r>
      <w:r w:rsidR="0080499E">
        <w:rPr>
          <w:i/>
          <w:lang w:val="en-GB"/>
        </w:rPr>
        <w:t>ct</w:t>
      </w:r>
    </w:p>
    <w:p w14:paraId="27A69DBC" w14:textId="1616900E" w:rsidR="00B37126" w:rsidRPr="009A71E2" w:rsidRDefault="009A71E2" w:rsidP="009A71E2">
      <w:pPr>
        <w:spacing w:line="480" w:lineRule="auto"/>
        <w:rPr>
          <w:i/>
          <w:lang w:val="en-GB"/>
        </w:rPr>
      </w:pPr>
      <w:r w:rsidRPr="00B37126">
        <w:rPr>
          <w:lang w:val="en-GB"/>
        </w:rPr>
        <w:t>[24]</w:t>
      </w:r>
      <w:r w:rsidRPr="00B37126">
        <w:rPr>
          <w:lang w:val="en-GB"/>
        </w:rPr>
        <w:tab/>
      </w:r>
      <w:r w:rsidR="006502B1" w:rsidRPr="009A71E2">
        <w:rPr>
          <w:lang w:val="en-GB"/>
        </w:rPr>
        <w:t xml:space="preserve">Certain provisions </w:t>
      </w:r>
      <w:r w:rsidR="00530609" w:rsidRPr="009A71E2">
        <w:rPr>
          <w:lang w:val="en-GB"/>
        </w:rPr>
        <w:t xml:space="preserve">in </w:t>
      </w:r>
      <w:r w:rsidR="006502B1" w:rsidRPr="009A71E2">
        <w:rPr>
          <w:lang w:val="en-GB"/>
        </w:rPr>
        <w:t xml:space="preserve">the </w:t>
      </w:r>
      <w:r w:rsidR="00D50491" w:rsidRPr="009A71E2">
        <w:rPr>
          <w:lang w:val="en-GB"/>
        </w:rPr>
        <w:t>PPA w</w:t>
      </w:r>
      <w:r w:rsidR="006502B1" w:rsidRPr="009A71E2">
        <w:rPr>
          <w:lang w:val="en-GB"/>
        </w:rPr>
        <w:t>ere</w:t>
      </w:r>
      <w:r w:rsidR="00D50491" w:rsidRPr="009A71E2">
        <w:rPr>
          <w:lang w:val="en-GB"/>
        </w:rPr>
        <w:t xml:space="preserve"> amended in 2022. The Public Procurement Amendment Act 3 of 2022 </w:t>
      </w:r>
      <w:r w:rsidR="006502B1" w:rsidRPr="009A71E2">
        <w:rPr>
          <w:lang w:val="en-GB"/>
        </w:rPr>
        <w:t xml:space="preserve">came </w:t>
      </w:r>
      <w:r w:rsidR="00D50491" w:rsidRPr="009A71E2">
        <w:rPr>
          <w:lang w:val="en-GB"/>
        </w:rPr>
        <w:t xml:space="preserve">into force on 7 October 2022, subsequent to the </w:t>
      </w:r>
      <w:r w:rsidR="00A4549B" w:rsidRPr="009A71E2">
        <w:rPr>
          <w:lang w:val="en-GB"/>
        </w:rPr>
        <w:t>finalis</w:t>
      </w:r>
      <w:r w:rsidR="006502B1" w:rsidRPr="009A71E2">
        <w:rPr>
          <w:lang w:val="en-GB"/>
        </w:rPr>
        <w:t>ation</w:t>
      </w:r>
      <w:r w:rsidR="00D50491" w:rsidRPr="009A71E2">
        <w:rPr>
          <w:lang w:val="en-GB"/>
        </w:rPr>
        <w:t xml:space="preserve"> of </w:t>
      </w:r>
      <w:r w:rsidR="006502B1" w:rsidRPr="009A71E2">
        <w:rPr>
          <w:lang w:val="en-GB"/>
        </w:rPr>
        <w:t>proceeding</w:t>
      </w:r>
      <w:r w:rsidR="00D50491" w:rsidRPr="009A71E2">
        <w:rPr>
          <w:lang w:val="en-GB"/>
        </w:rPr>
        <w:t xml:space="preserve">s giving rise to the present appeal. </w:t>
      </w:r>
      <w:r w:rsidR="00D50491" w:rsidRPr="009A71E2">
        <w:rPr>
          <w:lang w:val="en-GB"/>
        </w:rPr>
        <w:lastRenderedPageBreak/>
        <w:t xml:space="preserve">Therefore, the relevant provisions of the PPA in this appeal are those in force at the time of the hearing of the review </w:t>
      </w:r>
      <w:r w:rsidR="006502B1" w:rsidRPr="009A71E2">
        <w:rPr>
          <w:lang w:val="en-GB"/>
        </w:rPr>
        <w:t xml:space="preserve">application </w:t>
      </w:r>
      <w:r w:rsidR="00D50491" w:rsidRPr="009A71E2">
        <w:rPr>
          <w:lang w:val="en-GB"/>
        </w:rPr>
        <w:t xml:space="preserve">prior to amendments. </w:t>
      </w:r>
      <w:r w:rsidR="00530609" w:rsidRPr="009A71E2">
        <w:rPr>
          <w:lang w:val="en-GB"/>
        </w:rPr>
        <w:t>With this caveat out of the way, it remains to briefly summarise the legislative context in which the appeal stands to be decided.</w:t>
      </w:r>
    </w:p>
    <w:p w14:paraId="51649F44" w14:textId="77777777" w:rsidR="00B37126" w:rsidRPr="00B37126" w:rsidRDefault="00B37126" w:rsidP="0068402A">
      <w:pPr>
        <w:pStyle w:val="ListParagraph"/>
        <w:spacing w:line="480" w:lineRule="auto"/>
        <w:ind w:left="0"/>
        <w:rPr>
          <w:i/>
          <w:lang w:val="en-GB"/>
        </w:rPr>
      </w:pPr>
    </w:p>
    <w:p w14:paraId="52A5A702" w14:textId="506C5493" w:rsidR="003C0F9F" w:rsidRPr="009A71E2" w:rsidRDefault="009A71E2" w:rsidP="009A71E2">
      <w:pPr>
        <w:spacing w:line="480" w:lineRule="auto"/>
        <w:rPr>
          <w:i/>
          <w:lang w:val="en-GB"/>
        </w:rPr>
      </w:pPr>
      <w:r w:rsidRPr="003C0F9F">
        <w:rPr>
          <w:lang w:val="en-GB"/>
        </w:rPr>
        <w:t>[25]</w:t>
      </w:r>
      <w:r w:rsidRPr="003C0F9F">
        <w:rPr>
          <w:lang w:val="en-GB"/>
        </w:rPr>
        <w:tab/>
      </w:r>
      <w:r w:rsidR="00FB45D2" w:rsidRPr="009A71E2">
        <w:rPr>
          <w:lang w:val="en-GB"/>
        </w:rPr>
        <w:t>The overall objects of the PPA are</w:t>
      </w:r>
      <w:r w:rsidR="003C78EB" w:rsidRPr="009A71E2">
        <w:rPr>
          <w:lang w:val="en-GB"/>
        </w:rPr>
        <w:t>, amongst others,</w:t>
      </w:r>
      <w:r w:rsidR="00FB45D2" w:rsidRPr="009A71E2">
        <w:rPr>
          <w:lang w:val="en-GB"/>
        </w:rPr>
        <w:t xml:space="preserve"> </w:t>
      </w:r>
      <w:r w:rsidR="0080499E" w:rsidRPr="009A71E2">
        <w:rPr>
          <w:lang w:val="en-GB"/>
        </w:rPr>
        <w:t>to promote integrity, accountability, transparency, competitive supply, effectiveness, efficiency, fair</w:t>
      </w:r>
      <w:r w:rsidR="00D54D6D" w:rsidRPr="009A71E2">
        <w:rPr>
          <w:lang w:val="en-GB"/>
        </w:rPr>
        <w:t>-</w:t>
      </w:r>
      <w:r w:rsidR="0080499E" w:rsidRPr="009A71E2">
        <w:rPr>
          <w:lang w:val="en-GB"/>
        </w:rPr>
        <w:t>dealing, value for money, responsiveness and informed decision-making.</w:t>
      </w:r>
      <w:r w:rsidR="00B96EBF">
        <w:rPr>
          <w:rStyle w:val="FootnoteReference"/>
          <w:lang w:val="en-GB"/>
        </w:rPr>
        <w:footnoteReference w:id="1"/>
      </w:r>
      <w:r w:rsidR="0080499E" w:rsidRPr="009A71E2">
        <w:rPr>
          <w:lang w:val="en-GB"/>
        </w:rPr>
        <w:t xml:space="preserve"> </w:t>
      </w:r>
      <w:r w:rsidR="003C78EB" w:rsidRPr="009A71E2">
        <w:rPr>
          <w:lang w:val="en-GB"/>
        </w:rPr>
        <w:t>In the execution of its functions, t</w:t>
      </w:r>
      <w:r w:rsidR="00422F6E" w:rsidRPr="009A71E2">
        <w:rPr>
          <w:lang w:val="en-GB"/>
        </w:rPr>
        <w:t xml:space="preserve">he Board </w:t>
      </w:r>
      <w:r w:rsidR="0063549C" w:rsidRPr="009A71E2">
        <w:rPr>
          <w:lang w:val="en-GB"/>
        </w:rPr>
        <w:t xml:space="preserve">is </w:t>
      </w:r>
      <w:r w:rsidR="00252FAB" w:rsidRPr="009A71E2">
        <w:rPr>
          <w:lang w:val="en-GB"/>
        </w:rPr>
        <w:t>enjoined</w:t>
      </w:r>
      <w:r w:rsidR="0063549C" w:rsidRPr="009A71E2">
        <w:rPr>
          <w:lang w:val="en-GB"/>
        </w:rPr>
        <w:t xml:space="preserve"> to </w:t>
      </w:r>
      <w:r w:rsidR="00422F6E" w:rsidRPr="009A71E2">
        <w:rPr>
          <w:lang w:val="en-GB"/>
        </w:rPr>
        <w:t xml:space="preserve">strive to achieve high standards of transparency and accountability </w:t>
      </w:r>
      <w:r w:rsidR="0063549C" w:rsidRPr="009A71E2">
        <w:rPr>
          <w:lang w:val="en-GB"/>
        </w:rPr>
        <w:t>considering</w:t>
      </w:r>
      <w:r w:rsidR="00422F6E" w:rsidRPr="009A71E2">
        <w:rPr>
          <w:lang w:val="en-GB"/>
        </w:rPr>
        <w:t xml:space="preserve"> the</w:t>
      </w:r>
      <w:r w:rsidR="006717D8" w:rsidRPr="009A71E2">
        <w:rPr>
          <w:lang w:val="en-GB"/>
        </w:rPr>
        <w:t xml:space="preserve"> objects of the PPA</w:t>
      </w:r>
      <w:r w:rsidR="00422F6E" w:rsidRPr="009A71E2">
        <w:rPr>
          <w:lang w:val="en-GB"/>
        </w:rPr>
        <w:t xml:space="preserve"> and the need to obtain value for money.</w:t>
      </w:r>
      <w:r w:rsidR="0063549C">
        <w:rPr>
          <w:rStyle w:val="FootnoteReference"/>
          <w:lang w:val="en-GB"/>
        </w:rPr>
        <w:footnoteReference w:id="2"/>
      </w:r>
      <w:r w:rsidR="0063549C" w:rsidRPr="009A71E2">
        <w:rPr>
          <w:lang w:val="en-GB"/>
        </w:rPr>
        <w:t xml:space="preserve"> </w:t>
      </w:r>
      <w:r w:rsidR="00F9361A" w:rsidRPr="009A71E2">
        <w:rPr>
          <w:lang w:val="en-GB"/>
        </w:rPr>
        <w:t>The above princi</w:t>
      </w:r>
      <w:r w:rsidR="00850F3E" w:rsidRPr="009A71E2">
        <w:rPr>
          <w:lang w:val="en-GB"/>
        </w:rPr>
        <w:t xml:space="preserve">ples including </w:t>
      </w:r>
      <w:r w:rsidR="00D50491" w:rsidRPr="009A71E2">
        <w:rPr>
          <w:lang w:val="en-GB"/>
        </w:rPr>
        <w:t xml:space="preserve">those of </w:t>
      </w:r>
      <w:r w:rsidR="00850F3E" w:rsidRPr="009A71E2">
        <w:rPr>
          <w:lang w:val="en-GB"/>
        </w:rPr>
        <w:t>consistency, legality, integration and accountability are some of the fundamental values underpinning the procurement system in the country.</w:t>
      </w:r>
      <w:r w:rsidR="00850F3E">
        <w:rPr>
          <w:rStyle w:val="FootnoteReference"/>
          <w:lang w:val="en-GB"/>
        </w:rPr>
        <w:footnoteReference w:id="3"/>
      </w:r>
      <w:r w:rsidR="00482ECD" w:rsidRPr="009A71E2">
        <w:rPr>
          <w:lang w:val="en-GB"/>
        </w:rPr>
        <w:t xml:space="preserve"> </w:t>
      </w:r>
      <w:r w:rsidR="00566B10" w:rsidRPr="009A71E2">
        <w:rPr>
          <w:lang w:val="en-GB"/>
        </w:rPr>
        <w:t xml:space="preserve">   </w:t>
      </w:r>
    </w:p>
    <w:p w14:paraId="3F9D63A6" w14:textId="77777777" w:rsidR="003C0F9F" w:rsidRDefault="003C0F9F" w:rsidP="0068402A">
      <w:pPr>
        <w:pStyle w:val="ListParagraph"/>
        <w:spacing w:line="480" w:lineRule="auto"/>
        <w:ind w:left="0"/>
        <w:rPr>
          <w:i/>
          <w:lang w:val="en-GB"/>
        </w:rPr>
      </w:pPr>
    </w:p>
    <w:p w14:paraId="2F46D28D" w14:textId="771A1B7C" w:rsidR="003C0F9F" w:rsidRPr="003C0F9F" w:rsidRDefault="003C0F9F" w:rsidP="0068402A">
      <w:pPr>
        <w:pStyle w:val="ListParagraph"/>
        <w:spacing w:line="480" w:lineRule="auto"/>
        <w:ind w:left="0"/>
        <w:rPr>
          <w:i/>
          <w:lang w:val="en-GB"/>
        </w:rPr>
      </w:pPr>
      <w:r>
        <w:rPr>
          <w:i/>
          <w:lang w:val="en-GB"/>
        </w:rPr>
        <w:t>The Board</w:t>
      </w:r>
    </w:p>
    <w:p w14:paraId="366695BB" w14:textId="77EB9284" w:rsidR="00B37126" w:rsidRPr="009A71E2" w:rsidRDefault="009A71E2" w:rsidP="009A71E2">
      <w:pPr>
        <w:spacing w:line="480" w:lineRule="auto"/>
        <w:rPr>
          <w:i/>
          <w:lang w:val="en-GB"/>
        </w:rPr>
      </w:pPr>
      <w:r w:rsidRPr="00B37126">
        <w:rPr>
          <w:lang w:val="en-GB"/>
        </w:rPr>
        <w:t>[26]</w:t>
      </w:r>
      <w:r w:rsidRPr="00B37126">
        <w:rPr>
          <w:lang w:val="en-GB"/>
        </w:rPr>
        <w:tab/>
      </w:r>
      <w:r w:rsidR="0063549C" w:rsidRPr="009A71E2">
        <w:rPr>
          <w:lang w:val="en-GB"/>
        </w:rPr>
        <w:t xml:space="preserve">The Board consists of nine members appointed by the Minister </w:t>
      </w:r>
      <w:r w:rsidR="003C0F9F" w:rsidRPr="009A71E2">
        <w:rPr>
          <w:lang w:val="en-GB"/>
        </w:rPr>
        <w:t xml:space="preserve">responsible for finance </w:t>
      </w:r>
      <w:r w:rsidR="00252FAB" w:rsidRPr="009A71E2">
        <w:rPr>
          <w:lang w:val="en-GB"/>
        </w:rPr>
        <w:t>‘</w:t>
      </w:r>
      <w:r w:rsidR="0063549C" w:rsidRPr="009A71E2">
        <w:rPr>
          <w:lang w:val="en-GB"/>
        </w:rPr>
        <w:t>after an open, fair and transparent prescribed process of invitation, interview and recommendation by a recruitment committee</w:t>
      </w:r>
      <w:r w:rsidR="00252FAB" w:rsidRPr="009A71E2">
        <w:rPr>
          <w:lang w:val="en-GB"/>
        </w:rPr>
        <w:t>’</w:t>
      </w:r>
      <w:r w:rsidR="00B86DF8" w:rsidRPr="009A71E2">
        <w:rPr>
          <w:lang w:val="en-GB"/>
        </w:rPr>
        <w:t>.</w:t>
      </w:r>
      <w:r w:rsidR="0063549C">
        <w:rPr>
          <w:rStyle w:val="FootnoteReference"/>
          <w:lang w:val="en-GB"/>
        </w:rPr>
        <w:footnoteReference w:id="4"/>
      </w:r>
      <w:r w:rsidR="0063549C" w:rsidRPr="009A71E2">
        <w:rPr>
          <w:lang w:val="en-GB"/>
        </w:rPr>
        <w:t xml:space="preserve"> A member of the Board owes a fiduciary duty to act with fidelity, honesty, integrity and in the best interest of the Board and the procurement system</w:t>
      </w:r>
      <w:r w:rsidR="00252FAB" w:rsidRPr="009A71E2">
        <w:rPr>
          <w:lang w:val="en-GB"/>
        </w:rPr>
        <w:t>.</w:t>
      </w:r>
      <w:r w:rsidR="00252FAB">
        <w:rPr>
          <w:rStyle w:val="FootnoteReference"/>
          <w:lang w:val="en-GB"/>
        </w:rPr>
        <w:footnoteReference w:id="5"/>
      </w:r>
      <w:r w:rsidR="00252FAB" w:rsidRPr="009A71E2">
        <w:rPr>
          <w:lang w:val="en-GB"/>
        </w:rPr>
        <w:t xml:space="preserve"> He or she must strive to achieve </w:t>
      </w:r>
      <w:r w:rsidR="00252FAB" w:rsidRPr="009A71E2">
        <w:rPr>
          <w:lang w:val="en-GB"/>
        </w:rPr>
        <w:lastRenderedPageBreak/>
        <w:t>the highest standard</w:t>
      </w:r>
      <w:r w:rsidR="0052672B" w:rsidRPr="009A71E2">
        <w:rPr>
          <w:lang w:val="en-GB"/>
        </w:rPr>
        <w:t>s</w:t>
      </w:r>
      <w:r w:rsidR="00252FAB" w:rsidRPr="009A71E2">
        <w:rPr>
          <w:lang w:val="en-GB"/>
        </w:rPr>
        <w:t xml:space="preserve"> of transparency, accountability and the need to obtain best value for money.</w:t>
      </w:r>
      <w:r w:rsidR="00252FAB">
        <w:rPr>
          <w:rStyle w:val="FootnoteReference"/>
          <w:lang w:val="en-GB"/>
        </w:rPr>
        <w:footnoteReference w:id="6"/>
      </w:r>
      <w:r w:rsidR="00252FAB" w:rsidRPr="009A71E2">
        <w:rPr>
          <w:lang w:val="en-GB"/>
        </w:rPr>
        <w:t xml:space="preserve"> </w:t>
      </w:r>
    </w:p>
    <w:p w14:paraId="328FDEDC" w14:textId="77777777" w:rsidR="006502B1" w:rsidRPr="006502B1" w:rsidRDefault="006502B1" w:rsidP="0068402A">
      <w:pPr>
        <w:spacing w:line="480" w:lineRule="auto"/>
        <w:ind w:left="360"/>
        <w:rPr>
          <w:i/>
          <w:lang w:val="en-GB"/>
        </w:rPr>
      </w:pPr>
    </w:p>
    <w:p w14:paraId="58491947" w14:textId="56BB4EC5" w:rsidR="007E511F" w:rsidRPr="009A71E2" w:rsidRDefault="009A71E2" w:rsidP="009A71E2">
      <w:pPr>
        <w:spacing w:line="480" w:lineRule="auto"/>
        <w:rPr>
          <w:i/>
          <w:lang w:val="en-GB"/>
        </w:rPr>
      </w:pPr>
      <w:r w:rsidRPr="007E511F">
        <w:rPr>
          <w:lang w:val="en-GB"/>
        </w:rPr>
        <w:t>[27]</w:t>
      </w:r>
      <w:r w:rsidRPr="007E511F">
        <w:rPr>
          <w:lang w:val="en-GB"/>
        </w:rPr>
        <w:tab/>
      </w:r>
      <w:r w:rsidR="00482ECD" w:rsidRPr="009A71E2">
        <w:rPr>
          <w:lang w:val="en-GB"/>
        </w:rPr>
        <w:t>In relation to procurement or disposal of assets, the Board’s functions include the power to examine such records or other documents and to take copies or extracts from them</w:t>
      </w:r>
      <w:r w:rsidR="00482ECD">
        <w:rPr>
          <w:rStyle w:val="FootnoteReference"/>
          <w:lang w:val="en-GB"/>
        </w:rPr>
        <w:footnoteReference w:id="7"/>
      </w:r>
      <w:r w:rsidR="00482ECD" w:rsidRPr="009A71E2">
        <w:rPr>
          <w:lang w:val="en-GB"/>
        </w:rPr>
        <w:t xml:space="preserve"> a</w:t>
      </w:r>
      <w:r w:rsidR="00951F33" w:rsidRPr="009A71E2">
        <w:rPr>
          <w:lang w:val="en-GB"/>
        </w:rPr>
        <w:t xml:space="preserve">s well as </w:t>
      </w:r>
      <w:r w:rsidR="00482ECD" w:rsidRPr="009A71E2">
        <w:rPr>
          <w:lang w:val="en-GB"/>
        </w:rPr>
        <w:t>to commission any studies relevant to the determination of the award of procurement or disposal contract</w:t>
      </w:r>
      <w:r w:rsidR="00CC2039" w:rsidRPr="009A71E2">
        <w:rPr>
          <w:lang w:val="en-GB"/>
        </w:rPr>
        <w:t>s</w:t>
      </w:r>
      <w:r w:rsidR="00482ECD" w:rsidRPr="009A71E2">
        <w:rPr>
          <w:lang w:val="en-GB"/>
        </w:rPr>
        <w:t>.</w:t>
      </w:r>
      <w:r w:rsidR="00482ECD">
        <w:rPr>
          <w:rStyle w:val="FootnoteReference"/>
          <w:lang w:val="en-GB"/>
        </w:rPr>
        <w:footnoteReference w:id="8"/>
      </w:r>
      <w:r w:rsidR="00482ECD" w:rsidRPr="009A71E2">
        <w:rPr>
          <w:lang w:val="en-GB"/>
        </w:rPr>
        <w:t xml:space="preserve"> </w:t>
      </w:r>
      <w:r w:rsidR="00CC2039" w:rsidRPr="009A71E2">
        <w:rPr>
          <w:lang w:val="en-GB"/>
        </w:rPr>
        <w:t xml:space="preserve">It is also the Board’s function to review the recommendations made by </w:t>
      </w:r>
      <w:r w:rsidR="00B37126" w:rsidRPr="009A71E2">
        <w:rPr>
          <w:lang w:val="en-GB"/>
        </w:rPr>
        <w:t xml:space="preserve">its </w:t>
      </w:r>
      <w:r w:rsidR="00CC2039" w:rsidRPr="009A71E2">
        <w:rPr>
          <w:lang w:val="en-GB"/>
        </w:rPr>
        <w:t>bid evaluation committee.</w:t>
      </w:r>
      <w:r w:rsidR="00CC2039">
        <w:rPr>
          <w:rStyle w:val="FootnoteReference"/>
          <w:lang w:val="en-GB"/>
        </w:rPr>
        <w:footnoteReference w:id="9"/>
      </w:r>
      <w:r w:rsidR="00685938" w:rsidRPr="009A71E2">
        <w:rPr>
          <w:lang w:val="en-GB"/>
        </w:rPr>
        <w:t xml:space="preserve"> </w:t>
      </w:r>
    </w:p>
    <w:p w14:paraId="075B9449" w14:textId="77777777" w:rsidR="007E511F" w:rsidRPr="007E511F" w:rsidRDefault="007E511F" w:rsidP="0068402A">
      <w:pPr>
        <w:pStyle w:val="ListParagraph"/>
        <w:spacing w:line="480" w:lineRule="auto"/>
        <w:rPr>
          <w:lang w:val="en-GB"/>
        </w:rPr>
      </w:pPr>
    </w:p>
    <w:p w14:paraId="5F81A792" w14:textId="7B639BE0" w:rsidR="00EF3CFD" w:rsidRPr="009A71E2" w:rsidRDefault="009A71E2" w:rsidP="009A71E2">
      <w:pPr>
        <w:spacing w:line="480" w:lineRule="auto"/>
        <w:rPr>
          <w:i/>
          <w:lang w:val="en-GB"/>
        </w:rPr>
      </w:pPr>
      <w:r w:rsidRPr="00EF3CFD">
        <w:rPr>
          <w:lang w:val="en-GB"/>
        </w:rPr>
        <w:t>[28]</w:t>
      </w:r>
      <w:r w:rsidRPr="00EF3CFD">
        <w:rPr>
          <w:lang w:val="en-GB"/>
        </w:rPr>
        <w:tab/>
      </w:r>
      <w:r w:rsidR="006C17B0" w:rsidRPr="009A71E2">
        <w:rPr>
          <w:lang w:val="en-GB"/>
        </w:rPr>
        <w:t xml:space="preserve">In terms of s 55, the Board must award a procurement contract to the bidder having submitted the lowest evaluated substantially responsive bid which meets the qualification criteria specified in the pre-qualification or bidding documents. ‘Responsive’ in relation to a bid, is defined in the </w:t>
      </w:r>
      <w:r w:rsidR="00EF3CFD" w:rsidRPr="009A71E2">
        <w:rPr>
          <w:lang w:val="en-GB"/>
        </w:rPr>
        <w:t xml:space="preserve">definitions section of the </w:t>
      </w:r>
      <w:r w:rsidR="006C17B0" w:rsidRPr="009A71E2">
        <w:rPr>
          <w:lang w:val="en-GB"/>
        </w:rPr>
        <w:t xml:space="preserve">PPA as meaning </w:t>
      </w:r>
      <w:r w:rsidR="00D54D6D" w:rsidRPr="009A71E2">
        <w:rPr>
          <w:lang w:val="en-GB"/>
        </w:rPr>
        <w:t>‘</w:t>
      </w:r>
      <w:r w:rsidR="006C17B0" w:rsidRPr="009A71E2">
        <w:rPr>
          <w:lang w:val="en-GB"/>
        </w:rPr>
        <w:t xml:space="preserve">responsive to the basic requirements of a bid regarding ability to perform and complete on </w:t>
      </w:r>
      <w:r w:rsidR="00253227" w:rsidRPr="009A71E2">
        <w:rPr>
          <w:lang w:val="en-GB"/>
        </w:rPr>
        <w:t>time</w:t>
      </w:r>
      <w:r w:rsidR="00D54D6D" w:rsidRPr="009A71E2">
        <w:rPr>
          <w:lang w:val="en-GB"/>
        </w:rPr>
        <w:t>’</w:t>
      </w:r>
      <w:r w:rsidR="00253227" w:rsidRPr="009A71E2">
        <w:rPr>
          <w:lang w:val="en-GB"/>
        </w:rPr>
        <w:t>.</w:t>
      </w:r>
      <w:r w:rsidR="00BC3BF6" w:rsidRPr="009A71E2">
        <w:rPr>
          <w:lang w:val="en-GB"/>
        </w:rPr>
        <w:t xml:space="preserve"> </w:t>
      </w:r>
    </w:p>
    <w:p w14:paraId="0C0669ED" w14:textId="77777777" w:rsidR="00EF3CFD" w:rsidRPr="00EF3CFD" w:rsidRDefault="00EF3CFD" w:rsidP="0068402A">
      <w:pPr>
        <w:pStyle w:val="ListParagraph"/>
        <w:spacing w:line="480" w:lineRule="auto"/>
        <w:rPr>
          <w:lang w:val="en-GB"/>
        </w:rPr>
      </w:pPr>
    </w:p>
    <w:p w14:paraId="79818B69" w14:textId="4F48BE2F" w:rsidR="002663B7" w:rsidRPr="009A71E2" w:rsidRDefault="009A71E2" w:rsidP="009A71E2">
      <w:pPr>
        <w:spacing w:line="480" w:lineRule="auto"/>
        <w:rPr>
          <w:i/>
          <w:lang w:val="en-GB"/>
        </w:rPr>
      </w:pPr>
      <w:r w:rsidRPr="002E4584">
        <w:rPr>
          <w:lang w:val="en-GB"/>
        </w:rPr>
        <w:t>[29]</w:t>
      </w:r>
      <w:r w:rsidRPr="002E4584">
        <w:rPr>
          <w:lang w:val="en-GB"/>
        </w:rPr>
        <w:tab/>
      </w:r>
      <w:r w:rsidR="0022214D" w:rsidRPr="009A71E2">
        <w:rPr>
          <w:lang w:val="en-GB"/>
        </w:rPr>
        <w:t>The phrase ‘bidding document’ is defined as meaning ‘any document issued by a public entity on the basis of which bidders prepare bids</w:t>
      </w:r>
      <w:r w:rsidR="00EF3CFD" w:rsidRPr="009A71E2">
        <w:rPr>
          <w:lang w:val="en-GB"/>
        </w:rPr>
        <w:t>; and includes any document which contains instructions to bidders, specification</w:t>
      </w:r>
      <w:r w:rsidR="008A3F37" w:rsidRPr="009A71E2">
        <w:rPr>
          <w:lang w:val="en-GB"/>
        </w:rPr>
        <w:t>s</w:t>
      </w:r>
      <w:r w:rsidR="00EF3CFD" w:rsidRPr="009A71E2">
        <w:rPr>
          <w:lang w:val="en-GB"/>
        </w:rPr>
        <w:t>, maps, designs, terms of reference, work schedules, evaluation criteria, bills of quantities, conditions of contract or other similar items</w:t>
      </w:r>
      <w:r w:rsidR="002430CE" w:rsidRPr="009A71E2">
        <w:rPr>
          <w:lang w:val="en-GB"/>
        </w:rPr>
        <w:t>’</w:t>
      </w:r>
      <w:r w:rsidR="00EF3CFD" w:rsidRPr="009A71E2">
        <w:rPr>
          <w:lang w:val="en-GB"/>
        </w:rPr>
        <w:t>.</w:t>
      </w:r>
      <w:r w:rsidR="0022214D" w:rsidRPr="009A71E2">
        <w:rPr>
          <w:lang w:val="en-GB"/>
        </w:rPr>
        <w:t xml:space="preserve">  </w:t>
      </w:r>
      <w:r w:rsidR="00BC3BF6" w:rsidRPr="009A71E2">
        <w:rPr>
          <w:lang w:val="en-GB"/>
        </w:rPr>
        <w:t xml:space="preserve">The Board or public entity is required to promptly </w:t>
      </w:r>
      <w:r w:rsidR="00BC3BF6" w:rsidRPr="009A71E2">
        <w:rPr>
          <w:lang w:val="en-GB"/>
        </w:rPr>
        <w:lastRenderedPageBreak/>
        <w:t>and in a prescribed manner publish a notice of every procurement or disposal award together with the executive summary of the bid evaluation report.</w:t>
      </w:r>
      <w:r w:rsidR="00BC3BF6">
        <w:rPr>
          <w:rStyle w:val="FootnoteReference"/>
          <w:lang w:val="en-GB"/>
        </w:rPr>
        <w:footnoteReference w:id="10"/>
      </w:r>
    </w:p>
    <w:p w14:paraId="14FB13DF" w14:textId="77777777" w:rsidR="003C0F9F" w:rsidRDefault="003C0F9F" w:rsidP="0068402A">
      <w:pPr>
        <w:pStyle w:val="ListParagraph"/>
        <w:spacing w:line="480" w:lineRule="auto"/>
        <w:ind w:left="0"/>
        <w:rPr>
          <w:i/>
          <w:lang w:val="en-GB"/>
        </w:rPr>
      </w:pPr>
    </w:p>
    <w:p w14:paraId="78381A6A" w14:textId="1404BE09" w:rsidR="00566B10" w:rsidRPr="002663B7" w:rsidRDefault="00566B10" w:rsidP="0068402A">
      <w:pPr>
        <w:pStyle w:val="ListParagraph"/>
        <w:spacing w:line="480" w:lineRule="auto"/>
        <w:ind w:left="0"/>
        <w:rPr>
          <w:i/>
          <w:lang w:val="en-GB"/>
        </w:rPr>
      </w:pPr>
      <w:r>
        <w:rPr>
          <w:i/>
          <w:lang w:val="en-GB"/>
        </w:rPr>
        <w:t>The Review Panel</w:t>
      </w:r>
    </w:p>
    <w:p w14:paraId="6D0C0F13" w14:textId="678A2A33" w:rsidR="007E511F" w:rsidRPr="009A71E2" w:rsidRDefault="009A71E2" w:rsidP="009A71E2">
      <w:pPr>
        <w:spacing w:line="480" w:lineRule="auto"/>
        <w:rPr>
          <w:lang w:val="en-GB"/>
        </w:rPr>
      </w:pPr>
      <w:r>
        <w:rPr>
          <w:lang w:val="en-GB"/>
        </w:rPr>
        <w:t>[30]</w:t>
      </w:r>
      <w:r>
        <w:rPr>
          <w:lang w:val="en-GB"/>
        </w:rPr>
        <w:tab/>
      </w:r>
      <w:r w:rsidR="003C0F9F" w:rsidRPr="009A71E2">
        <w:rPr>
          <w:lang w:val="en-GB"/>
        </w:rPr>
        <w:t xml:space="preserve">Subsection (1) read with subsec (3) of s 58 provided that when the Minister thinks it necessary on account of </w:t>
      </w:r>
      <w:r w:rsidR="00D50491" w:rsidRPr="009A71E2">
        <w:rPr>
          <w:lang w:val="en-GB"/>
        </w:rPr>
        <w:t xml:space="preserve">allegations made in the review application submitted to the Review Panel, </w:t>
      </w:r>
      <w:r w:rsidR="00BE3240" w:rsidRPr="009A71E2">
        <w:rPr>
          <w:lang w:val="en-GB"/>
        </w:rPr>
        <w:t xml:space="preserve">he or she </w:t>
      </w:r>
      <w:r w:rsidR="00D50491" w:rsidRPr="009A71E2">
        <w:rPr>
          <w:lang w:val="en-GB"/>
        </w:rPr>
        <w:t xml:space="preserve">may appoint </w:t>
      </w:r>
      <w:r w:rsidR="00792D90" w:rsidRPr="009A71E2">
        <w:rPr>
          <w:lang w:val="en-GB"/>
        </w:rPr>
        <w:t xml:space="preserve">five </w:t>
      </w:r>
      <w:r w:rsidR="003C0F9F" w:rsidRPr="009A71E2">
        <w:rPr>
          <w:lang w:val="en-GB"/>
        </w:rPr>
        <w:t xml:space="preserve">suitably qualified and experienced persons in specified fields to constitute a Review Panel. </w:t>
      </w:r>
      <w:r w:rsidR="009434A1" w:rsidRPr="009A71E2">
        <w:rPr>
          <w:lang w:val="en-GB"/>
        </w:rPr>
        <w:t>As noted earlier, the Review Panel is appointed to, among</w:t>
      </w:r>
      <w:r w:rsidR="00792D90" w:rsidRPr="009A71E2">
        <w:rPr>
          <w:lang w:val="en-GB"/>
        </w:rPr>
        <w:t>st other</w:t>
      </w:r>
      <w:r w:rsidR="00BE3240" w:rsidRPr="009A71E2">
        <w:rPr>
          <w:lang w:val="en-GB"/>
        </w:rPr>
        <w:t xml:space="preserve"> thing</w:t>
      </w:r>
      <w:r w:rsidR="00792D90" w:rsidRPr="009A71E2">
        <w:rPr>
          <w:lang w:val="en-GB"/>
        </w:rPr>
        <w:t>s</w:t>
      </w:r>
      <w:r w:rsidR="009434A1" w:rsidRPr="009A71E2">
        <w:rPr>
          <w:lang w:val="en-GB"/>
        </w:rPr>
        <w:t xml:space="preserve">, adjudicate on applications for review of a decision or action taken by the Board or </w:t>
      </w:r>
      <w:r w:rsidR="00792D90" w:rsidRPr="009A71E2">
        <w:rPr>
          <w:lang w:val="en-GB"/>
        </w:rPr>
        <w:t xml:space="preserve">a </w:t>
      </w:r>
      <w:r w:rsidR="009434A1" w:rsidRPr="009A71E2">
        <w:rPr>
          <w:lang w:val="en-GB"/>
        </w:rPr>
        <w:t xml:space="preserve">public entity. </w:t>
      </w:r>
    </w:p>
    <w:p w14:paraId="00851A48" w14:textId="77777777" w:rsidR="007E511F" w:rsidRDefault="007E511F" w:rsidP="0068402A">
      <w:pPr>
        <w:pStyle w:val="ListParagraph"/>
        <w:spacing w:line="480" w:lineRule="auto"/>
        <w:ind w:left="0"/>
        <w:rPr>
          <w:lang w:val="en-GB"/>
        </w:rPr>
      </w:pPr>
    </w:p>
    <w:p w14:paraId="014B29E5" w14:textId="32C8E396" w:rsidR="007E511F" w:rsidRPr="009A71E2" w:rsidRDefault="009A71E2" w:rsidP="009A71E2">
      <w:pPr>
        <w:spacing w:line="480" w:lineRule="auto"/>
        <w:rPr>
          <w:lang w:val="en-GB"/>
        </w:rPr>
      </w:pPr>
      <w:r>
        <w:rPr>
          <w:lang w:val="en-GB"/>
        </w:rPr>
        <w:t>[31]</w:t>
      </w:r>
      <w:r>
        <w:rPr>
          <w:lang w:val="en-GB"/>
        </w:rPr>
        <w:tab/>
      </w:r>
      <w:r w:rsidR="009434A1" w:rsidRPr="009A71E2">
        <w:rPr>
          <w:lang w:val="en-GB"/>
        </w:rPr>
        <w:t xml:space="preserve">The Review Panel has </w:t>
      </w:r>
      <w:r w:rsidR="00914DD4" w:rsidRPr="009A71E2">
        <w:rPr>
          <w:lang w:val="en-GB"/>
        </w:rPr>
        <w:t>wide</w:t>
      </w:r>
      <w:r w:rsidR="009434A1" w:rsidRPr="009A71E2">
        <w:rPr>
          <w:lang w:val="en-GB"/>
        </w:rPr>
        <w:t xml:space="preserve"> power</w:t>
      </w:r>
      <w:r w:rsidR="00914DD4" w:rsidRPr="009A71E2">
        <w:rPr>
          <w:lang w:val="en-GB"/>
        </w:rPr>
        <w:t xml:space="preserve">s to deal with the review application. </w:t>
      </w:r>
      <w:r w:rsidR="00792D90" w:rsidRPr="009A71E2">
        <w:rPr>
          <w:lang w:val="en-GB"/>
        </w:rPr>
        <w:t>I</w:t>
      </w:r>
      <w:r w:rsidR="00914DD4" w:rsidRPr="009A71E2">
        <w:rPr>
          <w:lang w:val="en-GB"/>
        </w:rPr>
        <w:t xml:space="preserve">t may </w:t>
      </w:r>
      <w:r w:rsidR="009434A1" w:rsidRPr="009A71E2">
        <w:rPr>
          <w:lang w:val="en-GB"/>
        </w:rPr>
        <w:t>dismiss t</w:t>
      </w:r>
      <w:r w:rsidR="00792D90" w:rsidRPr="009A71E2">
        <w:rPr>
          <w:lang w:val="en-GB"/>
        </w:rPr>
        <w:t>he application</w:t>
      </w:r>
      <w:r w:rsidR="009434A1" w:rsidRPr="009A71E2">
        <w:rPr>
          <w:lang w:val="en-GB"/>
        </w:rPr>
        <w:t>;</w:t>
      </w:r>
      <w:r w:rsidR="009434A1">
        <w:rPr>
          <w:rStyle w:val="FootnoteReference"/>
          <w:lang w:val="en-GB"/>
        </w:rPr>
        <w:footnoteReference w:id="11"/>
      </w:r>
      <w:r w:rsidR="009434A1" w:rsidRPr="009A71E2">
        <w:rPr>
          <w:lang w:val="en-GB"/>
        </w:rPr>
        <w:t xml:space="preserve"> </w:t>
      </w:r>
      <w:r w:rsidR="00914DD4" w:rsidRPr="009A71E2">
        <w:rPr>
          <w:lang w:val="en-GB"/>
        </w:rPr>
        <w:t xml:space="preserve">it may </w:t>
      </w:r>
      <w:r w:rsidR="009434A1" w:rsidRPr="009A71E2">
        <w:rPr>
          <w:lang w:val="en-GB"/>
        </w:rPr>
        <w:t xml:space="preserve">direct the Board or public entity to act in compliance with the </w:t>
      </w:r>
      <w:r w:rsidR="002430CE" w:rsidRPr="009A71E2">
        <w:rPr>
          <w:lang w:val="en-GB"/>
        </w:rPr>
        <w:t>PPA</w:t>
      </w:r>
      <w:r w:rsidR="009434A1" w:rsidRPr="009A71E2">
        <w:rPr>
          <w:lang w:val="en-GB"/>
        </w:rPr>
        <w:t>;</w:t>
      </w:r>
      <w:r w:rsidR="00195EB7">
        <w:rPr>
          <w:rStyle w:val="FootnoteReference"/>
          <w:lang w:val="en-GB"/>
        </w:rPr>
        <w:footnoteReference w:id="12"/>
      </w:r>
      <w:r w:rsidR="009434A1" w:rsidRPr="009A71E2">
        <w:rPr>
          <w:lang w:val="en-GB"/>
        </w:rPr>
        <w:t xml:space="preserve"> </w:t>
      </w:r>
      <w:r w:rsidR="00914DD4" w:rsidRPr="009A71E2">
        <w:rPr>
          <w:lang w:val="en-GB"/>
        </w:rPr>
        <w:t xml:space="preserve">it may </w:t>
      </w:r>
      <w:r w:rsidR="009434A1" w:rsidRPr="009A71E2">
        <w:rPr>
          <w:lang w:val="en-GB"/>
        </w:rPr>
        <w:t xml:space="preserve">set aside </w:t>
      </w:r>
      <w:r w:rsidR="00914DD4" w:rsidRPr="009A71E2">
        <w:rPr>
          <w:lang w:val="en-GB"/>
        </w:rPr>
        <w:t xml:space="preserve">the </w:t>
      </w:r>
      <w:r w:rsidR="009434A1" w:rsidRPr="009A71E2">
        <w:rPr>
          <w:lang w:val="en-GB"/>
        </w:rPr>
        <w:t xml:space="preserve">decision or action </w:t>
      </w:r>
      <w:r w:rsidR="00914DD4" w:rsidRPr="009A71E2">
        <w:rPr>
          <w:lang w:val="en-GB"/>
        </w:rPr>
        <w:t xml:space="preserve">wholly or in part </w:t>
      </w:r>
      <w:r w:rsidR="009434A1" w:rsidRPr="009A71E2">
        <w:rPr>
          <w:lang w:val="en-GB"/>
        </w:rPr>
        <w:t xml:space="preserve">and refer the matter back </w:t>
      </w:r>
      <w:r w:rsidR="00195EB7" w:rsidRPr="009A71E2">
        <w:rPr>
          <w:lang w:val="en-GB"/>
        </w:rPr>
        <w:t>to the Board or entity for reconsideration with specific instructions;</w:t>
      </w:r>
      <w:r w:rsidR="00195EB7">
        <w:rPr>
          <w:rStyle w:val="FootnoteReference"/>
          <w:lang w:val="en-GB"/>
        </w:rPr>
        <w:footnoteReference w:id="13"/>
      </w:r>
      <w:r w:rsidR="00195EB7" w:rsidRPr="009A71E2">
        <w:rPr>
          <w:lang w:val="en-GB"/>
        </w:rPr>
        <w:t xml:space="preserve"> </w:t>
      </w:r>
      <w:r w:rsidR="00914DD4" w:rsidRPr="009A71E2">
        <w:rPr>
          <w:lang w:val="en-GB"/>
        </w:rPr>
        <w:t xml:space="preserve">it may instead </w:t>
      </w:r>
      <w:r w:rsidR="00195EB7" w:rsidRPr="009A71E2">
        <w:rPr>
          <w:lang w:val="en-GB"/>
        </w:rPr>
        <w:t xml:space="preserve">correct </w:t>
      </w:r>
      <w:r w:rsidR="00914DD4" w:rsidRPr="009A71E2">
        <w:rPr>
          <w:lang w:val="en-GB"/>
        </w:rPr>
        <w:t>the</w:t>
      </w:r>
      <w:r w:rsidR="00195EB7" w:rsidRPr="009A71E2">
        <w:rPr>
          <w:lang w:val="en-GB"/>
        </w:rPr>
        <w:t xml:space="preserve"> decision or action</w:t>
      </w:r>
      <w:r w:rsidR="003C0F9F" w:rsidRPr="009A71E2">
        <w:rPr>
          <w:lang w:val="en-GB"/>
        </w:rPr>
        <w:t xml:space="preserve"> that is not in compliance with the PPA</w:t>
      </w:r>
      <w:r w:rsidR="00195EB7" w:rsidRPr="009A71E2">
        <w:rPr>
          <w:lang w:val="en-GB"/>
        </w:rPr>
        <w:t>;</w:t>
      </w:r>
      <w:r w:rsidR="00195EB7">
        <w:rPr>
          <w:rStyle w:val="FootnoteReference"/>
          <w:lang w:val="en-GB"/>
        </w:rPr>
        <w:footnoteReference w:id="14"/>
      </w:r>
      <w:r w:rsidR="00195EB7" w:rsidRPr="009A71E2">
        <w:rPr>
          <w:lang w:val="en-GB"/>
        </w:rPr>
        <w:t xml:space="preserve"> </w:t>
      </w:r>
      <w:r w:rsidR="00914DD4" w:rsidRPr="009A71E2">
        <w:rPr>
          <w:lang w:val="en-GB"/>
        </w:rPr>
        <w:t xml:space="preserve">it may also </w:t>
      </w:r>
      <w:r w:rsidR="00195EB7" w:rsidRPr="009A71E2">
        <w:rPr>
          <w:lang w:val="en-GB"/>
        </w:rPr>
        <w:t>confirm such decision</w:t>
      </w:r>
      <w:r w:rsidR="00195EB7">
        <w:rPr>
          <w:rStyle w:val="FootnoteReference"/>
          <w:lang w:val="en-GB"/>
        </w:rPr>
        <w:footnoteReference w:id="15"/>
      </w:r>
      <w:r w:rsidR="00195EB7" w:rsidRPr="009A71E2">
        <w:rPr>
          <w:lang w:val="en-GB"/>
        </w:rPr>
        <w:t xml:space="preserve"> or order that the procurement proceedings be terminated and start</w:t>
      </w:r>
      <w:r w:rsidR="00914DD4" w:rsidRPr="009A71E2">
        <w:rPr>
          <w:lang w:val="en-GB"/>
        </w:rPr>
        <w:t>ed</w:t>
      </w:r>
      <w:r w:rsidR="00195EB7" w:rsidRPr="009A71E2">
        <w:rPr>
          <w:lang w:val="en-GB"/>
        </w:rPr>
        <w:t xml:space="preserve"> </w:t>
      </w:r>
      <w:r w:rsidR="00195EB7" w:rsidRPr="009A71E2">
        <w:rPr>
          <w:i/>
          <w:lang w:val="en-GB"/>
        </w:rPr>
        <w:t>de novo</w:t>
      </w:r>
      <w:r w:rsidR="00195EB7" w:rsidRPr="009A71E2">
        <w:rPr>
          <w:lang w:val="en-GB"/>
        </w:rPr>
        <w:t>.</w:t>
      </w:r>
      <w:r w:rsidR="00195EB7">
        <w:rPr>
          <w:rStyle w:val="FootnoteReference"/>
          <w:lang w:val="en-GB"/>
        </w:rPr>
        <w:footnoteReference w:id="16"/>
      </w:r>
      <w:r w:rsidR="006502B1" w:rsidRPr="009A71E2">
        <w:rPr>
          <w:lang w:val="en-GB"/>
        </w:rPr>
        <w:t xml:space="preserve"> </w:t>
      </w:r>
    </w:p>
    <w:p w14:paraId="3B92F81C" w14:textId="77777777" w:rsidR="007E511F" w:rsidRPr="007E511F" w:rsidRDefault="007E511F" w:rsidP="0068402A">
      <w:pPr>
        <w:pStyle w:val="ListParagraph"/>
        <w:spacing w:line="480" w:lineRule="auto"/>
        <w:rPr>
          <w:lang w:val="en-GB"/>
        </w:rPr>
      </w:pPr>
    </w:p>
    <w:p w14:paraId="68601E18" w14:textId="56BF17A3" w:rsidR="00792D90" w:rsidRPr="009A71E2" w:rsidRDefault="009A71E2" w:rsidP="009A71E2">
      <w:pPr>
        <w:spacing w:line="480" w:lineRule="auto"/>
        <w:rPr>
          <w:lang w:val="en-GB"/>
        </w:rPr>
      </w:pPr>
      <w:r>
        <w:rPr>
          <w:lang w:val="en-GB"/>
        </w:rPr>
        <w:t>[32]</w:t>
      </w:r>
      <w:r>
        <w:rPr>
          <w:lang w:val="en-GB"/>
        </w:rPr>
        <w:tab/>
      </w:r>
      <w:r w:rsidR="006502B1" w:rsidRPr="009A71E2">
        <w:rPr>
          <w:lang w:val="en-GB"/>
        </w:rPr>
        <w:t>Regulation 43(4) of the Public Procureme</w:t>
      </w:r>
      <w:r w:rsidR="007E1485" w:rsidRPr="009A71E2">
        <w:rPr>
          <w:lang w:val="en-GB"/>
        </w:rPr>
        <w:t>n</w:t>
      </w:r>
      <w:r w:rsidR="006502B1" w:rsidRPr="009A71E2">
        <w:rPr>
          <w:lang w:val="en-GB"/>
        </w:rPr>
        <w:t>t Regulations</w:t>
      </w:r>
      <w:r w:rsidR="007E1485" w:rsidRPr="009A71E2">
        <w:rPr>
          <w:lang w:val="en-GB"/>
        </w:rPr>
        <w:t xml:space="preserve"> empowers the Review Panel to request or allow the submission of additional statements by parties </w:t>
      </w:r>
      <w:r w:rsidR="007E1485" w:rsidRPr="009A71E2">
        <w:rPr>
          <w:lang w:val="en-GB"/>
        </w:rPr>
        <w:lastRenderedPageBreak/>
        <w:t xml:space="preserve">to a review application and non-parties </w:t>
      </w:r>
      <w:r w:rsidR="00BE3240" w:rsidRPr="009A71E2">
        <w:rPr>
          <w:lang w:val="en-GB"/>
        </w:rPr>
        <w:t xml:space="preserve">alike </w:t>
      </w:r>
      <w:r w:rsidR="004E7C7E" w:rsidRPr="009A71E2">
        <w:rPr>
          <w:lang w:val="en-GB"/>
        </w:rPr>
        <w:t>‘</w:t>
      </w:r>
      <w:r w:rsidR="007E1485" w:rsidRPr="009A71E2">
        <w:rPr>
          <w:lang w:val="en-GB"/>
        </w:rPr>
        <w:t>as may be necessary for the fair resolution of the review application</w:t>
      </w:r>
      <w:r w:rsidR="004E7C7E" w:rsidRPr="009A71E2">
        <w:rPr>
          <w:lang w:val="en-GB"/>
        </w:rPr>
        <w:t>’</w:t>
      </w:r>
      <w:r w:rsidR="00D007C3" w:rsidRPr="009A71E2">
        <w:rPr>
          <w:lang w:val="en-GB"/>
        </w:rPr>
        <w:t>.</w:t>
      </w:r>
      <w:r w:rsidR="007E1485" w:rsidRPr="009A71E2">
        <w:rPr>
          <w:lang w:val="en-GB"/>
        </w:rPr>
        <w:t xml:space="preserve"> Additionally, </w:t>
      </w:r>
      <w:r w:rsidR="00BE3240" w:rsidRPr="009A71E2">
        <w:rPr>
          <w:lang w:val="en-GB"/>
        </w:rPr>
        <w:t>sub-</w:t>
      </w:r>
      <w:r w:rsidR="007E1485" w:rsidRPr="009A71E2">
        <w:rPr>
          <w:lang w:val="en-GB"/>
        </w:rPr>
        <w:t xml:space="preserve">reg (1) read with (2) </w:t>
      </w:r>
      <w:r w:rsidR="00BE3240" w:rsidRPr="009A71E2">
        <w:rPr>
          <w:lang w:val="en-GB"/>
        </w:rPr>
        <w:t xml:space="preserve">of reg 43 </w:t>
      </w:r>
      <w:r w:rsidR="007E1485" w:rsidRPr="009A71E2">
        <w:rPr>
          <w:lang w:val="en-GB"/>
        </w:rPr>
        <w:t>authorises the Review Panel</w:t>
      </w:r>
      <w:r w:rsidR="008E38AB" w:rsidRPr="009A71E2">
        <w:rPr>
          <w:lang w:val="en-GB"/>
        </w:rPr>
        <w:t xml:space="preserve"> any time before the date of hearing of a review application </w:t>
      </w:r>
      <w:r w:rsidR="00BE3240" w:rsidRPr="009A71E2">
        <w:rPr>
          <w:lang w:val="en-GB"/>
        </w:rPr>
        <w:t xml:space="preserve">to </w:t>
      </w:r>
      <w:r w:rsidR="008E38AB" w:rsidRPr="009A71E2">
        <w:rPr>
          <w:lang w:val="en-GB"/>
        </w:rPr>
        <w:t xml:space="preserve">request any party to the review application to furnish the Review Panel with additional information, document or evidence </w:t>
      </w:r>
      <w:r w:rsidR="004E7C7E" w:rsidRPr="009A71E2">
        <w:rPr>
          <w:lang w:val="en-GB"/>
        </w:rPr>
        <w:t xml:space="preserve">relating </w:t>
      </w:r>
      <w:r w:rsidR="008E38AB" w:rsidRPr="009A71E2">
        <w:rPr>
          <w:lang w:val="en-GB"/>
        </w:rPr>
        <w:t xml:space="preserve">to the application. </w:t>
      </w:r>
      <w:r w:rsidR="007E1485" w:rsidRPr="009A71E2">
        <w:rPr>
          <w:lang w:val="en-GB"/>
        </w:rPr>
        <w:t xml:space="preserve">   </w:t>
      </w:r>
    </w:p>
    <w:p w14:paraId="1512DCCC" w14:textId="77777777" w:rsidR="00792D90" w:rsidRDefault="00792D90" w:rsidP="0068402A">
      <w:pPr>
        <w:spacing w:line="480" w:lineRule="auto"/>
        <w:rPr>
          <w:u w:val="single"/>
          <w:lang w:val="en-GB"/>
        </w:rPr>
      </w:pPr>
    </w:p>
    <w:p w14:paraId="06E721D9" w14:textId="00C8945D" w:rsidR="00792D90" w:rsidRPr="00792D90" w:rsidRDefault="00BE3240" w:rsidP="0068402A">
      <w:pPr>
        <w:spacing w:line="480" w:lineRule="auto"/>
        <w:rPr>
          <w:u w:val="single"/>
          <w:lang w:val="en-GB"/>
        </w:rPr>
      </w:pPr>
      <w:r>
        <w:rPr>
          <w:u w:val="single"/>
          <w:lang w:val="en-GB"/>
        </w:rPr>
        <w:t>The parties’</w:t>
      </w:r>
      <w:r w:rsidR="00F22751">
        <w:rPr>
          <w:u w:val="single"/>
          <w:lang w:val="en-GB"/>
        </w:rPr>
        <w:t xml:space="preserve"> </w:t>
      </w:r>
      <w:r w:rsidR="002E4584">
        <w:rPr>
          <w:u w:val="single"/>
          <w:lang w:val="en-GB"/>
        </w:rPr>
        <w:t>contention</w:t>
      </w:r>
      <w:r w:rsidR="008B6AFB">
        <w:rPr>
          <w:u w:val="single"/>
          <w:lang w:val="en-GB"/>
        </w:rPr>
        <w:t>s</w:t>
      </w:r>
      <w:r w:rsidR="009434A1" w:rsidRPr="00792D90">
        <w:rPr>
          <w:u w:val="single"/>
          <w:lang w:val="en-GB"/>
        </w:rPr>
        <w:t xml:space="preserve"> </w:t>
      </w:r>
    </w:p>
    <w:p w14:paraId="636BBB26" w14:textId="22C57322" w:rsidR="00260115" w:rsidRPr="009A71E2" w:rsidRDefault="009A71E2" w:rsidP="009A71E2">
      <w:pPr>
        <w:spacing w:line="480" w:lineRule="auto"/>
        <w:rPr>
          <w:lang w:val="en-GB"/>
        </w:rPr>
      </w:pPr>
      <w:r>
        <w:rPr>
          <w:lang w:val="en-GB"/>
        </w:rPr>
        <w:t>[33]</w:t>
      </w:r>
      <w:r>
        <w:rPr>
          <w:lang w:val="en-GB"/>
        </w:rPr>
        <w:tab/>
      </w:r>
      <w:r w:rsidR="00456D9E" w:rsidRPr="009A71E2">
        <w:rPr>
          <w:lang w:val="en-GB"/>
        </w:rPr>
        <w:t>The appellants</w:t>
      </w:r>
      <w:r w:rsidR="00E23616" w:rsidRPr="009A71E2">
        <w:rPr>
          <w:lang w:val="en-GB"/>
        </w:rPr>
        <w:t xml:space="preserve"> argue</w:t>
      </w:r>
      <w:r w:rsidR="002E4584" w:rsidRPr="009A71E2">
        <w:rPr>
          <w:lang w:val="en-GB"/>
        </w:rPr>
        <w:t>,</w:t>
      </w:r>
      <w:r w:rsidR="00E23616" w:rsidRPr="009A71E2">
        <w:rPr>
          <w:lang w:val="en-GB"/>
        </w:rPr>
        <w:t xml:space="preserve"> with reference to decided cases that once a decision or action is set aside on review, it ceases to exist. Therefore, </w:t>
      </w:r>
      <w:r w:rsidR="00215953" w:rsidRPr="009A71E2">
        <w:rPr>
          <w:lang w:val="en-GB"/>
        </w:rPr>
        <w:t xml:space="preserve">so the argument proceeded, </w:t>
      </w:r>
      <w:r w:rsidR="00E23616" w:rsidRPr="009A71E2">
        <w:rPr>
          <w:lang w:val="en-GB"/>
        </w:rPr>
        <w:t xml:space="preserve">the </w:t>
      </w:r>
      <w:r w:rsidR="00215953" w:rsidRPr="009A71E2">
        <w:rPr>
          <w:lang w:val="en-GB"/>
        </w:rPr>
        <w:t>c</w:t>
      </w:r>
      <w:r w:rsidR="00E23616" w:rsidRPr="009A71E2">
        <w:rPr>
          <w:lang w:val="en-GB"/>
        </w:rPr>
        <w:t xml:space="preserve">ourt a quo erred in upholding the respondent’s contentions to the contrary. It was contended </w:t>
      </w:r>
      <w:r w:rsidR="00215953" w:rsidRPr="009A71E2">
        <w:rPr>
          <w:lang w:val="en-GB"/>
        </w:rPr>
        <w:t xml:space="preserve">that </w:t>
      </w:r>
      <w:r w:rsidR="00E23616" w:rsidRPr="009A71E2">
        <w:rPr>
          <w:lang w:val="en-GB"/>
        </w:rPr>
        <w:t xml:space="preserve">where a matter under review is remitted to the administrative body for reconsideration, such body is at large to consider all relevant factors in coming to </w:t>
      </w:r>
      <w:r w:rsidR="00215953" w:rsidRPr="009A71E2">
        <w:rPr>
          <w:lang w:val="en-GB"/>
        </w:rPr>
        <w:t xml:space="preserve">a </w:t>
      </w:r>
      <w:r w:rsidR="00E23616" w:rsidRPr="009A71E2">
        <w:rPr>
          <w:lang w:val="en-GB"/>
        </w:rPr>
        <w:t>new decision</w:t>
      </w:r>
      <w:r w:rsidR="00215953" w:rsidRPr="009A71E2">
        <w:rPr>
          <w:lang w:val="en-GB"/>
        </w:rPr>
        <w:t>,</w:t>
      </w:r>
      <w:r w:rsidR="00E23616" w:rsidRPr="009A71E2">
        <w:rPr>
          <w:lang w:val="en-GB"/>
        </w:rPr>
        <w:t xml:space="preserve"> thereby </w:t>
      </w:r>
      <w:r w:rsidR="004955F7" w:rsidRPr="009A71E2">
        <w:rPr>
          <w:lang w:val="en-GB"/>
        </w:rPr>
        <w:t>entitling it</w:t>
      </w:r>
      <w:r w:rsidR="00E23616" w:rsidRPr="009A71E2">
        <w:rPr>
          <w:lang w:val="en-GB"/>
        </w:rPr>
        <w:t xml:space="preserve"> to the proverbial second bite </w:t>
      </w:r>
      <w:r w:rsidR="0096458E" w:rsidRPr="009A71E2">
        <w:rPr>
          <w:lang w:val="en-GB"/>
        </w:rPr>
        <w:t>at the cherry</w:t>
      </w:r>
      <w:r w:rsidR="00E23616" w:rsidRPr="009A71E2">
        <w:rPr>
          <w:lang w:val="en-GB"/>
        </w:rPr>
        <w:t>.</w:t>
      </w:r>
      <w:r w:rsidR="00835CA3" w:rsidRPr="009A71E2">
        <w:rPr>
          <w:lang w:val="en-GB"/>
        </w:rPr>
        <w:t xml:space="preserve"> Therefore, so </w:t>
      </w:r>
      <w:r w:rsidR="00215953" w:rsidRPr="009A71E2">
        <w:rPr>
          <w:lang w:val="en-GB"/>
        </w:rPr>
        <w:t>i</w:t>
      </w:r>
      <w:r w:rsidR="00835CA3" w:rsidRPr="009A71E2">
        <w:rPr>
          <w:lang w:val="en-GB"/>
        </w:rPr>
        <w:t>t</w:t>
      </w:r>
      <w:r w:rsidR="00215953" w:rsidRPr="009A71E2">
        <w:rPr>
          <w:lang w:val="en-GB"/>
        </w:rPr>
        <w:t xml:space="preserve"> was argued</w:t>
      </w:r>
      <w:r w:rsidR="00835CA3" w:rsidRPr="009A71E2">
        <w:rPr>
          <w:lang w:val="en-GB"/>
        </w:rPr>
        <w:t xml:space="preserve">, after the Board’s decision disqualifying the respondent was set aside, the Board </w:t>
      </w:r>
      <w:r w:rsidR="00215953" w:rsidRPr="009A71E2">
        <w:rPr>
          <w:lang w:val="en-GB"/>
        </w:rPr>
        <w:t xml:space="preserve">could </w:t>
      </w:r>
      <w:r w:rsidR="00835CA3" w:rsidRPr="009A71E2">
        <w:rPr>
          <w:lang w:val="en-GB"/>
        </w:rPr>
        <w:t xml:space="preserve">not </w:t>
      </w:r>
      <w:r w:rsidR="00215953" w:rsidRPr="009A71E2">
        <w:rPr>
          <w:lang w:val="en-GB"/>
        </w:rPr>
        <w:t xml:space="preserve">be </w:t>
      </w:r>
      <w:r w:rsidR="00835CA3" w:rsidRPr="009A71E2">
        <w:rPr>
          <w:lang w:val="en-GB"/>
        </w:rPr>
        <w:t xml:space="preserve">bound </w:t>
      </w:r>
      <w:r w:rsidR="00215953" w:rsidRPr="009A71E2">
        <w:rPr>
          <w:lang w:val="en-GB"/>
        </w:rPr>
        <w:t xml:space="preserve">by </w:t>
      </w:r>
      <w:r w:rsidR="00835CA3" w:rsidRPr="009A71E2">
        <w:rPr>
          <w:lang w:val="en-GB"/>
        </w:rPr>
        <w:t xml:space="preserve">the reason </w:t>
      </w:r>
      <w:r w:rsidR="00215953" w:rsidRPr="009A71E2">
        <w:rPr>
          <w:lang w:val="en-GB"/>
        </w:rPr>
        <w:t xml:space="preserve">it initially relied upon regarding </w:t>
      </w:r>
      <w:r w:rsidR="00835CA3" w:rsidRPr="009A71E2">
        <w:rPr>
          <w:lang w:val="en-GB"/>
        </w:rPr>
        <w:t xml:space="preserve">the </w:t>
      </w:r>
      <w:r w:rsidR="00215953" w:rsidRPr="009A71E2">
        <w:rPr>
          <w:lang w:val="en-GB"/>
        </w:rPr>
        <w:t xml:space="preserve">similarities of the </w:t>
      </w:r>
      <w:r w:rsidR="00835CA3" w:rsidRPr="009A71E2">
        <w:rPr>
          <w:lang w:val="en-GB"/>
        </w:rPr>
        <w:t>surname and address</w:t>
      </w:r>
      <w:r w:rsidR="00215953" w:rsidRPr="009A71E2">
        <w:rPr>
          <w:lang w:val="en-GB"/>
        </w:rPr>
        <w:t>es</w:t>
      </w:r>
      <w:r w:rsidR="00835CA3" w:rsidRPr="009A71E2">
        <w:rPr>
          <w:lang w:val="en-GB"/>
        </w:rPr>
        <w:t xml:space="preserve">. </w:t>
      </w:r>
    </w:p>
    <w:p w14:paraId="09052105" w14:textId="77777777" w:rsidR="002E4584" w:rsidRPr="002E4584" w:rsidRDefault="002E4584" w:rsidP="0068402A">
      <w:pPr>
        <w:spacing w:line="480" w:lineRule="auto"/>
        <w:ind w:left="360"/>
        <w:rPr>
          <w:lang w:val="en-GB"/>
        </w:rPr>
      </w:pPr>
    </w:p>
    <w:p w14:paraId="2E3B4616" w14:textId="2407AA5E" w:rsidR="00E23616" w:rsidRPr="009A71E2" w:rsidRDefault="009A71E2" w:rsidP="009A71E2">
      <w:pPr>
        <w:spacing w:line="480" w:lineRule="auto"/>
        <w:rPr>
          <w:lang w:val="en-GB"/>
        </w:rPr>
      </w:pPr>
      <w:r>
        <w:rPr>
          <w:lang w:val="en-GB"/>
        </w:rPr>
        <w:t>[34]</w:t>
      </w:r>
      <w:r>
        <w:rPr>
          <w:lang w:val="en-GB"/>
        </w:rPr>
        <w:tab/>
      </w:r>
      <w:r w:rsidR="00835CA3" w:rsidRPr="009A71E2">
        <w:rPr>
          <w:lang w:val="en-GB"/>
        </w:rPr>
        <w:t xml:space="preserve">As to </w:t>
      </w:r>
      <w:r w:rsidR="00215953" w:rsidRPr="009A71E2">
        <w:rPr>
          <w:lang w:val="en-GB"/>
        </w:rPr>
        <w:t>new</w:t>
      </w:r>
      <w:r w:rsidR="00835CA3" w:rsidRPr="009A71E2">
        <w:rPr>
          <w:lang w:val="en-GB"/>
        </w:rPr>
        <w:t xml:space="preserve"> matters which were </w:t>
      </w:r>
      <w:r w:rsidR="00215953" w:rsidRPr="009A71E2">
        <w:rPr>
          <w:lang w:val="en-GB"/>
        </w:rPr>
        <w:t xml:space="preserve">allegedly </w:t>
      </w:r>
      <w:r w:rsidR="00835CA3" w:rsidRPr="009A71E2">
        <w:rPr>
          <w:lang w:val="en-GB"/>
        </w:rPr>
        <w:t xml:space="preserve">not raised before the Review Panel, the appellants </w:t>
      </w:r>
      <w:r w:rsidR="001518F5" w:rsidRPr="009A71E2">
        <w:rPr>
          <w:lang w:val="en-GB"/>
        </w:rPr>
        <w:t xml:space="preserve">contend </w:t>
      </w:r>
      <w:r w:rsidR="00835CA3" w:rsidRPr="009A71E2">
        <w:rPr>
          <w:lang w:val="en-GB"/>
        </w:rPr>
        <w:t>that th</w:t>
      </w:r>
      <w:r w:rsidR="001518F5" w:rsidRPr="009A71E2">
        <w:rPr>
          <w:lang w:val="en-GB"/>
        </w:rPr>
        <w:t>os</w:t>
      </w:r>
      <w:r w:rsidR="00835CA3" w:rsidRPr="009A71E2">
        <w:rPr>
          <w:lang w:val="en-GB"/>
        </w:rPr>
        <w:t>e matter</w:t>
      </w:r>
      <w:r w:rsidR="00260115" w:rsidRPr="009A71E2">
        <w:rPr>
          <w:lang w:val="en-GB"/>
        </w:rPr>
        <w:t>s</w:t>
      </w:r>
      <w:r w:rsidR="00835CA3" w:rsidRPr="009A71E2">
        <w:rPr>
          <w:lang w:val="en-GB"/>
        </w:rPr>
        <w:t xml:space="preserve"> were not </w:t>
      </w:r>
      <w:r w:rsidR="002E4584" w:rsidRPr="009A71E2">
        <w:rPr>
          <w:lang w:val="en-GB"/>
        </w:rPr>
        <w:t>specified</w:t>
      </w:r>
      <w:r w:rsidR="00835CA3" w:rsidRPr="009A71E2">
        <w:rPr>
          <w:lang w:val="en-GB"/>
        </w:rPr>
        <w:t xml:space="preserve"> in the respondent’s papers, but </w:t>
      </w:r>
      <w:r w:rsidR="001518F5" w:rsidRPr="009A71E2">
        <w:rPr>
          <w:lang w:val="en-GB"/>
        </w:rPr>
        <w:t xml:space="preserve">argue </w:t>
      </w:r>
      <w:r w:rsidR="00835CA3" w:rsidRPr="009A71E2">
        <w:rPr>
          <w:lang w:val="en-GB"/>
        </w:rPr>
        <w:t xml:space="preserve">that if they </w:t>
      </w:r>
      <w:r w:rsidR="001518F5" w:rsidRPr="009A71E2">
        <w:rPr>
          <w:lang w:val="en-GB"/>
        </w:rPr>
        <w:t xml:space="preserve">relate </w:t>
      </w:r>
      <w:r w:rsidR="00835CA3" w:rsidRPr="009A71E2">
        <w:rPr>
          <w:lang w:val="en-GB"/>
        </w:rPr>
        <w:t>t</w:t>
      </w:r>
      <w:r w:rsidR="001518F5" w:rsidRPr="009A71E2">
        <w:rPr>
          <w:lang w:val="en-GB"/>
        </w:rPr>
        <w:t>o</w:t>
      </w:r>
      <w:r w:rsidR="00835CA3" w:rsidRPr="009A71E2">
        <w:rPr>
          <w:lang w:val="en-GB"/>
        </w:rPr>
        <w:t xml:space="preserve"> the alleged conflict of interest between the respondent and the other two entities, then any document or record, including bid submissions of all the</w:t>
      </w:r>
      <w:r w:rsidR="002E4584" w:rsidRPr="009A71E2">
        <w:rPr>
          <w:lang w:val="en-GB"/>
        </w:rPr>
        <w:t xml:space="preserve"> entities</w:t>
      </w:r>
      <w:r w:rsidR="008462B1" w:rsidRPr="009A71E2">
        <w:rPr>
          <w:lang w:val="en-GB"/>
        </w:rPr>
        <w:t>,</w:t>
      </w:r>
      <w:r w:rsidR="002E4584" w:rsidRPr="009A71E2">
        <w:rPr>
          <w:lang w:val="en-GB"/>
        </w:rPr>
        <w:t xml:space="preserve"> </w:t>
      </w:r>
      <w:r w:rsidR="00835CA3" w:rsidRPr="009A71E2">
        <w:rPr>
          <w:lang w:val="en-GB"/>
        </w:rPr>
        <w:t xml:space="preserve">would be relevant in the determination of the conflict of interest. </w:t>
      </w:r>
    </w:p>
    <w:p w14:paraId="1E9A2BC7" w14:textId="77777777" w:rsidR="00260115" w:rsidRPr="00260115" w:rsidRDefault="00260115" w:rsidP="0068402A">
      <w:pPr>
        <w:spacing w:line="480" w:lineRule="auto"/>
        <w:ind w:left="360"/>
        <w:rPr>
          <w:lang w:val="en-GB"/>
        </w:rPr>
      </w:pPr>
    </w:p>
    <w:p w14:paraId="2A222980" w14:textId="683E16B9" w:rsidR="00083472" w:rsidRPr="009A71E2" w:rsidRDefault="009A71E2" w:rsidP="009A71E2">
      <w:pPr>
        <w:spacing w:line="480" w:lineRule="auto"/>
        <w:rPr>
          <w:lang w:val="en-GB"/>
        </w:rPr>
      </w:pPr>
      <w:r>
        <w:rPr>
          <w:lang w:val="en-GB"/>
        </w:rPr>
        <w:lastRenderedPageBreak/>
        <w:t>[35]</w:t>
      </w:r>
      <w:r>
        <w:rPr>
          <w:lang w:val="en-GB"/>
        </w:rPr>
        <w:tab/>
      </w:r>
      <w:r w:rsidR="00656435" w:rsidRPr="009A71E2">
        <w:rPr>
          <w:lang w:val="en-GB"/>
        </w:rPr>
        <w:t>On behalf the respondent, it was submitted that the finding by the Review Panel o</w:t>
      </w:r>
      <w:r w:rsidR="00A32B3A" w:rsidRPr="009A71E2">
        <w:rPr>
          <w:lang w:val="en-GB"/>
        </w:rPr>
        <w:t>f a possible conflict of interest based o</w:t>
      </w:r>
      <w:r w:rsidR="00656435" w:rsidRPr="009A71E2">
        <w:rPr>
          <w:lang w:val="en-GB"/>
        </w:rPr>
        <w:t>n</w:t>
      </w:r>
      <w:r w:rsidR="00A32B3A" w:rsidRPr="009A71E2">
        <w:rPr>
          <w:lang w:val="en-GB"/>
        </w:rPr>
        <w:t xml:space="preserve"> laboratory reports, the stamps and the lease agreement w</w:t>
      </w:r>
      <w:r w:rsidR="00271D07" w:rsidRPr="009A71E2">
        <w:rPr>
          <w:lang w:val="en-GB"/>
        </w:rPr>
        <w:t>as</w:t>
      </w:r>
      <w:r w:rsidR="00A32B3A" w:rsidRPr="009A71E2">
        <w:rPr>
          <w:lang w:val="en-GB"/>
        </w:rPr>
        <w:t xml:space="preserve"> correctly set aside by the High Court</w:t>
      </w:r>
      <w:r w:rsidR="00793F5A" w:rsidRPr="009A71E2">
        <w:rPr>
          <w:lang w:val="en-GB"/>
        </w:rPr>
        <w:t>. It was argued that</w:t>
      </w:r>
      <w:r w:rsidR="00A32B3A" w:rsidRPr="009A71E2">
        <w:rPr>
          <w:lang w:val="en-GB"/>
        </w:rPr>
        <w:t xml:space="preserve"> such finding w</w:t>
      </w:r>
      <w:r w:rsidR="00271D07" w:rsidRPr="009A71E2">
        <w:rPr>
          <w:lang w:val="en-GB"/>
        </w:rPr>
        <w:t>as</w:t>
      </w:r>
      <w:r w:rsidR="00A32B3A" w:rsidRPr="009A71E2">
        <w:rPr>
          <w:lang w:val="en-GB"/>
        </w:rPr>
        <w:t xml:space="preserve"> inconsistent </w:t>
      </w:r>
      <w:r w:rsidR="00FD6BCC" w:rsidRPr="009A71E2">
        <w:rPr>
          <w:lang w:val="en-GB"/>
        </w:rPr>
        <w:t xml:space="preserve">not only </w:t>
      </w:r>
      <w:r w:rsidR="00A32B3A" w:rsidRPr="009A71E2">
        <w:rPr>
          <w:lang w:val="en-GB"/>
        </w:rPr>
        <w:t>with the remedy sought by the respondent</w:t>
      </w:r>
      <w:r w:rsidR="00793F5A" w:rsidRPr="009A71E2">
        <w:rPr>
          <w:lang w:val="en-GB"/>
        </w:rPr>
        <w:t>,</w:t>
      </w:r>
      <w:r w:rsidR="00FD6BCC" w:rsidRPr="009A71E2">
        <w:rPr>
          <w:lang w:val="en-GB"/>
        </w:rPr>
        <w:t xml:space="preserve"> but also with the scheme of the PPA and the principle that adm</w:t>
      </w:r>
      <w:r w:rsidR="0032413D" w:rsidRPr="009A71E2">
        <w:rPr>
          <w:lang w:val="en-GB"/>
        </w:rPr>
        <w:t>i</w:t>
      </w:r>
      <w:r w:rsidR="00FD6BCC" w:rsidRPr="009A71E2">
        <w:rPr>
          <w:lang w:val="en-GB"/>
        </w:rPr>
        <w:t>n</w:t>
      </w:r>
      <w:r w:rsidR="004955F7" w:rsidRPr="009A71E2">
        <w:rPr>
          <w:lang w:val="en-GB"/>
        </w:rPr>
        <w:t>i</w:t>
      </w:r>
      <w:r w:rsidR="00FD6BCC" w:rsidRPr="009A71E2">
        <w:rPr>
          <w:lang w:val="en-GB"/>
        </w:rPr>
        <w:t xml:space="preserve">strative bodies </w:t>
      </w:r>
      <w:r w:rsidR="006717D8" w:rsidRPr="009A71E2">
        <w:rPr>
          <w:lang w:val="en-GB"/>
        </w:rPr>
        <w:t>are</w:t>
      </w:r>
      <w:r w:rsidR="00FD6BCC" w:rsidRPr="009A71E2">
        <w:rPr>
          <w:lang w:val="en-GB"/>
        </w:rPr>
        <w:t xml:space="preserve"> bound by the reasons initially given to justify their decisions</w:t>
      </w:r>
      <w:r w:rsidR="00A32B3A" w:rsidRPr="009A71E2">
        <w:rPr>
          <w:lang w:val="en-GB"/>
        </w:rPr>
        <w:t xml:space="preserve">. </w:t>
      </w:r>
    </w:p>
    <w:p w14:paraId="17803CC2" w14:textId="77777777" w:rsidR="00083472" w:rsidRPr="00083472" w:rsidRDefault="00083472" w:rsidP="0068402A">
      <w:pPr>
        <w:spacing w:line="480" w:lineRule="auto"/>
        <w:ind w:left="360"/>
        <w:rPr>
          <w:lang w:val="en-GB"/>
        </w:rPr>
      </w:pPr>
    </w:p>
    <w:p w14:paraId="4BE78EDF" w14:textId="238F6742" w:rsidR="0032413D" w:rsidRPr="009A71E2" w:rsidRDefault="009A71E2" w:rsidP="009A71E2">
      <w:pPr>
        <w:spacing w:line="480" w:lineRule="auto"/>
        <w:rPr>
          <w:lang w:val="en-GB"/>
        </w:rPr>
      </w:pPr>
      <w:r>
        <w:rPr>
          <w:lang w:val="en-GB"/>
        </w:rPr>
        <w:t>[36]</w:t>
      </w:r>
      <w:r>
        <w:rPr>
          <w:lang w:val="en-GB"/>
        </w:rPr>
        <w:tab/>
      </w:r>
      <w:r w:rsidR="00BE3240" w:rsidRPr="009A71E2">
        <w:rPr>
          <w:lang w:val="en-GB"/>
        </w:rPr>
        <w:t xml:space="preserve">As </w:t>
      </w:r>
      <w:r w:rsidR="00FD6BCC" w:rsidRPr="009A71E2">
        <w:rPr>
          <w:lang w:val="en-GB"/>
        </w:rPr>
        <w:t xml:space="preserve">to the scheme of the PPA, it was </w:t>
      </w:r>
      <w:r w:rsidR="00793F5A" w:rsidRPr="009A71E2">
        <w:rPr>
          <w:lang w:val="en-GB"/>
        </w:rPr>
        <w:t>contend</w:t>
      </w:r>
      <w:r w:rsidR="00FD6BCC" w:rsidRPr="009A71E2">
        <w:rPr>
          <w:lang w:val="en-GB"/>
        </w:rPr>
        <w:t xml:space="preserve">ed that the Review Panel </w:t>
      </w:r>
      <w:r w:rsidR="0032413D" w:rsidRPr="009A71E2">
        <w:rPr>
          <w:lang w:val="en-GB"/>
        </w:rPr>
        <w:t>wa</w:t>
      </w:r>
      <w:r w:rsidR="00FD6BCC" w:rsidRPr="009A71E2">
        <w:rPr>
          <w:lang w:val="en-GB"/>
        </w:rPr>
        <w:t xml:space="preserve">s appointed by the Minister considering the allegations made in the review before that body. </w:t>
      </w:r>
      <w:r w:rsidR="00793F5A" w:rsidRPr="009A71E2">
        <w:rPr>
          <w:lang w:val="en-GB"/>
        </w:rPr>
        <w:t xml:space="preserve">Given that position, so the argument </w:t>
      </w:r>
      <w:r w:rsidR="001438CC" w:rsidRPr="009A71E2">
        <w:rPr>
          <w:lang w:val="en-GB"/>
        </w:rPr>
        <w:t>developed</w:t>
      </w:r>
      <w:r w:rsidR="00793F5A" w:rsidRPr="009A71E2">
        <w:rPr>
          <w:lang w:val="en-GB"/>
        </w:rPr>
        <w:t xml:space="preserve">, </w:t>
      </w:r>
      <w:r w:rsidR="001438CC" w:rsidRPr="009A71E2">
        <w:rPr>
          <w:lang w:val="en-GB"/>
        </w:rPr>
        <w:t xml:space="preserve">the </w:t>
      </w:r>
      <w:r w:rsidR="00F23138" w:rsidRPr="009A71E2">
        <w:rPr>
          <w:lang w:val="en-GB"/>
        </w:rPr>
        <w:t xml:space="preserve">decision </w:t>
      </w:r>
      <w:r w:rsidR="001438CC" w:rsidRPr="009A71E2">
        <w:rPr>
          <w:lang w:val="en-GB"/>
        </w:rPr>
        <w:t>by the Review Panel</w:t>
      </w:r>
      <w:r w:rsidR="00271D07" w:rsidRPr="009A71E2">
        <w:rPr>
          <w:lang w:val="en-GB"/>
        </w:rPr>
        <w:t xml:space="preserve"> </w:t>
      </w:r>
      <w:r w:rsidR="00083472" w:rsidRPr="009A71E2">
        <w:rPr>
          <w:lang w:val="en-GB"/>
        </w:rPr>
        <w:t xml:space="preserve">remitting the matter to the Board </w:t>
      </w:r>
      <w:r w:rsidR="00F23138" w:rsidRPr="009A71E2">
        <w:rPr>
          <w:lang w:val="en-GB"/>
        </w:rPr>
        <w:t xml:space="preserve">with the direction </w:t>
      </w:r>
      <w:r w:rsidR="00083472" w:rsidRPr="009A71E2">
        <w:rPr>
          <w:lang w:val="en-GB"/>
        </w:rPr>
        <w:t>for the Board to ‘determine holistically if there is a conflict of interest’ is inconsistent with the scheme of the PPA and the principle that a public body is bound by the reasons given.</w:t>
      </w:r>
      <w:r w:rsidR="00F23138" w:rsidRPr="009A71E2">
        <w:rPr>
          <w:lang w:val="en-GB"/>
        </w:rPr>
        <w:t xml:space="preserve"> </w:t>
      </w:r>
    </w:p>
    <w:p w14:paraId="0D60CD84" w14:textId="77777777" w:rsidR="0032413D" w:rsidRPr="0032413D" w:rsidRDefault="0032413D" w:rsidP="0068402A">
      <w:pPr>
        <w:pStyle w:val="ListParagraph"/>
        <w:spacing w:line="480" w:lineRule="auto"/>
        <w:rPr>
          <w:lang w:val="en-GB"/>
        </w:rPr>
      </w:pPr>
    </w:p>
    <w:p w14:paraId="32D64CB8" w14:textId="3B8EF723" w:rsidR="004D5CE5" w:rsidRPr="009A71E2" w:rsidRDefault="009A71E2" w:rsidP="009A71E2">
      <w:pPr>
        <w:spacing w:line="480" w:lineRule="auto"/>
        <w:rPr>
          <w:lang w:val="en-GB"/>
        </w:rPr>
      </w:pPr>
      <w:r>
        <w:rPr>
          <w:lang w:val="en-GB"/>
        </w:rPr>
        <w:t>[37]</w:t>
      </w:r>
      <w:r>
        <w:rPr>
          <w:lang w:val="en-GB"/>
        </w:rPr>
        <w:tab/>
      </w:r>
      <w:r w:rsidR="00F23138" w:rsidRPr="009A71E2">
        <w:rPr>
          <w:lang w:val="en-GB"/>
        </w:rPr>
        <w:t xml:space="preserve">On the issue of the alleged conflict of interest, the respondent argued that the High Court was correct in determining </w:t>
      </w:r>
      <w:r w:rsidR="0023175A" w:rsidRPr="009A71E2">
        <w:rPr>
          <w:lang w:val="en-GB"/>
        </w:rPr>
        <w:t xml:space="preserve">that issue </w:t>
      </w:r>
      <w:r w:rsidR="00F23138" w:rsidRPr="009A71E2">
        <w:rPr>
          <w:lang w:val="en-GB"/>
        </w:rPr>
        <w:t xml:space="preserve">only on the basis of the ground pleaded </w:t>
      </w:r>
      <w:r w:rsidR="0023175A" w:rsidRPr="009A71E2">
        <w:rPr>
          <w:lang w:val="en-GB"/>
        </w:rPr>
        <w:t>by Stream Two before the Review Panel</w:t>
      </w:r>
      <w:r w:rsidR="00FB183E" w:rsidRPr="009A71E2">
        <w:rPr>
          <w:lang w:val="en-GB"/>
        </w:rPr>
        <w:t xml:space="preserve"> in light of the reasons furnished by the Board.</w:t>
      </w:r>
    </w:p>
    <w:p w14:paraId="6249F067" w14:textId="77777777" w:rsidR="004D5CE5" w:rsidRPr="004D5CE5" w:rsidRDefault="004D5CE5" w:rsidP="0068402A">
      <w:pPr>
        <w:pStyle w:val="ListParagraph"/>
        <w:spacing w:line="480" w:lineRule="auto"/>
        <w:rPr>
          <w:lang w:val="en-GB"/>
        </w:rPr>
      </w:pPr>
    </w:p>
    <w:p w14:paraId="6173E141" w14:textId="322954D9" w:rsidR="0032413D" w:rsidRPr="009A71E2" w:rsidRDefault="009A71E2" w:rsidP="009A71E2">
      <w:pPr>
        <w:spacing w:line="480" w:lineRule="auto"/>
        <w:rPr>
          <w:lang w:val="en-GB"/>
        </w:rPr>
      </w:pPr>
      <w:r>
        <w:rPr>
          <w:lang w:val="en-GB"/>
        </w:rPr>
        <w:t>[38]</w:t>
      </w:r>
      <w:r>
        <w:rPr>
          <w:lang w:val="en-GB"/>
        </w:rPr>
        <w:tab/>
      </w:r>
      <w:r w:rsidR="006C7D35" w:rsidRPr="009A71E2">
        <w:rPr>
          <w:lang w:val="en-GB"/>
        </w:rPr>
        <w:t>It</w:t>
      </w:r>
      <w:r w:rsidR="004D5CE5" w:rsidRPr="009A71E2">
        <w:rPr>
          <w:lang w:val="en-GB"/>
        </w:rPr>
        <w:t xml:space="preserve"> was argued that the court a quo did not misdirect itself </w:t>
      </w:r>
      <w:r w:rsidR="0032413D" w:rsidRPr="009A71E2">
        <w:rPr>
          <w:lang w:val="en-GB"/>
        </w:rPr>
        <w:t>in</w:t>
      </w:r>
      <w:r w:rsidR="004D5CE5" w:rsidRPr="009A71E2">
        <w:rPr>
          <w:lang w:val="en-GB"/>
        </w:rPr>
        <w:t xml:space="preserve"> holding that the appellants were bound by the reasons g</w:t>
      </w:r>
      <w:r w:rsidR="0032413D" w:rsidRPr="009A71E2">
        <w:rPr>
          <w:lang w:val="en-GB"/>
        </w:rPr>
        <w:t>i</w:t>
      </w:r>
      <w:r w:rsidR="004D5CE5" w:rsidRPr="009A71E2">
        <w:rPr>
          <w:lang w:val="en-GB"/>
        </w:rPr>
        <w:t>ve</w:t>
      </w:r>
      <w:r w:rsidR="0032413D" w:rsidRPr="009A71E2">
        <w:rPr>
          <w:lang w:val="en-GB"/>
        </w:rPr>
        <w:t>n</w:t>
      </w:r>
      <w:r w:rsidR="004D5CE5" w:rsidRPr="009A71E2">
        <w:rPr>
          <w:lang w:val="en-GB"/>
        </w:rPr>
        <w:t xml:space="preserve"> for Stream Two’s disqualification. This was contended to be so, because Stream Two’s review application was informed by the reasons advanced by the Board in the executive</w:t>
      </w:r>
      <w:r w:rsidR="00695B09" w:rsidRPr="009A71E2">
        <w:rPr>
          <w:lang w:val="en-GB"/>
        </w:rPr>
        <w:t xml:space="preserve"> summary of the bid evaluation report. The ‘additional reasons</w:t>
      </w:r>
      <w:r w:rsidR="0032413D" w:rsidRPr="009A71E2">
        <w:rPr>
          <w:lang w:val="en-GB"/>
        </w:rPr>
        <w:t>’</w:t>
      </w:r>
      <w:r w:rsidR="00695B09" w:rsidRPr="009A71E2">
        <w:rPr>
          <w:lang w:val="en-GB"/>
        </w:rPr>
        <w:t xml:space="preserve"> given by the Board in its answering affidavit before the Review Panel were not </w:t>
      </w:r>
      <w:r w:rsidR="004E7C7E" w:rsidRPr="009A71E2">
        <w:rPr>
          <w:lang w:val="en-GB"/>
        </w:rPr>
        <w:t xml:space="preserve">embodied </w:t>
      </w:r>
      <w:r w:rsidR="00695B09" w:rsidRPr="009A71E2">
        <w:rPr>
          <w:lang w:val="en-GB"/>
        </w:rPr>
        <w:t xml:space="preserve">in the evaluation report and were not </w:t>
      </w:r>
      <w:r w:rsidR="00695B09" w:rsidRPr="009A71E2">
        <w:rPr>
          <w:lang w:val="en-GB"/>
        </w:rPr>
        <w:lastRenderedPageBreak/>
        <w:t>considered by the Minister when appointing the Review Panel pursuant to s</w:t>
      </w:r>
      <w:r w:rsidR="0032413D" w:rsidRPr="009A71E2">
        <w:rPr>
          <w:lang w:val="en-GB"/>
        </w:rPr>
        <w:t>ub</w:t>
      </w:r>
      <w:r w:rsidR="00695B09" w:rsidRPr="009A71E2">
        <w:rPr>
          <w:lang w:val="en-GB"/>
        </w:rPr>
        <w:t>s</w:t>
      </w:r>
      <w:r w:rsidR="0032413D" w:rsidRPr="009A71E2">
        <w:rPr>
          <w:lang w:val="en-GB"/>
        </w:rPr>
        <w:t>ec</w:t>
      </w:r>
      <w:r w:rsidR="00695B09" w:rsidRPr="009A71E2">
        <w:rPr>
          <w:lang w:val="en-GB"/>
        </w:rPr>
        <w:t xml:space="preserve"> (1) read with s</w:t>
      </w:r>
      <w:r w:rsidR="0032413D" w:rsidRPr="009A71E2">
        <w:rPr>
          <w:lang w:val="en-GB"/>
        </w:rPr>
        <w:t>ub</w:t>
      </w:r>
      <w:r w:rsidR="00695B09" w:rsidRPr="009A71E2">
        <w:rPr>
          <w:lang w:val="en-GB"/>
        </w:rPr>
        <w:t>s</w:t>
      </w:r>
      <w:r w:rsidR="0032413D" w:rsidRPr="009A71E2">
        <w:rPr>
          <w:lang w:val="en-GB"/>
        </w:rPr>
        <w:t>ec</w:t>
      </w:r>
      <w:r w:rsidR="00695B09" w:rsidRPr="009A71E2">
        <w:rPr>
          <w:lang w:val="en-GB"/>
        </w:rPr>
        <w:t xml:space="preserve"> (3) of s 58. </w:t>
      </w:r>
    </w:p>
    <w:p w14:paraId="35955667" w14:textId="77777777" w:rsidR="0032413D" w:rsidRPr="0032413D" w:rsidRDefault="0032413D" w:rsidP="0068402A">
      <w:pPr>
        <w:pStyle w:val="ListParagraph"/>
        <w:spacing w:line="480" w:lineRule="auto"/>
        <w:rPr>
          <w:lang w:val="en-GB"/>
        </w:rPr>
      </w:pPr>
    </w:p>
    <w:p w14:paraId="6620E115" w14:textId="019A50C2" w:rsidR="008C5A9F" w:rsidRPr="009A71E2" w:rsidRDefault="009A71E2" w:rsidP="009A71E2">
      <w:pPr>
        <w:spacing w:line="480" w:lineRule="auto"/>
        <w:rPr>
          <w:lang w:val="en-GB"/>
        </w:rPr>
      </w:pPr>
      <w:r>
        <w:rPr>
          <w:lang w:val="en-GB"/>
        </w:rPr>
        <w:t>[39]</w:t>
      </w:r>
      <w:r>
        <w:rPr>
          <w:lang w:val="en-GB"/>
        </w:rPr>
        <w:tab/>
      </w:r>
      <w:r w:rsidR="006C7D35" w:rsidRPr="009A71E2">
        <w:rPr>
          <w:lang w:val="en-GB"/>
        </w:rPr>
        <w:t>Finally, i</w:t>
      </w:r>
      <w:r w:rsidR="00695B09" w:rsidRPr="009A71E2">
        <w:rPr>
          <w:lang w:val="en-GB"/>
        </w:rPr>
        <w:t xml:space="preserve">t was argued that the court a quo was correct to direct the Board to evaluate Stream Two’s bid through all the stages, because it was bound to do so </w:t>
      </w:r>
      <w:r w:rsidR="005B7EC3" w:rsidRPr="009A71E2">
        <w:rPr>
          <w:lang w:val="en-GB"/>
        </w:rPr>
        <w:t>once the Review Panel’s decision was set aside.</w:t>
      </w:r>
      <w:r w:rsidR="00695B09" w:rsidRPr="009A71E2">
        <w:rPr>
          <w:lang w:val="en-GB"/>
        </w:rPr>
        <w:t xml:space="preserve"> </w:t>
      </w:r>
      <w:r w:rsidR="0096458E" w:rsidRPr="009A71E2">
        <w:rPr>
          <w:lang w:val="en-GB"/>
        </w:rPr>
        <w:t xml:space="preserve">In oral arguments, the respondent’s legal practitioner </w:t>
      </w:r>
      <w:r w:rsidR="008C5A9F" w:rsidRPr="009A71E2">
        <w:rPr>
          <w:lang w:val="en-GB"/>
        </w:rPr>
        <w:t xml:space="preserve">submitted that </w:t>
      </w:r>
      <w:r w:rsidR="0096458E" w:rsidRPr="009A71E2">
        <w:rPr>
          <w:lang w:val="en-GB"/>
        </w:rPr>
        <w:t>the decision by the Review Panel to refer the matter back to the Board</w:t>
      </w:r>
      <w:r w:rsidR="00835CA3" w:rsidRPr="009A71E2">
        <w:rPr>
          <w:lang w:val="en-GB"/>
        </w:rPr>
        <w:t xml:space="preserve">, </w:t>
      </w:r>
      <w:r w:rsidR="008C5A9F" w:rsidRPr="009A71E2">
        <w:rPr>
          <w:lang w:val="en-GB"/>
        </w:rPr>
        <w:t>wa</w:t>
      </w:r>
      <w:r w:rsidR="00835CA3" w:rsidRPr="009A71E2">
        <w:rPr>
          <w:lang w:val="en-GB"/>
        </w:rPr>
        <w:t>s likely to be circular</w:t>
      </w:r>
      <w:r w:rsidR="008C5A9F" w:rsidRPr="009A71E2">
        <w:rPr>
          <w:lang w:val="en-GB"/>
        </w:rPr>
        <w:t xml:space="preserve"> in that it would</w:t>
      </w:r>
      <w:r w:rsidR="00835CA3" w:rsidRPr="009A71E2">
        <w:rPr>
          <w:lang w:val="en-GB"/>
        </w:rPr>
        <w:t xml:space="preserve"> </w:t>
      </w:r>
      <w:r w:rsidR="0032413D" w:rsidRPr="009A71E2">
        <w:rPr>
          <w:lang w:val="en-GB"/>
        </w:rPr>
        <w:t xml:space="preserve">further </w:t>
      </w:r>
      <w:r w:rsidR="00835CA3" w:rsidRPr="009A71E2">
        <w:rPr>
          <w:lang w:val="en-GB"/>
        </w:rPr>
        <w:t xml:space="preserve">delay the procurement process. </w:t>
      </w:r>
    </w:p>
    <w:p w14:paraId="1667DE6A" w14:textId="77777777" w:rsidR="008C5A9F" w:rsidRPr="00B002CB" w:rsidRDefault="008C5A9F" w:rsidP="0068402A">
      <w:pPr>
        <w:spacing w:line="480" w:lineRule="auto"/>
        <w:rPr>
          <w:u w:val="single"/>
          <w:lang w:val="en-GB"/>
        </w:rPr>
      </w:pPr>
    </w:p>
    <w:p w14:paraId="5CBD0E9F" w14:textId="7B25F601" w:rsidR="002A7F4D" w:rsidRPr="008C5A9F" w:rsidRDefault="008C5A9F" w:rsidP="0068402A">
      <w:pPr>
        <w:pStyle w:val="ListParagraph"/>
        <w:spacing w:line="480" w:lineRule="auto"/>
        <w:ind w:left="0"/>
        <w:rPr>
          <w:lang w:val="en-GB"/>
        </w:rPr>
      </w:pPr>
      <w:r w:rsidRPr="008C5A9F">
        <w:rPr>
          <w:u w:val="single"/>
          <w:lang w:val="en-GB"/>
        </w:rPr>
        <w:t>Evaluation</w:t>
      </w:r>
    </w:p>
    <w:p w14:paraId="612CC036" w14:textId="7A1582E5" w:rsidR="00E3533D" w:rsidRPr="009A71E2" w:rsidRDefault="009A71E2" w:rsidP="009A71E2">
      <w:pPr>
        <w:spacing w:line="480" w:lineRule="auto"/>
        <w:rPr>
          <w:lang w:val="en-GB"/>
        </w:rPr>
      </w:pPr>
      <w:r>
        <w:rPr>
          <w:lang w:val="en-GB"/>
        </w:rPr>
        <w:t>[40]</w:t>
      </w:r>
      <w:r>
        <w:rPr>
          <w:lang w:val="en-GB"/>
        </w:rPr>
        <w:tab/>
      </w:r>
      <w:r w:rsidR="008C5A9F" w:rsidRPr="009A71E2">
        <w:rPr>
          <w:lang w:val="en-GB"/>
        </w:rPr>
        <w:t xml:space="preserve">It is evident from the pleadings that </w:t>
      </w:r>
      <w:r w:rsidR="00000C99" w:rsidRPr="009A71E2">
        <w:rPr>
          <w:lang w:val="en-GB"/>
        </w:rPr>
        <w:t xml:space="preserve">at </w:t>
      </w:r>
      <w:r w:rsidR="00FB1EC7" w:rsidRPr="009A71E2">
        <w:rPr>
          <w:lang w:val="en-GB"/>
        </w:rPr>
        <w:t xml:space="preserve">the </w:t>
      </w:r>
      <w:r w:rsidR="00000C99" w:rsidRPr="009A71E2">
        <w:rPr>
          <w:lang w:val="en-GB"/>
        </w:rPr>
        <w:t>core</w:t>
      </w:r>
      <w:r w:rsidR="00E365CF" w:rsidRPr="009A71E2">
        <w:rPr>
          <w:lang w:val="en-GB"/>
        </w:rPr>
        <w:t xml:space="preserve"> of the respondent’s complaint </w:t>
      </w:r>
      <w:r w:rsidR="008C5A9F" w:rsidRPr="009A71E2">
        <w:rPr>
          <w:lang w:val="en-GB"/>
        </w:rPr>
        <w:t xml:space="preserve">before the Review Panel was the Board’s decision to disqualify </w:t>
      </w:r>
      <w:r w:rsidR="00E365CF" w:rsidRPr="009A71E2">
        <w:rPr>
          <w:lang w:val="en-GB"/>
        </w:rPr>
        <w:t>i</w:t>
      </w:r>
      <w:r w:rsidR="008C5A9F" w:rsidRPr="009A71E2">
        <w:rPr>
          <w:lang w:val="en-GB"/>
        </w:rPr>
        <w:t>t</w:t>
      </w:r>
      <w:r w:rsidR="00E365CF" w:rsidRPr="009A71E2">
        <w:rPr>
          <w:lang w:val="en-GB"/>
        </w:rPr>
        <w:t>s</w:t>
      </w:r>
      <w:r w:rsidR="008C5A9F" w:rsidRPr="009A71E2">
        <w:rPr>
          <w:lang w:val="en-GB"/>
        </w:rPr>
        <w:t xml:space="preserve"> bid on the </w:t>
      </w:r>
      <w:r w:rsidR="00E365CF" w:rsidRPr="009A71E2">
        <w:rPr>
          <w:lang w:val="en-GB"/>
        </w:rPr>
        <w:t xml:space="preserve">basis </w:t>
      </w:r>
      <w:r w:rsidR="008C5A9F" w:rsidRPr="009A71E2">
        <w:rPr>
          <w:lang w:val="en-GB"/>
        </w:rPr>
        <w:t xml:space="preserve">of conflict of interest. </w:t>
      </w:r>
      <w:r w:rsidR="004122B8" w:rsidRPr="009A71E2">
        <w:rPr>
          <w:lang w:val="en-GB"/>
        </w:rPr>
        <w:t xml:space="preserve">The respondent did not </w:t>
      </w:r>
      <w:r w:rsidR="0014744E" w:rsidRPr="009A71E2">
        <w:rPr>
          <w:lang w:val="en-GB"/>
        </w:rPr>
        <w:t xml:space="preserve">appeal against </w:t>
      </w:r>
      <w:r w:rsidR="00B877FD" w:rsidRPr="009A71E2">
        <w:rPr>
          <w:lang w:val="en-GB"/>
        </w:rPr>
        <w:t>the Review Panel’s decision setting aside the Board’s decision. Instead, it</w:t>
      </w:r>
      <w:r w:rsidR="00E365CF" w:rsidRPr="009A71E2">
        <w:rPr>
          <w:lang w:val="en-GB"/>
        </w:rPr>
        <w:t>s</w:t>
      </w:r>
      <w:r w:rsidR="00B877FD" w:rsidRPr="009A71E2">
        <w:rPr>
          <w:lang w:val="en-GB"/>
        </w:rPr>
        <w:t xml:space="preserve"> </w:t>
      </w:r>
      <w:r w:rsidR="00E365CF" w:rsidRPr="009A71E2">
        <w:rPr>
          <w:lang w:val="en-GB"/>
        </w:rPr>
        <w:t xml:space="preserve">complaint in this respect is </w:t>
      </w:r>
      <w:r w:rsidR="00B877FD" w:rsidRPr="009A71E2">
        <w:rPr>
          <w:lang w:val="en-GB"/>
        </w:rPr>
        <w:t xml:space="preserve">that the Review Panel </w:t>
      </w:r>
      <w:r w:rsidR="00E365CF" w:rsidRPr="009A71E2">
        <w:rPr>
          <w:lang w:val="en-GB"/>
        </w:rPr>
        <w:t xml:space="preserve">considered </w:t>
      </w:r>
      <w:r w:rsidR="00B877FD" w:rsidRPr="009A71E2">
        <w:rPr>
          <w:lang w:val="en-GB"/>
        </w:rPr>
        <w:t xml:space="preserve">materials and information </w:t>
      </w:r>
      <w:r w:rsidR="00C77087" w:rsidRPr="009A71E2">
        <w:rPr>
          <w:lang w:val="en-GB"/>
        </w:rPr>
        <w:t xml:space="preserve">outside </w:t>
      </w:r>
      <w:r w:rsidR="00B877FD" w:rsidRPr="009A71E2">
        <w:rPr>
          <w:lang w:val="en-GB"/>
        </w:rPr>
        <w:t>of the pleadings in the statutory review before the Review Panel</w:t>
      </w:r>
      <w:r w:rsidR="00C77087" w:rsidRPr="009A71E2">
        <w:rPr>
          <w:lang w:val="en-GB"/>
        </w:rPr>
        <w:t>;</w:t>
      </w:r>
      <w:r w:rsidR="00B877FD" w:rsidRPr="009A71E2">
        <w:rPr>
          <w:lang w:val="en-GB"/>
        </w:rPr>
        <w:t xml:space="preserve"> unilaterally given to </w:t>
      </w:r>
      <w:r w:rsidR="0014744E" w:rsidRPr="009A71E2">
        <w:rPr>
          <w:lang w:val="en-GB"/>
        </w:rPr>
        <w:t>it</w:t>
      </w:r>
      <w:r w:rsidR="00B877FD" w:rsidRPr="009A71E2">
        <w:rPr>
          <w:lang w:val="en-GB"/>
        </w:rPr>
        <w:t xml:space="preserve"> by the Board. </w:t>
      </w:r>
    </w:p>
    <w:p w14:paraId="26428612" w14:textId="77777777" w:rsidR="00E3533D" w:rsidRDefault="00E3533D" w:rsidP="0068402A">
      <w:pPr>
        <w:pStyle w:val="ListParagraph"/>
        <w:spacing w:line="480" w:lineRule="auto"/>
        <w:ind w:left="0"/>
        <w:rPr>
          <w:lang w:val="en-GB"/>
        </w:rPr>
      </w:pPr>
    </w:p>
    <w:p w14:paraId="2C5BC720" w14:textId="64229C47" w:rsidR="00284BE2" w:rsidRPr="009A71E2" w:rsidRDefault="009A71E2" w:rsidP="009A71E2">
      <w:pPr>
        <w:spacing w:line="480" w:lineRule="auto"/>
        <w:rPr>
          <w:lang w:val="en-GB"/>
        </w:rPr>
      </w:pPr>
      <w:r>
        <w:rPr>
          <w:lang w:val="en-GB"/>
        </w:rPr>
        <w:t>[41]</w:t>
      </w:r>
      <w:r>
        <w:rPr>
          <w:lang w:val="en-GB"/>
        </w:rPr>
        <w:tab/>
      </w:r>
      <w:r w:rsidR="0014744E" w:rsidRPr="009A71E2">
        <w:rPr>
          <w:lang w:val="en-GB"/>
        </w:rPr>
        <w:t>Stream Two</w:t>
      </w:r>
      <w:r w:rsidR="00B877FD" w:rsidRPr="009A71E2">
        <w:rPr>
          <w:lang w:val="en-GB"/>
        </w:rPr>
        <w:t xml:space="preserve"> also pleaded that the Review Panel made findings outside </w:t>
      </w:r>
      <w:r w:rsidR="00AD2B9E" w:rsidRPr="009A71E2">
        <w:rPr>
          <w:lang w:val="en-GB"/>
        </w:rPr>
        <w:t xml:space="preserve">the ambit of the review before it, given the grounds of review raised by the respondent and the purpose for which the Review Panel was appointed. The respondent pertinently questioned the legality of the instruction by the Review Panel for the Board </w:t>
      </w:r>
      <w:r w:rsidR="00284BE2" w:rsidRPr="009A71E2">
        <w:rPr>
          <w:lang w:val="en-GB"/>
        </w:rPr>
        <w:t xml:space="preserve">to carefully consider the bid documents and discern if there </w:t>
      </w:r>
      <w:r w:rsidR="00FB1EC7" w:rsidRPr="009A71E2">
        <w:rPr>
          <w:lang w:val="en-GB"/>
        </w:rPr>
        <w:t>was</w:t>
      </w:r>
      <w:r w:rsidR="00284BE2" w:rsidRPr="009A71E2">
        <w:rPr>
          <w:lang w:val="en-GB"/>
        </w:rPr>
        <w:t xml:space="preserve"> </w:t>
      </w:r>
      <w:r w:rsidR="00FB1EC7" w:rsidRPr="009A71E2">
        <w:rPr>
          <w:lang w:val="en-GB"/>
        </w:rPr>
        <w:t xml:space="preserve">a </w:t>
      </w:r>
      <w:r w:rsidR="00284BE2" w:rsidRPr="009A71E2">
        <w:rPr>
          <w:lang w:val="en-GB"/>
        </w:rPr>
        <w:t>conflict of interest.</w:t>
      </w:r>
      <w:r w:rsidR="00C77087" w:rsidRPr="009A71E2">
        <w:rPr>
          <w:lang w:val="en-GB"/>
        </w:rPr>
        <w:t xml:space="preserve"> It regarded this direction as an imposition, nay instigation, by the Board.</w:t>
      </w:r>
    </w:p>
    <w:p w14:paraId="6244F61B" w14:textId="77777777" w:rsidR="00E3533D" w:rsidRPr="00E3533D" w:rsidRDefault="00E3533D" w:rsidP="0068402A">
      <w:pPr>
        <w:spacing w:line="480" w:lineRule="auto"/>
        <w:ind w:left="360"/>
        <w:rPr>
          <w:lang w:val="en-GB"/>
        </w:rPr>
      </w:pPr>
    </w:p>
    <w:p w14:paraId="2A0F5170" w14:textId="702B655C" w:rsidR="0067016A" w:rsidRPr="009A71E2" w:rsidRDefault="009A71E2" w:rsidP="009A71E2">
      <w:pPr>
        <w:spacing w:line="480" w:lineRule="auto"/>
        <w:rPr>
          <w:lang w:val="en-GB"/>
        </w:rPr>
      </w:pPr>
      <w:r>
        <w:rPr>
          <w:lang w:val="en-GB"/>
        </w:rPr>
        <w:lastRenderedPageBreak/>
        <w:t>[42]</w:t>
      </w:r>
      <w:r>
        <w:rPr>
          <w:lang w:val="en-GB"/>
        </w:rPr>
        <w:tab/>
      </w:r>
      <w:r w:rsidR="00284BE2" w:rsidRPr="009A71E2">
        <w:rPr>
          <w:lang w:val="en-GB"/>
        </w:rPr>
        <w:t>As seen from the consideration of the legislative context above, the Review</w:t>
      </w:r>
      <w:r w:rsidR="00D53197" w:rsidRPr="009A71E2">
        <w:rPr>
          <w:lang w:val="en-GB"/>
        </w:rPr>
        <w:t xml:space="preserve"> </w:t>
      </w:r>
      <w:r w:rsidR="00284BE2" w:rsidRPr="009A71E2">
        <w:rPr>
          <w:lang w:val="en-GB"/>
        </w:rPr>
        <w:t xml:space="preserve">Panel has the power to set aside a decision of the Board and to </w:t>
      </w:r>
      <w:r w:rsidR="00D53197" w:rsidRPr="009A71E2">
        <w:rPr>
          <w:lang w:val="en-GB"/>
        </w:rPr>
        <w:t xml:space="preserve">remit the matter to the Board </w:t>
      </w:r>
      <w:r w:rsidR="00284BE2" w:rsidRPr="009A71E2">
        <w:rPr>
          <w:lang w:val="en-GB"/>
        </w:rPr>
        <w:t>for reconsideration with specific instructions</w:t>
      </w:r>
      <w:r w:rsidR="00D53197" w:rsidRPr="009A71E2">
        <w:rPr>
          <w:lang w:val="en-GB"/>
        </w:rPr>
        <w:t>.</w:t>
      </w:r>
      <w:r w:rsidR="00284BE2" w:rsidRPr="009A71E2">
        <w:rPr>
          <w:lang w:val="en-GB"/>
        </w:rPr>
        <w:t xml:space="preserve"> </w:t>
      </w:r>
      <w:r w:rsidR="00322A33" w:rsidRPr="009A71E2">
        <w:rPr>
          <w:lang w:val="en-GB"/>
        </w:rPr>
        <w:t>That a matter may be referred back to an administrative body with instructions to consider past and later events that may have occurred is also a settled principle at common law.</w:t>
      </w:r>
      <w:r w:rsidR="00322A33">
        <w:rPr>
          <w:rStyle w:val="FootnoteReference"/>
          <w:lang w:val="en-GB"/>
        </w:rPr>
        <w:footnoteReference w:id="17"/>
      </w:r>
      <w:r w:rsidR="00322A33" w:rsidRPr="009A71E2">
        <w:rPr>
          <w:lang w:val="en-GB"/>
        </w:rPr>
        <w:t xml:space="preserve"> </w:t>
      </w:r>
      <w:r w:rsidR="0067016A" w:rsidRPr="009A71E2">
        <w:rPr>
          <w:lang w:val="en-GB"/>
        </w:rPr>
        <w:t>The respondent does not take issue with this position. Its submission is rather that the Review Panel c</w:t>
      </w:r>
      <w:r w:rsidR="00322A33" w:rsidRPr="009A71E2">
        <w:rPr>
          <w:lang w:val="en-GB"/>
        </w:rPr>
        <w:t>ould</w:t>
      </w:r>
      <w:r w:rsidR="0067016A" w:rsidRPr="009A71E2">
        <w:rPr>
          <w:lang w:val="en-GB"/>
        </w:rPr>
        <w:t xml:space="preserve"> issue instructions only in </w:t>
      </w:r>
      <w:r w:rsidR="006C7D35" w:rsidRPr="009A71E2">
        <w:rPr>
          <w:lang w:val="en-GB"/>
        </w:rPr>
        <w:t>a</w:t>
      </w:r>
      <w:r w:rsidR="0067016A" w:rsidRPr="009A71E2">
        <w:rPr>
          <w:lang w:val="en-GB"/>
        </w:rPr>
        <w:t xml:space="preserve"> manner that is </w:t>
      </w:r>
      <w:r w:rsidR="00322A33" w:rsidRPr="009A71E2">
        <w:rPr>
          <w:lang w:val="en-GB"/>
        </w:rPr>
        <w:t>consistent with the scheme</w:t>
      </w:r>
      <w:r w:rsidR="006717D8" w:rsidRPr="009A71E2">
        <w:rPr>
          <w:lang w:val="en-GB"/>
        </w:rPr>
        <w:t xml:space="preserve"> of</w:t>
      </w:r>
      <w:r w:rsidR="00322A33" w:rsidRPr="009A71E2">
        <w:rPr>
          <w:lang w:val="en-GB"/>
        </w:rPr>
        <w:t xml:space="preserve"> </w:t>
      </w:r>
      <w:r w:rsidR="0067016A" w:rsidRPr="009A71E2">
        <w:rPr>
          <w:lang w:val="en-GB"/>
        </w:rPr>
        <w:t xml:space="preserve">the PPA, more specifically the grounds of review and allegations made in the review application that necessitated the appointment of the Review Panel. </w:t>
      </w:r>
    </w:p>
    <w:p w14:paraId="28B4008B" w14:textId="77777777" w:rsidR="0067016A" w:rsidRPr="0067016A" w:rsidRDefault="0067016A" w:rsidP="0068402A">
      <w:pPr>
        <w:pStyle w:val="ListParagraph"/>
        <w:spacing w:line="480" w:lineRule="auto"/>
        <w:rPr>
          <w:lang w:val="en-GB"/>
        </w:rPr>
      </w:pPr>
    </w:p>
    <w:p w14:paraId="07F5FD27" w14:textId="4B5DD7CC" w:rsidR="00322A33" w:rsidRPr="009A71E2" w:rsidRDefault="009A71E2" w:rsidP="009A71E2">
      <w:pPr>
        <w:spacing w:line="480" w:lineRule="auto"/>
        <w:rPr>
          <w:lang w:val="en-GB"/>
        </w:rPr>
      </w:pPr>
      <w:r>
        <w:rPr>
          <w:lang w:val="en-GB"/>
        </w:rPr>
        <w:t>[43]</w:t>
      </w:r>
      <w:r>
        <w:rPr>
          <w:lang w:val="en-GB"/>
        </w:rPr>
        <w:tab/>
      </w:r>
      <w:r w:rsidR="00284BE2" w:rsidRPr="009A71E2">
        <w:rPr>
          <w:lang w:val="en-GB"/>
        </w:rPr>
        <w:t xml:space="preserve">The </w:t>
      </w:r>
      <w:r w:rsidR="00E3533D" w:rsidRPr="009A71E2">
        <w:rPr>
          <w:lang w:val="en-GB"/>
        </w:rPr>
        <w:t xml:space="preserve">pivotal </w:t>
      </w:r>
      <w:r w:rsidR="00284BE2" w:rsidRPr="009A71E2">
        <w:rPr>
          <w:lang w:val="en-GB"/>
        </w:rPr>
        <w:t xml:space="preserve">question on appeal is whether </w:t>
      </w:r>
      <w:r w:rsidR="0021152F" w:rsidRPr="009A71E2">
        <w:rPr>
          <w:lang w:val="en-GB"/>
        </w:rPr>
        <w:t xml:space="preserve">the </w:t>
      </w:r>
      <w:r w:rsidR="00C77087" w:rsidRPr="009A71E2">
        <w:rPr>
          <w:lang w:val="en-GB"/>
        </w:rPr>
        <w:t>instruction</w:t>
      </w:r>
      <w:r w:rsidR="0021152F" w:rsidRPr="009A71E2">
        <w:rPr>
          <w:lang w:val="en-GB"/>
        </w:rPr>
        <w:t xml:space="preserve"> by the Review Panel for the Board to consider the bid documents in totality and ascertain whether there was eviden</w:t>
      </w:r>
      <w:r w:rsidR="006717D8" w:rsidRPr="009A71E2">
        <w:rPr>
          <w:lang w:val="en-GB"/>
        </w:rPr>
        <w:t>ce of a conflict of interest is</w:t>
      </w:r>
      <w:r w:rsidR="0021152F" w:rsidRPr="009A71E2">
        <w:rPr>
          <w:lang w:val="en-GB"/>
        </w:rPr>
        <w:t xml:space="preserve"> </w:t>
      </w:r>
      <w:r w:rsidR="00D53197" w:rsidRPr="009A71E2">
        <w:rPr>
          <w:lang w:val="en-GB"/>
        </w:rPr>
        <w:t xml:space="preserve">unfair or unreasonable </w:t>
      </w:r>
      <w:r w:rsidR="00C15CFF" w:rsidRPr="009A71E2">
        <w:rPr>
          <w:lang w:val="en-GB"/>
        </w:rPr>
        <w:t xml:space="preserve">or could be impugned on any of the other multiple grounds of review advanced by the respondent </w:t>
      </w:r>
      <w:r w:rsidR="0067016A" w:rsidRPr="009A71E2">
        <w:rPr>
          <w:lang w:val="en-GB"/>
        </w:rPr>
        <w:t xml:space="preserve">in </w:t>
      </w:r>
      <w:r w:rsidR="00C15CFF" w:rsidRPr="009A71E2">
        <w:rPr>
          <w:lang w:val="en-GB"/>
        </w:rPr>
        <w:t>the court a quo.</w:t>
      </w:r>
      <w:r w:rsidR="00284BE2" w:rsidRPr="009A71E2">
        <w:rPr>
          <w:lang w:val="en-GB"/>
        </w:rPr>
        <w:t xml:space="preserve"> </w:t>
      </w:r>
      <w:r w:rsidR="00AD2B9E" w:rsidRPr="009A71E2">
        <w:rPr>
          <w:lang w:val="en-GB"/>
        </w:rPr>
        <w:t xml:space="preserve"> </w:t>
      </w:r>
    </w:p>
    <w:p w14:paraId="02FD6463" w14:textId="77777777" w:rsidR="00322A33" w:rsidRPr="00322A33" w:rsidRDefault="00322A33" w:rsidP="0068402A">
      <w:pPr>
        <w:pStyle w:val="ListParagraph"/>
        <w:spacing w:line="480" w:lineRule="auto"/>
        <w:rPr>
          <w:lang w:val="en-GB"/>
        </w:rPr>
      </w:pPr>
    </w:p>
    <w:p w14:paraId="3969F7C6" w14:textId="58F77C0A" w:rsidR="00000C99" w:rsidRPr="009A71E2" w:rsidRDefault="009A71E2" w:rsidP="009A71E2">
      <w:pPr>
        <w:spacing w:line="480" w:lineRule="auto"/>
        <w:rPr>
          <w:lang w:val="en-GB"/>
        </w:rPr>
      </w:pPr>
      <w:r w:rsidRPr="00322A33">
        <w:rPr>
          <w:lang w:val="en-GB"/>
        </w:rPr>
        <w:t>[44]</w:t>
      </w:r>
      <w:r w:rsidRPr="00322A33">
        <w:rPr>
          <w:lang w:val="en-GB"/>
        </w:rPr>
        <w:tab/>
      </w:r>
      <w:r w:rsidR="00CF64BA" w:rsidRPr="009A71E2">
        <w:rPr>
          <w:lang w:val="en-GB"/>
        </w:rPr>
        <w:t xml:space="preserve">The respondent is entirely correct in the proposition that an administrative body is bound by the reasons </w:t>
      </w:r>
      <w:r w:rsidR="00E94A79" w:rsidRPr="009A71E2">
        <w:rPr>
          <w:lang w:val="en-GB"/>
        </w:rPr>
        <w:t>provided for</w:t>
      </w:r>
      <w:r w:rsidR="00CF64BA" w:rsidRPr="009A71E2">
        <w:rPr>
          <w:lang w:val="en-GB"/>
        </w:rPr>
        <w:t xml:space="preserve"> its decision</w:t>
      </w:r>
      <w:r w:rsidR="00E94A79" w:rsidRPr="009A71E2">
        <w:rPr>
          <w:lang w:val="en-GB"/>
        </w:rPr>
        <w:t xml:space="preserve"> and may not rely on new reasons raised for the first time in review proceedings </w:t>
      </w:r>
      <w:r w:rsidR="00E3533D" w:rsidRPr="009A71E2">
        <w:rPr>
          <w:lang w:val="en-GB"/>
        </w:rPr>
        <w:t xml:space="preserve">in which </w:t>
      </w:r>
      <w:r w:rsidR="00E94A79" w:rsidRPr="009A71E2">
        <w:rPr>
          <w:lang w:val="en-GB"/>
        </w:rPr>
        <w:t>its decision is being challenged</w:t>
      </w:r>
      <w:r w:rsidR="00CF64BA" w:rsidRPr="009A71E2">
        <w:rPr>
          <w:lang w:val="en-GB"/>
        </w:rPr>
        <w:t>.</w:t>
      </w:r>
      <w:r w:rsidR="00E94A79" w:rsidRPr="009A71E2">
        <w:rPr>
          <w:lang w:val="en-GB"/>
        </w:rPr>
        <w:t xml:space="preserve"> </w:t>
      </w:r>
      <w:r w:rsidR="00E3533D" w:rsidRPr="009A71E2">
        <w:rPr>
          <w:lang w:val="en-GB"/>
        </w:rPr>
        <w:t xml:space="preserve">A reading of the papers makes it clear </w:t>
      </w:r>
      <w:r w:rsidR="00953513" w:rsidRPr="009A71E2">
        <w:rPr>
          <w:lang w:val="en-GB"/>
        </w:rPr>
        <w:t xml:space="preserve">that the </w:t>
      </w:r>
      <w:r w:rsidR="00E365CF" w:rsidRPr="009A71E2">
        <w:rPr>
          <w:lang w:val="en-GB"/>
        </w:rPr>
        <w:t xml:space="preserve">underlying </w:t>
      </w:r>
      <w:r w:rsidR="00953513" w:rsidRPr="009A71E2">
        <w:rPr>
          <w:lang w:val="en-GB"/>
        </w:rPr>
        <w:t xml:space="preserve">reason </w:t>
      </w:r>
      <w:r w:rsidR="00E365CF" w:rsidRPr="009A71E2">
        <w:rPr>
          <w:lang w:val="en-GB"/>
        </w:rPr>
        <w:t xml:space="preserve">for the disqualification of </w:t>
      </w:r>
      <w:r w:rsidR="00953513" w:rsidRPr="009A71E2">
        <w:rPr>
          <w:lang w:val="en-GB"/>
        </w:rPr>
        <w:t xml:space="preserve">the respondent’s bid was conflict of interest. </w:t>
      </w:r>
      <w:r w:rsidR="00ED0B96" w:rsidRPr="009A71E2">
        <w:rPr>
          <w:lang w:val="en-GB"/>
        </w:rPr>
        <w:t xml:space="preserve">The characteristics of such conflict given in the executive summary of the bid evaluation report were similarities of surname and residential address. </w:t>
      </w:r>
    </w:p>
    <w:p w14:paraId="6078A7CA" w14:textId="77777777" w:rsidR="00000C99" w:rsidRDefault="00000C99" w:rsidP="0068402A">
      <w:pPr>
        <w:pStyle w:val="ListParagraph"/>
        <w:spacing w:line="480" w:lineRule="auto"/>
        <w:ind w:left="0"/>
        <w:rPr>
          <w:lang w:val="en-GB"/>
        </w:rPr>
      </w:pPr>
    </w:p>
    <w:p w14:paraId="6DD016D2" w14:textId="03C7C07D" w:rsidR="00E365CF" w:rsidRPr="009A71E2" w:rsidRDefault="009A71E2" w:rsidP="009A71E2">
      <w:pPr>
        <w:spacing w:line="480" w:lineRule="auto"/>
        <w:rPr>
          <w:lang w:val="en-GB"/>
        </w:rPr>
      </w:pPr>
      <w:r>
        <w:rPr>
          <w:lang w:val="en-GB"/>
        </w:rPr>
        <w:t>[45]</w:t>
      </w:r>
      <w:r>
        <w:rPr>
          <w:lang w:val="en-GB"/>
        </w:rPr>
        <w:tab/>
      </w:r>
      <w:r w:rsidR="00953513" w:rsidRPr="009A71E2">
        <w:rPr>
          <w:lang w:val="en-GB"/>
        </w:rPr>
        <w:t>The details about similar</w:t>
      </w:r>
      <w:r w:rsidR="00ED0B96" w:rsidRPr="009A71E2">
        <w:rPr>
          <w:lang w:val="en-GB"/>
        </w:rPr>
        <w:t>ities of the</w:t>
      </w:r>
      <w:r w:rsidR="00953513" w:rsidRPr="009A71E2">
        <w:rPr>
          <w:lang w:val="en-GB"/>
        </w:rPr>
        <w:t xml:space="preserve"> surname and </w:t>
      </w:r>
      <w:r w:rsidR="00ED0B96" w:rsidRPr="009A71E2">
        <w:rPr>
          <w:lang w:val="en-GB"/>
        </w:rPr>
        <w:t xml:space="preserve">physical </w:t>
      </w:r>
      <w:r w:rsidR="00F30657" w:rsidRPr="009A71E2">
        <w:rPr>
          <w:lang w:val="en-GB"/>
        </w:rPr>
        <w:t xml:space="preserve">address are </w:t>
      </w:r>
      <w:r w:rsidR="00FB1EC7" w:rsidRPr="009A71E2">
        <w:rPr>
          <w:lang w:val="en-GB"/>
        </w:rPr>
        <w:t xml:space="preserve">but </w:t>
      </w:r>
      <w:r w:rsidR="00E3533D" w:rsidRPr="009A71E2">
        <w:rPr>
          <w:lang w:val="en-GB"/>
        </w:rPr>
        <w:t>manifestations</w:t>
      </w:r>
      <w:r w:rsidR="00F30657" w:rsidRPr="009A71E2">
        <w:rPr>
          <w:lang w:val="en-GB"/>
        </w:rPr>
        <w:t xml:space="preserve"> of the alleged conflict. </w:t>
      </w:r>
      <w:r w:rsidR="00FB1EC7" w:rsidRPr="009A71E2">
        <w:rPr>
          <w:lang w:val="en-GB"/>
        </w:rPr>
        <w:t xml:space="preserve">It </w:t>
      </w:r>
      <w:r w:rsidR="00A1071C" w:rsidRPr="009A71E2">
        <w:rPr>
          <w:lang w:val="en-GB"/>
        </w:rPr>
        <w:t>can</w:t>
      </w:r>
      <w:r w:rsidR="00FB1EC7" w:rsidRPr="009A71E2">
        <w:rPr>
          <w:lang w:val="en-GB"/>
        </w:rPr>
        <w:t xml:space="preserve">not </w:t>
      </w:r>
      <w:r w:rsidR="00A1071C" w:rsidRPr="009A71E2">
        <w:rPr>
          <w:lang w:val="en-GB"/>
        </w:rPr>
        <w:t xml:space="preserve">be </w:t>
      </w:r>
      <w:r w:rsidR="00415DCA" w:rsidRPr="009A71E2">
        <w:rPr>
          <w:lang w:val="en-GB"/>
        </w:rPr>
        <w:t xml:space="preserve">an </w:t>
      </w:r>
      <w:r w:rsidR="00A1071C" w:rsidRPr="009A71E2">
        <w:rPr>
          <w:lang w:val="en-GB"/>
        </w:rPr>
        <w:t xml:space="preserve">accurate </w:t>
      </w:r>
      <w:r w:rsidR="00415DCA" w:rsidRPr="009A71E2">
        <w:rPr>
          <w:lang w:val="en-GB"/>
        </w:rPr>
        <w:t xml:space="preserve">statement </w:t>
      </w:r>
      <w:r w:rsidR="00FB1EC7" w:rsidRPr="009A71E2">
        <w:rPr>
          <w:lang w:val="en-GB"/>
        </w:rPr>
        <w:t>that t</w:t>
      </w:r>
      <w:r w:rsidR="00F30657" w:rsidRPr="009A71E2">
        <w:rPr>
          <w:lang w:val="en-GB"/>
        </w:rPr>
        <w:t xml:space="preserve">he </w:t>
      </w:r>
      <w:r w:rsidR="00FB1EC7" w:rsidRPr="009A71E2">
        <w:rPr>
          <w:lang w:val="en-GB"/>
        </w:rPr>
        <w:t xml:space="preserve">allegation </w:t>
      </w:r>
      <w:r w:rsidR="00F30657" w:rsidRPr="009A71E2">
        <w:rPr>
          <w:lang w:val="en-GB"/>
        </w:rPr>
        <w:t xml:space="preserve">of </w:t>
      </w:r>
      <w:r w:rsidR="00FB1EC7" w:rsidRPr="009A71E2">
        <w:rPr>
          <w:lang w:val="en-GB"/>
        </w:rPr>
        <w:t xml:space="preserve">a </w:t>
      </w:r>
      <w:r w:rsidR="00F30657" w:rsidRPr="009A71E2">
        <w:rPr>
          <w:lang w:val="en-GB"/>
        </w:rPr>
        <w:t>conflict of interest was raised for the first time in reply. What was raised for the first time in reply were other indicia of a possible conflict of interest</w:t>
      </w:r>
      <w:r w:rsidR="00ED0B96" w:rsidRPr="009A71E2">
        <w:rPr>
          <w:lang w:val="en-GB"/>
        </w:rPr>
        <w:t xml:space="preserve">, namely laboratory results, stamps and the </w:t>
      </w:r>
      <w:r w:rsidR="00000C99" w:rsidRPr="009A71E2">
        <w:rPr>
          <w:lang w:val="en-GB"/>
        </w:rPr>
        <w:t>lease agreement</w:t>
      </w:r>
      <w:r w:rsidR="00F30657" w:rsidRPr="009A71E2">
        <w:rPr>
          <w:lang w:val="en-GB"/>
        </w:rPr>
        <w:t>.</w:t>
      </w:r>
      <w:r w:rsidR="00A1071C" w:rsidRPr="009A71E2">
        <w:rPr>
          <w:lang w:val="en-GB"/>
        </w:rPr>
        <w:t xml:space="preserve"> These were highlighted by the Review Panel in its ruling. </w:t>
      </w:r>
      <w:r w:rsidR="00ED0B96" w:rsidRPr="009A71E2">
        <w:rPr>
          <w:lang w:val="en-GB"/>
        </w:rPr>
        <w:t>The Review Panel</w:t>
      </w:r>
      <w:r w:rsidR="00A1071C" w:rsidRPr="009A71E2">
        <w:rPr>
          <w:lang w:val="en-GB"/>
        </w:rPr>
        <w:t xml:space="preserve"> instructed </w:t>
      </w:r>
      <w:r w:rsidR="00CF64BA" w:rsidRPr="009A71E2">
        <w:rPr>
          <w:lang w:val="en-GB"/>
        </w:rPr>
        <w:t xml:space="preserve">the Board </w:t>
      </w:r>
      <w:r w:rsidR="00A1071C" w:rsidRPr="009A71E2">
        <w:rPr>
          <w:lang w:val="en-GB"/>
        </w:rPr>
        <w:t xml:space="preserve">to pay particular attention to them in the </w:t>
      </w:r>
      <w:r w:rsidR="00CF64BA" w:rsidRPr="009A71E2">
        <w:rPr>
          <w:lang w:val="en-GB"/>
        </w:rPr>
        <w:t xml:space="preserve">overall </w:t>
      </w:r>
      <w:r w:rsidR="00A1071C" w:rsidRPr="009A71E2">
        <w:rPr>
          <w:lang w:val="en-GB"/>
        </w:rPr>
        <w:t>consideration of the bid</w:t>
      </w:r>
      <w:r w:rsidR="00E3533D" w:rsidRPr="009A71E2">
        <w:rPr>
          <w:lang w:val="en-GB"/>
        </w:rPr>
        <w:t>ding</w:t>
      </w:r>
      <w:r w:rsidR="00A1071C" w:rsidRPr="009A71E2">
        <w:rPr>
          <w:lang w:val="en-GB"/>
        </w:rPr>
        <w:t xml:space="preserve"> documents.</w:t>
      </w:r>
      <w:r w:rsidR="00CF64BA" w:rsidRPr="009A71E2">
        <w:rPr>
          <w:lang w:val="en-GB"/>
        </w:rPr>
        <w:t xml:space="preserve"> </w:t>
      </w:r>
    </w:p>
    <w:p w14:paraId="5EE23E23" w14:textId="77777777" w:rsidR="00E94A79" w:rsidRPr="00E94A79" w:rsidRDefault="00E94A79" w:rsidP="0068402A">
      <w:pPr>
        <w:spacing w:line="480" w:lineRule="auto"/>
        <w:ind w:left="360"/>
        <w:rPr>
          <w:lang w:val="en-GB"/>
        </w:rPr>
      </w:pPr>
    </w:p>
    <w:p w14:paraId="5BB4D907" w14:textId="31BC804D" w:rsidR="00935F7A" w:rsidRPr="009A71E2" w:rsidRDefault="009A71E2" w:rsidP="009A71E2">
      <w:pPr>
        <w:spacing w:line="480" w:lineRule="auto"/>
        <w:rPr>
          <w:lang w:val="en-GB"/>
        </w:rPr>
      </w:pPr>
      <w:r>
        <w:rPr>
          <w:lang w:val="en-GB"/>
        </w:rPr>
        <w:t>[46]</w:t>
      </w:r>
      <w:r>
        <w:rPr>
          <w:lang w:val="en-GB"/>
        </w:rPr>
        <w:tab/>
      </w:r>
      <w:r w:rsidR="00E365CF" w:rsidRPr="009A71E2">
        <w:rPr>
          <w:lang w:val="en-GB"/>
        </w:rPr>
        <w:t xml:space="preserve">A careful reading of the language used in the Review Panel’s ruling establishes that its finding on conflict of interest was tentative. It did not find as a fact that a conflict of interest existed. </w:t>
      </w:r>
      <w:r w:rsidR="0097281A" w:rsidRPr="009A71E2">
        <w:rPr>
          <w:lang w:val="en-GB"/>
        </w:rPr>
        <w:t>To recap, t</w:t>
      </w:r>
      <w:r w:rsidR="00A542B5" w:rsidRPr="009A71E2">
        <w:rPr>
          <w:lang w:val="en-GB"/>
        </w:rPr>
        <w:t xml:space="preserve">he Review Panel </w:t>
      </w:r>
      <w:r w:rsidR="00954CBB" w:rsidRPr="009A71E2">
        <w:rPr>
          <w:lang w:val="en-GB"/>
        </w:rPr>
        <w:t>first considered the bid</w:t>
      </w:r>
      <w:r w:rsidR="00E3533D" w:rsidRPr="009A71E2">
        <w:rPr>
          <w:lang w:val="en-GB"/>
        </w:rPr>
        <w:t>ding</w:t>
      </w:r>
      <w:r w:rsidR="00954CBB" w:rsidRPr="009A71E2">
        <w:rPr>
          <w:lang w:val="en-GB"/>
        </w:rPr>
        <w:t xml:space="preserve"> documents, especially the instructions to bidders and noted that conflict of interest was one of the vices </w:t>
      </w:r>
      <w:r w:rsidR="00B439E0" w:rsidRPr="009A71E2">
        <w:rPr>
          <w:lang w:val="en-GB"/>
        </w:rPr>
        <w:t xml:space="preserve">prohibited </w:t>
      </w:r>
      <w:r w:rsidR="00954CBB" w:rsidRPr="009A71E2">
        <w:rPr>
          <w:lang w:val="en-GB"/>
        </w:rPr>
        <w:t xml:space="preserve">therein. </w:t>
      </w:r>
      <w:r w:rsidR="00A542B5" w:rsidRPr="009A71E2">
        <w:rPr>
          <w:lang w:val="en-GB"/>
        </w:rPr>
        <w:t xml:space="preserve">It found further that a </w:t>
      </w:r>
      <w:r w:rsidR="00B439E0" w:rsidRPr="009A71E2">
        <w:rPr>
          <w:lang w:val="en-GB"/>
        </w:rPr>
        <w:t xml:space="preserve">finding of conflict of interest could result in disqualification. </w:t>
      </w:r>
      <w:r w:rsidR="00433068" w:rsidRPr="009A71E2">
        <w:rPr>
          <w:lang w:val="en-GB"/>
        </w:rPr>
        <w:t xml:space="preserve">The Review Panel then made a </w:t>
      </w:r>
      <w:r w:rsidR="00F30657" w:rsidRPr="009A71E2">
        <w:rPr>
          <w:lang w:val="en-GB"/>
        </w:rPr>
        <w:t>tentative</w:t>
      </w:r>
      <w:r w:rsidR="00433068" w:rsidRPr="009A71E2">
        <w:rPr>
          <w:lang w:val="en-GB"/>
        </w:rPr>
        <w:t xml:space="preserve"> observation</w:t>
      </w:r>
      <w:r w:rsidR="00F30657" w:rsidRPr="009A71E2">
        <w:rPr>
          <w:lang w:val="en-GB"/>
        </w:rPr>
        <w:t xml:space="preserve">. It said: </w:t>
      </w:r>
      <w:r w:rsidR="00954CBB" w:rsidRPr="009A71E2">
        <w:rPr>
          <w:lang w:val="en-GB"/>
        </w:rPr>
        <w:t xml:space="preserve">‘the strongest </w:t>
      </w:r>
      <w:r w:rsidR="00954CBB" w:rsidRPr="009A71E2">
        <w:rPr>
          <w:i/>
          <w:lang w:val="en-GB"/>
        </w:rPr>
        <w:t>possible</w:t>
      </w:r>
      <w:r w:rsidR="00954CBB" w:rsidRPr="009A71E2">
        <w:rPr>
          <w:lang w:val="en-GB"/>
        </w:rPr>
        <w:t xml:space="preserve"> evidence </w:t>
      </w:r>
      <w:r w:rsidR="00954CBB" w:rsidRPr="009A71E2">
        <w:rPr>
          <w:i/>
          <w:lang w:val="en-GB"/>
        </w:rPr>
        <w:t>to suggest</w:t>
      </w:r>
      <w:r w:rsidR="00954CBB" w:rsidRPr="009A71E2">
        <w:rPr>
          <w:lang w:val="en-GB"/>
        </w:rPr>
        <w:t xml:space="preserve"> a conflict of interest </w:t>
      </w:r>
      <w:r w:rsidR="00954CBB" w:rsidRPr="009A71E2">
        <w:rPr>
          <w:i/>
          <w:lang w:val="en-GB"/>
        </w:rPr>
        <w:t>could</w:t>
      </w:r>
      <w:r w:rsidR="00954CBB" w:rsidRPr="009A71E2">
        <w:rPr>
          <w:lang w:val="en-GB"/>
        </w:rPr>
        <w:t xml:space="preserve"> be found in the laboratory reports, the stamps used and the lease agreement between . .</w:t>
      </w:r>
      <w:r w:rsidR="00D51821" w:rsidRPr="009A71E2">
        <w:rPr>
          <w:lang w:val="en-GB"/>
        </w:rPr>
        <w:t xml:space="preserve"> </w:t>
      </w:r>
      <w:r w:rsidR="00954CBB" w:rsidRPr="009A71E2">
        <w:rPr>
          <w:lang w:val="en-GB"/>
        </w:rPr>
        <w:t>.’</w:t>
      </w:r>
      <w:r w:rsidR="00B86DF8" w:rsidRPr="009A71E2">
        <w:rPr>
          <w:lang w:val="en-GB"/>
        </w:rPr>
        <w:t>.</w:t>
      </w:r>
      <w:r w:rsidR="00433068" w:rsidRPr="009A71E2">
        <w:rPr>
          <w:lang w:val="en-GB"/>
        </w:rPr>
        <w:t xml:space="preserve"> </w:t>
      </w:r>
      <w:r w:rsidR="00D51821" w:rsidRPr="009A71E2">
        <w:rPr>
          <w:lang w:val="en-GB"/>
        </w:rPr>
        <w:t>(</w:t>
      </w:r>
      <w:r w:rsidR="00B86DF8" w:rsidRPr="009A71E2">
        <w:rPr>
          <w:lang w:val="en-GB"/>
        </w:rPr>
        <w:t>E</w:t>
      </w:r>
      <w:r w:rsidR="00D51821" w:rsidRPr="009A71E2">
        <w:rPr>
          <w:lang w:val="en-GB"/>
        </w:rPr>
        <w:t>mphasis added)</w:t>
      </w:r>
      <w:r w:rsidR="0016541C" w:rsidRPr="009A71E2">
        <w:rPr>
          <w:lang w:val="en-GB"/>
        </w:rPr>
        <w:t>.</w:t>
      </w:r>
    </w:p>
    <w:p w14:paraId="43F6BE61" w14:textId="77777777" w:rsidR="00935F7A" w:rsidRPr="00B83093" w:rsidRDefault="00935F7A" w:rsidP="0068402A">
      <w:pPr>
        <w:spacing w:line="480" w:lineRule="auto"/>
        <w:rPr>
          <w:lang w:val="en-GB"/>
        </w:rPr>
      </w:pPr>
    </w:p>
    <w:p w14:paraId="121E92E5" w14:textId="57450576" w:rsidR="007D691F" w:rsidRPr="009A71E2" w:rsidRDefault="009A71E2" w:rsidP="009A71E2">
      <w:pPr>
        <w:spacing w:line="480" w:lineRule="auto"/>
        <w:rPr>
          <w:lang w:val="en-GB"/>
        </w:rPr>
      </w:pPr>
      <w:r>
        <w:rPr>
          <w:lang w:val="en-GB"/>
        </w:rPr>
        <w:t>[47]</w:t>
      </w:r>
      <w:r>
        <w:rPr>
          <w:lang w:val="en-GB"/>
        </w:rPr>
        <w:tab/>
      </w:r>
      <w:r w:rsidR="00433068" w:rsidRPr="009A71E2">
        <w:rPr>
          <w:lang w:val="en-GB"/>
        </w:rPr>
        <w:t>It then issued the much</w:t>
      </w:r>
      <w:r w:rsidR="005C12DA" w:rsidRPr="009A71E2">
        <w:rPr>
          <w:lang w:val="en-GB"/>
        </w:rPr>
        <w:t>-</w:t>
      </w:r>
      <w:r w:rsidR="00433068" w:rsidRPr="009A71E2">
        <w:rPr>
          <w:lang w:val="en-GB"/>
        </w:rPr>
        <w:t xml:space="preserve">maligned </w:t>
      </w:r>
      <w:r w:rsidR="0097281A" w:rsidRPr="009A71E2">
        <w:rPr>
          <w:lang w:val="en-GB"/>
        </w:rPr>
        <w:t>instruction</w:t>
      </w:r>
      <w:r w:rsidR="00DB0261" w:rsidRPr="009A71E2">
        <w:rPr>
          <w:lang w:val="en-GB"/>
        </w:rPr>
        <w:t xml:space="preserve">; </w:t>
      </w:r>
      <w:r w:rsidR="005C12DA" w:rsidRPr="009A71E2">
        <w:rPr>
          <w:lang w:val="en-GB"/>
        </w:rPr>
        <w:t>direct</w:t>
      </w:r>
      <w:r w:rsidR="00DB0261" w:rsidRPr="009A71E2">
        <w:rPr>
          <w:lang w:val="en-GB"/>
        </w:rPr>
        <w:t>ing</w:t>
      </w:r>
      <w:r w:rsidR="005C12DA" w:rsidRPr="009A71E2">
        <w:rPr>
          <w:lang w:val="en-GB"/>
        </w:rPr>
        <w:t xml:space="preserve"> the Board to consider all the documents provided by the applicants </w:t>
      </w:r>
      <w:r w:rsidR="0097281A" w:rsidRPr="009A71E2">
        <w:rPr>
          <w:lang w:val="en-GB"/>
        </w:rPr>
        <w:t xml:space="preserve">in the review </w:t>
      </w:r>
      <w:r w:rsidR="005C12DA" w:rsidRPr="009A71E2">
        <w:rPr>
          <w:lang w:val="en-GB"/>
        </w:rPr>
        <w:t>to determine if there was a conflict of interest.</w:t>
      </w:r>
      <w:r w:rsidR="00E94A79" w:rsidRPr="009A71E2">
        <w:rPr>
          <w:lang w:val="en-GB"/>
        </w:rPr>
        <w:t xml:space="preserve"> </w:t>
      </w:r>
      <w:r w:rsidR="005C12DA" w:rsidRPr="009A71E2">
        <w:rPr>
          <w:lang w:val="en-GB"/>
        </w:rPr>
        <w:t xml:space="preserve">Was this </w:t>
      </w:r>
      <w:r w:rsidR="0097281A" w:rsidRPr="009A71E2">
        <w:rPr>
          <w:lang w:val="en-GB"/>
        </w:rPr>
        <w:t xml:space="preserve">an </w:t>
      </w:r>
      <w:r w:rsidR="005C12DA" w:rsidRPr="009A71E2">
        <w:rPr>
          <w:lang w:val="en-GB"/>
        </w:rPr>
        <w:t>unfair or unreasonable</w:t>
      </w:r>
      <w:r w:rsidR="00E94A79" w:rsidRPr="009A71E2">
        <w:rPr>
          <w:lang w:val="en-GB"/>
        </w:rPr>
        <w:t xml:space="preserve"> </w:t>
      </w:r>
      <w:r w:rsidR="0097281A" w:rsidRPr="009A71E2">
        <w:rPr>
          <w:lang w:val="en-GB"/>
        </w:rPr>
        <w:t>direction</w:t>
      </w:r>
      <w:r w:rsidR="005C12DA" w:rsidRPr="009A71E2">
        <w:rPr>
          <w:lang w:val="en-GB"/>
        </w:rPr>
        <w:t xml:space="preserve">? I </w:t>
      </w:r>
      <w:r w:rsidR="00935F7A" w:rsidRPr="009A71E2">
        <w:rPr>
          <w:lang w:val="en-GB"/>
        </w:rPr>
        <w:t xml:space="preserve">am </w:t>
      </w:r>
      <w:r w:rsidR="00E94A79" w:rsidRPr="009A71E2">
        <w:rPr>
          <w:lang w:val="en-GB"/>
        </w:rPr>
        <w:t xml:space="preserve">not </w:t>
      </w:r>
      <w:r w:rsidR="00935F7A" w:rsidRPr="009A71E2">
        <w:rPr>
          <w:lang w:val="en-GB"/>
        </w:rPr>
        <w:t>persuaded that it was</w:t>
      </w:r>
      <w:r w:rsidR="005C12DA" w:rsidRPr="009A71E2">
        <w:rPr>
          <w:lang w:val="en-GB"/>
        </w:rPr>
        <w:t>.</w:t>
      </w:r>
      <w:r w:rsidR="00EB4C3D" w:rsidRPr="009A71E2">
        <w:rPr>
          <w:lang w:val="en-GB"/>
        </w:rPr>
        <w:t xml:space="preserve"> The instruction to carefully consider the documents to determine whether a conflict of interest prohibited </w:t>
      </w:r>
      <w:r w:rsidR="00935F7A" w:rsidRPr="009A71E2">
        <w:rPr>
          <w:lang w:val="en-GB"/>
        </w:rPr>
        <w:t xml:space="preserve">in the </w:t>
      </w:r>
      <w:r w:rsidR="00EB4C3D" w:rsidRPr="009A71E2">
        <w:rPr>
          <w:lang w:val="en-GB"/>
        </w:rPr>
        <w:t>instructions to bidder</w:t>
      </w:r>
      <w:r w:rsidR="00935F7A" w:rsidRPr="009A71E2">
        <w:rPr>
          <w:lang w:val="en-GB"/>
        </w:rPr>
        <w:t>s</w:t>
      </w:r>
      <w:r w:rsidR="00EB4C3D" w:rsidRPr="009A71E2">
        <w:rPr>
          <w:lang w:val="en-GB"/>
        </w:rPr>
        <w:t xml:space="preserve"> </w:t>
      </w:r>
      <w:r w:rsidR="00EB4C3D" w:rsidRPr="009A71E2">
        <w:rPr>
          <w:lang w:val="en-GB"/>
        </w:rPr>
        <w:lastRenderedPageBreak/>
        <w:t>exist</w:t>
      </w:r>
      <w:r w:rsidR="00935F7A" w:rsidRPr="009A71E2">
        <w:rPr>
          <w:lang w:val="en-GB"/>
        </w:rPr>
        <w:t>ed</w:t>
      </w:r>
      <w:r w:rsidR="00EB4C3D" w:rsidRPr="009A71E2">
        <w:rPr>
          <w:lang w:val="en-GB"/>
        </w:rPr>
        <w:t xml:space="preserve"> </w:t>
      </w:r>
      <w:r w:rsidR="00935F7A" w:rsidRPr="009A71E2">
        <w:rPr>
          <w:lang w:val="en-GB"/>
        </w:rPr>
        <w:t xml:space="preserve">or not </w:t>
      </w:r>
      <w:r w:rsidR="00EB4C3D" w:rsidRPr="009A71E2">
        <w:rPr>
          <w:lang w:val="en-GB"/>
        </w:rPr>
        <w:t xml:space="preserve">is lawful as it sought </w:t>
      </w:r>
      <w:r w:rsidR="006717D8" w:rsidRPr="009A71E2">
        <w:rPr>
          <w:lang w:val="en-GB"/>
        </w:rPr>
        <w:t>to preserve the integrity</w:t>
      </w:r>
      <w:r w:rsidR="00EB4C3D" w:rsidRPr="009A71E2">
        <w:rPr>
          <w:lang w:val="en-GB"/>
        </w:rPr>
        <w:t xml:space="preserve"> of the procurement process.</w:t>
      </w:r>
    </w:p>
    <w:p w14:paraId="66A3D66E" w14:textId="77777777" w:rsidR="00935F7A" w:rsidRPr="00935F7A" w:rsidRDefault="00935F7A" w:rsidP="0068402A">
      <w:pPr>
        <w:spacing w:line="480" w:lineRule="auto"/>
        <w:ind w:left="360"/>
        <w:rPr>
          <w:lang w:val="en-GB"/>
        </w:rPr>
      </w:pPr>
    </w:p>
    <w:p w14:paraId="20F8A282" w14:textId="11D0A4A2" w:rsidR="00E94A79" w:rsidRPr="009A71E2" w:rsidRDefault="009A71E2" w:rsidP="009A71E2">
      <w:pPr>
        <w:spacing w:line="480" w:lineRule="auto"/>
        <w:rPr>
          <w:lang w:val="en-GB"/>
        </w:rPr>
      </w:pPr>
      <w:r>
        <w:rPr>
          <w:lang w:val="en-GB"/>
        </w:rPr>
        <w:t>[48]</w:t>
      </w:r>
      <w:r>
        <w:rPr>
          <w:lang w:val="en-GB"/>
        </w:rPr>
        <w:tab/>
      </w:r>
      <w:r w:rsidR="007D691F" w:rsidRPr="009A71E2">
        <w:rPr>
          <w:lang w:val="en-GB"/>
        </w:rPr>
        <w:t xml:space="preserve">The Review Panel was empanelled to consider the complaint regarding dissatisfaction with </w:t>
      </w:r>
      <w:r w:rsidR="00935F7A" w:rsidRPr="009A71E2">
        <w:rPr>
          <w:lang w:val="en-GB"/>
        </w:rPr>
        <w:t xml:space="preserve">the </w:t>
      </w:r>
      <w:r w:rsidR="007D691F" w:rsidRPr="009A71E2">
        <w:rPr>
          <w:lang w:val="en-GB"/>
        </w:rPr>
        <w:t xml:space="preserve">finding of conflict of interest and </w:t>
      </w:r>
      <w:r w:rsidR="00935F7A" w:rsidRPr="009A71E2">
        <w:rPr>
          <w:lang w:val="en-GB"/>
        </w:rPr>
        <w:t xml:space="preserve">Stream Two’s </w:t>
      </w:r>
      <w:r w:rsidR="009B19C1" w:rsidRPr="009A71E2">
        <w:rPr>
          <w:lang w:val="en-GB"/>
        </w:rPr>
        <w:t xml:space="preserve">disqualification upfront from </w:t>
      </w:r>
      <w:r w:rsidR="007D691F" w:rsidRPr="009A71E2">
        <w:rPr>
          <w:lang w:val="en-GB"/>
        </w:rPr>
        <w:t xml:space="preserve">consideration through the six </w:t>
      </w:r>
      <w:r w:rsidR="009B19C1" w:rsidRPr="009A71E2">
        <w:rPr>
          <w:lang w:val="en-GB"/>
        </w:rPr>
        <w:t xml:space="preserve">evaluation </w:t>
      </w:r>
      <w:r w:rsidR="007D691F" w:rsidRPr="009A71E2">
        <w:rPr>
          <w:lang w:val="en-GB"/>
        </w:rPr>
        <w:t>stages</w:t>
      </w:r>
      <w:r w:rsidR="009B19C1" w:rsidRPr="009A71E2">
        <w:rPr>
          <w:lang w:val="en-GB"/>
        </w:rPr>
        <w:t xml:space="preserve">. </w:t>
      </w:r>
      <w:r w:rsidR="00935F7A" w:rsidRPr="009A71E2">
        <w:rPr>
          <w:lang w:val="en-GB"/>
        </w:rPr>
        <w:t xml:space="preserve">The respondent’s bid could not conceivably be evaluated if there was evidence of a conflict of interest. This is because the bid was statutorily required to be tested first against qualification criteria specified in </w:t>
      </w:r>
      <w:r w:rsidR="000D79D7" w:rsidRPr="009A71E2">
        <w:rPr>
          <w:lang w:val="en-GB"/>
        </w:rPr>
        <w:t xml:space="preserve">the </w:t>
      </w:r>
      <w:r w:rsidR="00935F7A" w:rsidRPr="009A71E2">
        <w:rPr>
          <w:lang w:val="en-GB"/>
        </w:rPr>
        <w:t>Instructions to Bidders, including ITB 5.2</w:t>
      </w:r>
      <w:r w:rsidR="00D51821" w:rsidRPr="009A71E2">
        <w:rPr>
          <w:lang w:val="en-GB"/>
        </w:rPr>
        <w:t>,</w:t>
      </w:r>
      <w:r w:rsidR="00935F7A" w:rsidRPr="009A71E2">
        <w:rPr>
          <w:lang w:val="en-GB"/>
        </w:rPr>
        <w:t xml:space="preserve"> before it could be eligible for further consideration through the remaining </w:t>
      </w:r>
      <w:r w:rsidR="00415DCA" w:rsidRPr="009A71E2">
        <w:rPr>
          <w:lang w:val="en-GB"/>
        </w:rPr>
        <w:t xml:space="preserve">evaluation </w:t>
      </w:r>
      <w:r w:rsidR="00935F7A" w:rsidRPr="009A71E2">
        <w:rPr>
          <w:lang w:val="en-GB"/>
        </w:rPr>
        <w:t xml:space="preserve">stages. </w:t>
      </w:r>
      <w:r w:rsidR="009B19C1" w:rsidRPr="009A71E2">
        <w:rPr>
          <w:lang w:val="en-GB"/>
        </w:rPr>
        <w:t xml:space="preserve">This is a legal requirement. </w:t>
      </w:r>
      <w:r w:rsidR="00415DCA" w:rsidRPr="009A71E2">
        <w:rPr>
          <w:lang w:val="en-GB"/>
        </w:rPr>
        <w:t xml:space="preserve">As noted above, </w:t>
      </w:r>
      <w:r w:rsidR="002435AC" w:rsidRPr="009A71E2">
        <w:rPr>
          <w:lang w:val="en-GB"/>
        </w:rPr>
        <w:t xml:space="preserve">the relevant part of </w:t>
      </w:r>
      <w:r w:rsidR="00415DCA" w:rsidRPr="009A71E2">
        <w:rPr>
          <w:lang w:val="en-GB"/>
        </w:rPr>
        <w:t xml:space="preserve">s 55(1) provides that the Board must award a procurement contract to the bidder who submitted the lowest evaluated substantially responsive bid, </w:t>
      </w:r>
      <w:r w:rsidR="00415DCA" w:rsidRPr="009A71E2">
        <w:rPr>
          <w:i/>
          <w:lang w:val="en-GB"/>
        </w:rPr>
        <w:t>which meets</w:t>
      </w:r>
      <w:r w:rsidR="00415DCA" w:rsidRPr="009A71E2">
        <w:rPr>
          <w:lang w:val="en-GB"/>
        </w:rPr>
        <w:t xml:space="preserve"> the qualification criteria specified in the pre-qualification or </w:t>
      </w:r>
      <w:r w:rsidR="00415DCA" w:rsidRPr="009A71E2">
        <w:rPr>
          <w:i/>
          <w:lang w:val="en-GB"/>
        </w:rPr>
        <w:t>bidding documents</w:t>
      </w:r>
      <w:r w:rsidR="00415DCA" w:rsidRPr="009A71E2">
        <w:rPr>
          <w:lang w:val="en-GB"/>
        </w:rPr>
        <w:t>.</w:t>
      </w:r>
      <w:r w:rsidR="00A4549B" w:rsidRPr="009A71E2">
        <w:rPr>
          <w:lang w:val="en-GB"/>
        </w:rPr>
        <w:t xml:space="preserve"> (Emphasis added)</w:t>
      </w:r>
      <w:r w:rsidR="008402E3" w:rsidRPr="009A71E2">
        <w:rPr>
          <w:lang w:val="en-GB"/>
        </w:rPr>
        <w:t>.</w:t>
      </w:r>
      <w:r w:rsidR="00415DCA" w:rsidRPr="009A71E2">
        <w:rPr>
          <w:lang w:val="en-GB"/>
        </w:rPr>
        <w:t xml:space="preserve"> </w:t>
      </w:r>
      <w:r w:rsidR="009B19C1" w:rsidRPr="009A71E2">
        <w:rPr>
          <w:lang w:val="en-GB"/>
        </w:rPr>
        <w:t xml:space="preserve">  </w:t>
      </w:r>
      <w:r w:rsidR="007D691F" w:rsidRPr="009A71E2">
        <w:rPr>
          <w:lang w:val="en-GB"/>
        </w:rPr>
        <w:t xml:space="preserve"> </w:t>
      </w:r>
      <w:r w:rsidR="00EB4C3D" w:rsidRPr="009A71E2">
        <w:rPr>
          <w:lang w:val="en-GB"/>
        </w:rPr>
        <w:t xml:space="preserve">   </w:t>
      </w:r>
      <w:r w:rsidR="005C12DA" w:rsidRPr="009A71E2">
        <w:rPr>
          <w:lang w:val="en-GB"/>
        </w:rPr>
        <w:t xml:space="preserve"> </w:t>
      </w:r>
    </w:p>
    <w:p w14:paraId="42F136A0" w14:textId="77777777" w:rsidR="00E94A79" w:rsidRPr="00E94A79" w:rsidRDefault="00E94A79" w:rsidP="0068402A">
      <w:pPr>
        <w:spacing w:line="480" w:lineRule="auto"/>
        <w:ind w:left="360"/>
        <w:rPr>
          <w:lang w:val="en-GB"/>
        </w:rPr>
      </w:pPr>
    </w:p>
    <w:p w14:paraId="7ACBFDD2" w14:textId="5B3A5278" w:rsidR="00285B0C" w:rsidRPr="009A71E2" w:rsidRDefault="009A71E2" w:rsidP="009A71E2">
      <w:pPr>
        <w:spacing w:line="480" w:lineRule="auto"/>
        <w:rPr>
          <w:lang w:val="en-GB"/>
        </w:rPr>
      </w:pPr>
      <w:r>
        <w:rPr>
          <w:lang w:val="en-GB"/>
        </w:rPr>
        <w:t>[49]</w:t>
      </w:r>
      <w:r>
        <w:rPr>
          <w:lang w:val="en-GB"/>
        </w:rPr>
        <w:tab/>
      </w:r>
      <w:r w:rsidR="005C12DA" w:rsidRPr="009A71E2">
        <w:rPr>
          <w:lang w:val="en-GB"/>
        </w:rPr>
        <w:t>As noted e</w:t>
      </w:r>
      <w:r w:rsidR="00831433" w:rsidRPr="009A71E2">
        <w:rPr>
          <w:lang w:val="en-GB"/>
        </w:rPr>
        <w:t>a</w:t>
      </w:r>
      <w:r w:rsidR="005C12DA" w:rsidRPr="009A71E2">
        <w:rPr>
          <w:lang w:val="en-GB"/>
        </w:rPr>
        <w:t>rlier</w:t>
      </w:r>
      <w:r w:rsidR="006717D8" w:rsidRPr="009A71E2">
        <w:rPr>
          <w:lang w:val="en-GB"/>
        </w:rPr>
        <w:t>,</w:t>
      </w:r>
      <w:r w:rsidR="00831433" w:rsidRPr="009A71E2">
        <w:rPr>
          <w:lang w:val="en-GB"/>
        </w:rPr>
        <w:t xml:space="preserve"> </w:t>
      </w:r>
      <w:r w:rsidR="00FA1ADE" w:rsidRPr="009A71E2">
        <w:rPr>
          <w:lang w:val="en-GB"/>
        </w:rPr>
        <w:t>the principles of integrity</w:t>
      </w:r>
      <w:r w:rsidR="00E94A79" w:rsidRPr="009A71E2">
        <w:rPr>
          <w:lang w:val="en-GB"/>
        </w:rPr>
        <w:t xml:space="preserve"> </w:t>
      </w:r>
      <w:r w:rsidR="00A542B5" w:rsidRPr="009A71E2">
        <w:rPr>
          <w:lang w:val="en-GB"/>
        </w:rPr>
        <w:t xml:space="preserve">and </w:t>
      </w:r>
      <w:r w:rsidR="00831433" w:rsidRPr="009A71E2">
        <w:rPr>
          <w:lang w:val="en-GB"/>
        </w:rPr>
        <w:t xml:space="preserve">competitiveness </w:t>
      </w:r>
      <w:r w:rsidR="00E94A79" w:rsidRPr="009A71E2">
        <w:rPr>
          <w:lang w:val="en-GB"/>
        </w:rPr>
        <w:t xml:space="preserve">are some of the fundamentals that </w:t>
      </w:r>
      <w:r w:rsidR="00831433" w:rsidRPr="009A71E2">
        <w:rPr>
          <w:lang w:val="en-GB"/>
        </w:rPr>
        <w:t xml:space="preserve">go to the heart of </w:t>
      </w:r>
      <w:r w:rsidR="00A542B5" w:rsidRPr="009A71E2">
        <w:rPr>
          <w:lang w:val="en-GB"/>
        </w:rPr>
        <w:t>a</w:t>
      </w:r>
      <w:r w:rsidR="00831433" w:rsidRPr="009A71E2">
        <w:rPr>
          <w:lang w:val="en-GB"/>
        </w:rPr>
        <w:t xml:space="preserve"> procurement process. </w:t>
      </w:r>
      <w:r w:rsidR="00FA1ADE" w:rsidRPr="009A71E2">
        <w:rPr>
          <w:lang w:val="en-GB"/>
        </w:rPr>
        <w:t>A fair and competitive procurement process is essential for several reasons. First, it ens</w:t>
      </w:r>
      <w:r w:rsidR="00D95F98" w:rsidRPr="009A71E2">
        <w:rPr>
          <w:lang w:val="en-GB"/>
        </w:rPr>
        <w:t>u</w:t>
      </w:r>
      <w:r w:rsidR="00FA1ADE" w:rsidRPr="009A71E2">
        <w:rPr>
          <w:lang w:val="en-GB"/>
        </w:rPr>
        <w:t>res transparency and accountability, as all participants have an equal opportunity to bid for the contract</w:t>
      </w:r>
      <w:r w:rsidR="00D95F98" w:rsidRPr="009A71E2">
        <w:rPr>
          <w:lang w:val="en-GB"/>
        </w:rPr>
        <w:t xml:space="preserve">. This promotes confidence and trust in the system, as it minimises the chances of favouritism or corruption. Secondly, a competitive process encourages innovation and quality. When multiple bidders compete, they strive to provide the best value for money, delivering innovative solutions and high-quality products or services. </w:t>
      </w:r>
    </w:p>
    <w:p w14:paraId="7ED56BAE" w14:textId="77777777" w:rsidR="00285B0C" w:rsidRPr="00285B0C" w:rsidRDefault="00285B0C" w:rsidP="0068402A">
      <w:pPr>
        <w:pStyle w:val="ListParagraph"/>
        <w:rPr>
          <w:lang w:val="en-GB"/>
        </w:rPr>
      </w:pPr>
    </w:p>
    <w:p w14:paraId="2FDFA0AB" w14:textId="65F00A87" w:rsidR="00C24423" w:rsidRPr="009A71E2" w:rsidRDefault="009A71E2" w:rsidP="009A71E2">
      <w:pPr>
        <w:spacing w:line="480" w:lineRule="auto"/>
        <w:rPr>
          <w:lang w:val="en-GB"/>
        </w:rPr>
      </w:pPr>
      <w:r w:rsidRPr="00D51821">
        <w:rPr>
          <w:lang w:val="en-GB"/>
        </w:rPr>
        <w:t>[50]</w:t>
      </w:r>
      <w:r w:rsidRPr="00D51821">
        <w:rPr>
          <w:lang w:val="en-GB"/>
        </w:rPr>
        <w:tab/>
      </w:r>
      <w:r w:rsidR="00D95F98" w:rsidRPr="009A71E2">
        <w:rPr>
          <w:lang w:val="en-GB"/>
        </w:rPr>
        <w:t xml:space="preserve">Additionally, a fair procurement process promotes cost-effectiveness by encouraging </w:t>
      </w:r>
      <w:r w:rsidR="00DB0261" w:rsidRPr="009A71E2">
        <w:rPr>
          <w:lang w:val="en-GB"/>
        </w:rPr>
        <w:t>bidder</w:t>
      </w:r>
      <w:r w:rsidR="00D95F98" w:rsidRPr="009A71E2">
        <w:rPr>
          <w:lang w:val="en-GB"/>
        </w:rPr>
        <w:t xml:space="preserve">s to offer competitive prices. This helps the Board or public entities achieve value for money and obtain the best possible outcome </w:t>
      </w:r>
      <w:r w:rsidR="00EC783F" w:rsidRPr="009A71E2">
        <w:rPr>
          <w:lang w:val="en-GB"/>
        </w:rPr>
        <w:t xml:space="preserve">and safeguard public interests </w:t>
      </w:r>
      <w:r w:rsidR="00E94A79" w:rsidRPr="009A71E2">
        <w:rPr>
          <w:lang w:val="en-GB"/>
        </w:rPr>
        <w:t>by</w:t>
      </w:r>
      <w:r w:rsidR="00EC783F" w:rsidRPr="009A71E2">
        <w:rPr>
          <w:lang w:val="en-GB"/>
        </w:rPr>
        <w:t xml:space="preserve"> maintain</w:t>
      </w:r>
      <w:r w:rsidR="00E94A79" w:rsidRPr="009A71E2">
        <w:rPr>
          <w:lang w:val="en-GB"/>
        </w:rPr>
        <w:t>ing</w:t>
      </w:r>
      <w:r w:rsidR="00EC783F" w:rsidRPr="009A71E2">
        <w:rPr>
          <w:lang w:val="en-GB"/>
        </w:rPr>
        <w:t xml:space="preserve"> public trust in the system. </w:t>
      </w:r>
      <w:r w:rsidR="00D95F98" w:rsidRPr="009A71E2">
        <w:rPr>
          <w:lang w:val="en-GB"/>
        </w:rPr>
        <w:t>Overall, a fair and competitive procurement process protects the interests of both the</w:t>
      </w:r>
      <w:r w:rsidR="00C24423" w:rsidRPr="009A71E2">
        <w:rPr>
          <w:lang w:val="en-GB"/>
        </w:rPr>
        <w:t xml:space="preserve"> Board or public</w:t>
      </w:r>
      <w:r w:rsidR="00D95F98" w:rsidRPr="009A71E2">
        <w:rPr>
          <w:lang w:val="en-GB"/>
        </w:rPr>
        <w:t xml:space="preserve"> entity and the </w:t>
      </w:r>
      <w:r w:rsidR="00DB0261" w:rsidRPr="009A71E2">
        <w:rPr>
          <w:lang w:val="en-GB"/>
        </w:rPr>
        <w:t>bidde</w:t>
      </w:r>
      <w:r w:rsidR="00D95F98" w:rsidRPr="009A71E2">
        <w:rPr>
          <w:lang w:val="en-GB"/>
        </w:rPr>
        <w:t xml:space="preserve">r, fostering a healthy and efficient marketplace. </w:t>
      </w:r>
      <w:r w:rsidR="00FA1ADE" w:rsidRPr="009A71E2">
        <w:rPr>
          <w:lang w:val="en-GB"/>
        </w:rPr>
        <w:t xml:space="preserve">It is in that context </w:t>
      </w:r>
      <w:r w:rsidR="00A97A0F" w:rsidRPr="009A71E2">
        <w:rPr>
          <w:lang w:val="en-GB"/>
        </w:rPr>
        <w:t xml:space="preserve">that </w:t>
      </w:r>
      <w:r w:rsidR="00FA1ADE" w:rsidRPr="009A71E2">
        <w:rPr>
          <w:lang w:val="en-GB"/>
        </w:rPr>
        <w:t>a</w:t>
      </w:r>
      <w:r w:rsidR="00792847" w:rsidRPr="009A71E2">
        <w:rPr>
          <w:lang w:val="en-GB"/>
        </w:rPr>
        <w:t>n</w:t>
      </w:r>
      <w:r w:rsidR="00A542B5" w:rsidRPr="009A71E2">
        <w:rPr>
          <w:lang w:val="en-GB"/>
        </w:rPr>
        <w:t xml:space="preserve"> allegation </w:t>
      </w:r>
      <w:r w:rsidR="00C24423" w:rsidRPr="009A71E2">
        <w:rPr>
          <w:lang w:val="en-GB"/>
        </w:rPr>
        <w:t xml:space="preserve">or </w:t>
      </w:r>
      <w:r w:rsidR="009A73BF" w:rsidRPr="009A71E2">
        <w:rPr>
          <w:lang w:val="en-GB"/>
        </w:rPr>
        <w:t xml:space="preserve">reasonable </w:t>
      </w:r>
      <w:r w:rsidR="00C24423" w:rsidRPr="009A71E2">
        <w:rPr>
          <w:lang w:val="en-GB"/>
        </w:rPr>
        <w:t xml:space="preserve">suspicion </w:t>
      </w:r>
      <w:r w:rsidR="00A542B5" w:rsidRPr="009A71E2">
        <w:rPr>
          <w:lang w:val="en-GB"/>
        </w:rPr>
        <w:t xml:space="preserve">of </w:t>
      </w:r>
      <w:r w:rsidR="00B846D8" w:rsidRPr="009A71E2">
        <w:rPr>
          <w:lang w:val="en-GB"/>
        </w:rPr>
        <w:t xml:space="preserve">appearance of </w:t>
      </w:r>
      <w:r w:rsidR="00A542B5" w:rsidRPr="009A71E2">
        <w:rPr>
          <w:lang w:val="en-GB"/>
        </w:rPr>
        <w:t>a conflict of interest</w:t>
      </w:r>
      <w:r w:rsidR="00D51821" w:rsidRPr="009A71E2">
        <w:rPr>
          <w:lang w:val="en-GB"/>
        </w:rPr>
        <w:t xml:space="preserve"> –</w:t>
      </w:r>
      <w:r w:rsidR="00C24423" w:rsidRPr="009A71E2">
        <w:rPr>
          <w:lang w:val="en-GB"/>
        </w:rPr>
        <w:t xml:space="preserve"> a matter</w:t>
      </w:r>
      <w:r w:rsidR="00A542B5" w:rsidRPr="009A71E2">
        <w:rPr>
          <w:lang w:val="en-GB"/>
        </w:rPr>
        <w:t xml:space="preserve"> that could </w:t>
      </w:r>
      <w:r w:rsidR="00C24423" w:rsidRPr="009A71E2">
        <w:rPr>
          <w:lang w:val="en-GB"/>
        </w:rPr>
        <w:t xml:space="preserve">conceivably </w:t>
      </w:r>
      <w:r w:rsidR="00A542B5" w:rsidRPr="009A71E2">
        <w:rPr>
          <w:lang w:val="en-GB"/>
        </w:rPr>
        <w:t>taint the</w:t>
      </w:r>
      <w:r w:rsidR="00D95F98" w:rsidRPr="009A71E2">
        <w:rPr>
          <w:lang w:val="en-GB"/>
        </w:rPr>
        <w:t xml:space="preserve"> </w:t>
      </w:r>
      <w:r w:rsidR="00C24423" w:rsidRPr="009A71E2">
        <w:rPr>
          <w:lang w:val="en-GB"/>
        </w:rPr>
        <w:t xml:space="preserve">procurement </w:t>
      </w:r>
      <w:r w:rsidR="00A542B5" w:rsidRPr="009A71E2">
        <w:rPr>
          <w:lang w:val="en-GB"/>
        </w:rPr>
        <w:t>process</w:t>
      </w:r>
      <w:r w:rsidR="00D51821" w:rsidRPr="009A71E2">
        <w:rPr>
          <w:lang w:val="en-GB"/>
        </w:rPr>
        <w:t xml:space="preserve"> –</w:t>
      </w:r>
      <w:r w:rsidR="00A542B5" w:rsidRPr="009A71E2">
        <w:rPr>
          <w:lang w:val="en-GB"/>
        </w:rPr>
        <w:t xml:space="preserve"> could </w:t>
      </w:r>
      <w:r w:rsidR="00FA1ADE" w:rsidRPr="009A71E2">
        <w:rPr>
          <w:lang w:val="en-GB"/>
        </w:rPr>
        <w:t xml:space="preserve">and should </w:t>
      </w:r>
      <w:r w:rsidR="00A542B5" w:rsidRPr="009A71E2">
        <w:rPr>
          <w:lang w:val="en-GB"/>
        </w:rPr>
        <w:t>not be ignored</w:t>
      </w:r>
      <w:r w:rsidR="00EC783F" w:rsidRPr="009A71E2">
        <w:rPr>
          <w:lang w:val="en-GB"/>
        </w:rPr>
        <w:t xml:space="preserve"> due to their potential detrimental consequences.</w:t>
      </w:r>
      <w:r w:rsidR="00E94A79" w:rsidRPr="009A71E2">
        <w:rPr>
          <w:lang w:val="en-GB"/>
        </w:rPr>
        <w:t xml:space="preserve"> </w:t>
      </w:r>
      <w:r w:rsidR="00A542B5" w:rsidRPr="009A71E2">
        <w:rPr>
          <w:lang w:val="en-GB"/>
        </w:rPr>
        <w:t xml:space="preserve">It was </w:t>
      </w:r>
      <w:r w:rsidR="00E94A79" w:rsidRPr="009A71E2">
        <w:rPr>
          <w:lang w:val="en-GB"/>
        </w:rPr>
        <w:t xml:space="preserve">thus </w:t>
      </w:r>
      <w:r w:rsidR="00C24423" w:rsidRPr="009A71E2">
        <w:rPr>
          <w:lang w:val="en-GB"/>
        </w:rPr>
        <w:t xml:space="preserve">open to the Review Panel to instruct the Board to </w:t>
      </w:r>
      <w:r w:rsidR="007D691F" w:rsidRPr="009A71E2">
        <w:rPr>
          <w:lang w:val="en-GB"/>
        </w:rPr>
        <w:t>look into</w:t>
      </w:r>
      <w:r w:rsidR="00A542B5" w:rsidRPr="009A71E2">
        <w:rPr>
          <w:lang w:val="en-GB"/>
        </w:rPr>
        <w:t xml:space="preserve"> </w:t>
      </w:r>
      <w:r w:rsidR="00C24423" w:rsidRPr="009A71E2">
        <w:rPr>
          <w:lang w:val="en-GB"/>
        </w:rPr>
        <w:t xml:space="preserve">the matter so as </w:t>
      </w:r>
      <w:r w:rsidR="00FA1ADE" w:rsidRPr="009A71E2">
        <w:rPr>
          <w:lang w:val="en-GB"/>
        </w:rPr>
        <w:t>to ensure that all the bids meet the criteria set in the bid</w:t>
      </w:r>
      <w:r w:rsidR="00C24423" w:rsidRPr="009A71E2">
        <w:rPr>
          <w:lang w:val="en-GB"/>
        </w:rPr>
        <w:t>ding</w:t>
      </w:r>
      <w:r w:rsidR="00FA1ADE" w:rsidRPr="009A71E2">
        <w:rPr>
          <w:lang w:val="en-GB"/>
        </w:rPr>
        <w:t xml:space="preserve"> documents and </w:t>
      </w:r>
      <w:r w:rsidR="007D691F" w:rsidRPr="009A71E2">
        <w:rPr>
          <w:lang w:val="en-GB"/>
        </w:rPr>
        <w:t xml:space="preserve">are </w:t>
      </w:r>
      <w:r w:rsidR="00FA1ADE" w:rsidRPr="009A71E2">
        <w:rPr>
          <w:lang w:val="en-GB"/>
        </w:rPr>
        <w:t xml:space="preserve">above board. </w:t>
      </w:r>
    </w:p>
    <w:p w14:paraId="21EDC9F2" w14:textId="77777777" w:rsidR="00285B0C" w:rsidRPr="00285B0C" w:rsidRDefault="00285B0C" w:rsidP="0068402A">
      <w:pPr>
        <w:pStyle w:val="ListParagraph"/>
        <w:spacing w:line="480" w:lineRule="auto"/>
        <w:rPr>
          <w:lang w:val="en-GB"/>
        </w:rPr>
      </w:pPr>
    </w:p>
    <w:p w14:paraId="1E183674" w14:textId="40088EAA" w:rsidR="00285B0C" w:rsidRPr="009A71E2" w:rsidRDefault="009A71E2" w:rsidP="009A71E2">
      <w:pPr>
        <w:spacing w:line="480" w:lineRule="auto"/>
        <w:rPr>
          <w:lang w:val="en-GB"/>
        </w:rPr>
      </w:pPr>
      <w:r>
        <w:rPr>
          <w:lang w:val="en-GB"/>
        </w:rPr>
        <w:t>[51]</w:t>
      </w:r>
      <w:r>
        <w:rPr>
          <w:lang w:val="en-GB"/>
        </w:rPr>
        <w:tab/>
      </w:r>
      <w:r w:rsidR="0054146F" w:rsidRPr="009A71E2">
        <w:rPr>
          <w:lang w:val="en-GB"/>
        </w:rPr>
        <w:t>As</w:t>
      </w:r>
      <w:r w:rsidR="00285B0C" w:rsidRPr="009A71E2">
        <w:rPr>
          <w:lang w:val="en-GB"/>
        </w:rPr>
        <w:t xml:space="preserve"> </w:t>
      </w:r>
      <w:r w:rsidR="0054146F" w:rsidRPr="009A71E2">
        <w:rPr>
          <w:lang w:val="en-GB"/>
        </w:rPr>
        <w:t xml:space="preserve">to whether the respondent and the affected other bidders were in </w:t>
      </w:r>
      <w:r w:rsidR="00285B0C" w:rsidRPr="009A71E2">
        <w:rPr>
          <w:lang w:val="en-GB"/>
        </w:rPr>
        <w:t>th</w:t>
      </w:r>
      <w:r w:rsidR="0054146F" w:rsidRPr="009A71E2">
        <w:rPr>
          <w:lang w:val="en-GB"/>
        </w:rPr>
        <w:t xml:space="preserve">e </w:t>
      </w:r>
      <w:r w:rsidR="00285B0C" w:rsidRPr="009A71E2">
        <w:rPr>
          <w:lang w:val="en-GB"/>
        </w:rPr>
        <w:t>t</w:t>
      </w:r>
      <w:r w:rsidR="0054146F" w:rsidRPr="009A71E2">
        <w:rPr>
          <w:lang w:val="en-GB"/>
        </w:rPr>
        <w:t xml:space="preserve">ype of conflict of interest prohibited under ITB 5.2, it is </w:t>
      </w:r>
      <w:r w:rsidR="00792847" w:rsidRPr="009A71E2">
        <w:rPr>
          <w:lang w:val="en-GB"/>
        </w:rPr>
        <w:t xml:space="preserve">for </w:t>
      </w:r>
      <w:r w:rsidR="0054146F" w:rsidRPr="009A71E2">
        <w:rPr>
          <w:lang w:val="en-GB"/>
        </w:rPr>
        <w:t xml:space="preserve">the Board to make that call and </w:t>
      </w:r>
      <w:r w:rsidR="00792847" w:rsidRPr="009A71E2">
        <w:rPr>
          <w:lang w:val="en-GB"/>
        </w:rPr>
        <w:t>a</w:t>
      </w:r>
      <w:r w:rsidR="0054146F" w:rsidRPr="009A71E2">
        <w:rPr>
          <w:lang w:val="en-GB"/>
        </w:rPr>
        <w:t xml:space="preserve"> court should not second guess their decision in that regard.   </w:t>
      </w:r>
      <w:r w:rsidR="00285B0C" w:rsidRPr="009A71E2">
        <w:rPr>
          <w:lang w:val="en-GB"/>
        </w:rPr>
        <w:t xml:space="preserve"> </w:t>
      </w:r>
    </w:p>
    <w:p w14:paraId="3B71FF96" w14:textId="77777777" w:rsidR="00C24423" w:rsidRPr="00C24423" w:rsidRDefault="00C24423" w:rsidP="0068402A">
      <w:pPr>
        <w:spacing w:line="480" w:lineRule="auto"/>
        <w:ind w:left="357"/>
        <w:rPr>
          <w:lang w:val="en-GB"/>
        </w:rPr>
      </w:pPr>
    </w:p>
    <w:p w14:paraId="44DFADA8" w14:textId="2760908A" w:rsidR="00DB0261" w:rsidRPr="009A71E2" w:rsidRDefault="009A71E2" w:rsidP="009A71E2">
      <w:pPr>
        <w:spacing w:line="480" w:lineRule="auto"/>
        <w:rPr>
          <w:lang w:val="en-GB"/>
        </w:rPr>
      </w:pPr>
      <w:r>
        <w:rPr>
          <w:lang w:val="en-GB"/>
        </w:rPr>
        <w:t>[52]</w:t>
      </w:r>
      <w:r>
        <w:rPr>
          <w:lang w:val="en-GB"/>
        </w:rPr>
        <w:tab/>
      </w:r>
      <w:r w:rsidR="0054146F" w:rsidRPr="009A71E2">
        <w:rPr>
          <w:lang w:val="en-GB"/>
        </w:rPr>
        <w:t>To conclude on this aspect, i</w:t>
      </w:r>
      <w:r w:rsidR="00DB0261" w:rsidRPr="009A71E2">
        <w:rPr>
          <w:lang w:val="en-GB"/>
        </w:rPr>
        <w:t xml:space="preserve">t </w:t>
      </w:r>
      <w:r w:rsidR="0054146F" w:rsidRPr="009A71E2">
        <w:rPr>
          <w:lang w:val="en-GB"/>
        </w:rPr>
        <w:t>wa</w:t>
      </w:r>
      <w:r w:rsidR="00DB0261" w:rsidRPr="009A71E2">
        <w:rPr>
          <w:lang w:val="en-GB"/>
        </w:rPr>
        <w:t>s not unlawful for the Review Panel to have directed that the bids be disqualified if they are found unresponsive on the basis of a conflict of interest. This</w:t>
      </w:r>
      <w:r w:rsidR="00A97A0F" w:rsidRPr="009A71E2">
        <w:rPr>
          <w:lang w:val="en-GB"/>
        </w:rPr>
        <w:t xml:space="preserve"> was not only a legal requirement, but it</w:t>
      </w:r>
      <w:r w:rsidR="00DB0261" w:rsidRPr="009A71E2">
        <w:rPr>
          <w:lang w:val="en-GB"/>
        </w:rPr>
        <w:t xml:space="preserve"> </w:t>
      </w:r>
      <w:r w:rsidR="0054146F" w:rsidRPr="009A71E2">
        <w:rPr>
          <w:lang w:val="en-GB"/>
        </w:rPr>
        <w:t>would be the logical thing to do</w:t>
      </w:r>
      <w:r w:rsidR="00DB0261" w:rsidRPr="009A71E2">
        <w:rPr>
          <w:lang w:val="en-GB"/>
        </w:rPr>
        <w:t>. Although it was not necessary for the Review Panel to say so, stating the obvious does not make t</w:t>
      </w:r>
      <w:r w:rsidR="0054146F" w:rsidRPr="009A71E2">
        <w:rPr>
          <w:lang w:val="en-GB"/>
        </w:rPr>
        <w:t>he direction</w:t>
      </w:r>
      <w:r w:rsidR="00DB0261" w:rsidRPr="009A71E2">
        <w:rPr>
          <w:lang w:val="en-GB"/>
        </w:rPr>
        <w:t xml:space="preserve"> unlawful.</w:t>
      </w:r>
    </w:p>
    <w:p w14:paraId="7F9BC672" w14:textId="77777777" w:rsidR="005B0755" w:rsidRPr="005B0755" w:rsidRDefault="005B0755" w:rsidP="0068402A">
      <w:pPr>
        <w:spacing w:line="480" w:lineRule="auto"/>
        <w:ind w:left="360"/>
        <w:rPr>
          <w:lang w:val="en-GB"/>
        </w:rPr>
      </w:pPr>
    </w:p>
    <w:p w14:paraId="04D10089" w14:textId="37ED7F48" w:rsidR="00DB0261" w:rsidRPr="009A71E2" w:rsidRDefault="009A71E2" w:rsidP="009A71E2">
      <w:pPr>
        <w:spacing w:line="480" w:lineRule="auto"/>
        <w:rPr>
          <w:lang w:val="en-GB"/>
        </w:rPr>
      </w:pPr>
      <w:r>
        <w:rPr>
          <w:lang w:val="en-GB"/>
        </w:rPr>
        <w:t>[53]</w:t>
      </w:r>
      <w:r>
        <w:rPr>
          <w:lang w:val="en-GB"/>
        </w:rPr>
        <w:tab/>
      </w:r>
      <w:r w:rsidR="00DB0261" w:rsidRPr="009A71E2">
        <w:rPr>
          <w:lang w:val="en-GB"/>
        </w:rPr>
        <w:t xml:space="preserve">As to the argument based on </w:t>
      </w:r>
      <w:r w:rsidR="005B0755" w:rsidRPr="009A71E2">
        <w:rPr>
          <w:lang w:val="en-GB"/>
        </w:rPr>
        <w:t xml:space="preserve">the </w:t>
      </w:r>
      <w:r w:rsidR="00DB0261" w:rsidRPr="009A71E2">
        <w:rPr>
          <w:lang w:val="en-GB"/>
        </w:rPr>
        <w:t xml:space="preserve">circularity of the process, the answer lies in </w:t>
      </w:r>
      <w:r w:rsidR="005B0755" w:rsidRPr="009A71E2">
        <w:rPr>
          <w:lang w:val="en-GB"/>
        </w:rPr>
        <w:t xml:space="preserve">the </w:t>
      </w:r>
      <w:r w:rsidR="00DB0261" w:rsidRPr="009A71E2">
        <w:rPr>
          <w:lang w:val="en-GB"/>
        </w:rPr>
        <w:t xml:space="preserve">timelines set </w:t>
      </w:r>
      <w:r w:rsidR="005B0755" w:rsidRPr="009A71E2">
        <w:rPr>
          <w:lang w:val="en-GB"/>
        </w:rPr>
        <w:t xml:space="preserve">within which </w:t>
      </w:r>
      <w:r w:rsidR="00DB0261" w:rsidRPr="009A71E2">
        <w:rPr>
          <w:lang w:val="en-GB"/>
        </w:rPr>
        <w:t xml:space="preserve">the </w:t>
      </w:r>
      <w:r w:rsidR="005B0755" w:rsidRPr="009A71E2">
        <w:rPr>
          <w:lang w:val="en-GB"/>
        </w:rPr>
        <w:t xml:space="preserve">bid evaluation committee must complete the </w:t>
      </w:r>
      <w:r w:rsidR="005B0755" w:rsidRPr="009A71E2">
        <w:rPr>
          <w:lang w:val="en-GB"/>
        </w:rPr>
        <w:lastRenderedPageBreak/>
        <w:t>process of examination and evaluation of bids. Regulation 7(3) provides that such process must be completed ‘within 14 days after the opening of the bids or such other period as a public entity may extend, but not</w:t>
      </w:r>
      <w:r w:rsidR="00B86DF8" w:rsidRPr="009A71E2">
        <w:rPr>
          <w:lang w:val="en-GB"/>
        </w:rPr>
        <w:t xml:space="preserve"> exceeding 30 days</w:t>
      </w:r>
      <w:r w:rsidR="005B0755" w:rsidRPr="009A71E2">
        <w:rPr>
          <w:lang w:val="en-GB"/>
        </w:rPr>
        <w:t>’</w:t>
      </w:r>
      <w:r w:rsidR="00B86DF8" w:rsidRPr="009A71E2">
        <w:rPr>
          <w:lang w:val="en-GB"/>
        </w:rPr>
        <w:t>.</w:t>
      </w:r>
      <w:r w:rsidR="005B0755" w:rsidRPr="009A71E2">
        <w:rPr>
          <w:lang w:val="en-GB"/>
        </w:rPr>
        <w:t xml:space="preserve"> </w:t>
      </w:r>
      <w:r w:rsidR="00DB0261" w:rsidRPr="009A71E2">
        <w:rPr>
          <w:lang w:val="en-GB"/>
        </w:rPr>
        <w:t>The proc</w:t>
      </w:r>
      <w:r w:rsidR="007D05EA" w:rsidRPr="009A71E2">
        <w:rPr>
          <w:lang w:val="en-GB"/>
        </w:rPr>
        <w:t xml:space="preserve">ess </w:t>
      </w:r>
      <w:r w:rsidR="00DB0261" w:rsidRPr="009A71E2">
        <w:rPr>
          <w:lang w:val="en-GB"/>
        </w:rPr>
        <w:t>is th</w:t>
      </w:r>
      <w:r w:rsidR="007D05EA" w:rsidRPr="009A71E2">
        <w:rPr>
          <w:lang w:val="en-GB"/>
        </w:rPr>
        <w:t>erefore</w:t>
      </w:r>
      <w:r w:rsidR="00DB0261" w:rsidRPr="009A71E2">
        <w:rPr>
          <w:lang w:val="en-GB"/>
        </w:rPr>
        <w:t xml:space="preserve"> unlikely to be </w:t>
      </w:r>
      <w:r w:rsidR="00B846D8" w:rsidRPr="009A71E2">
        <w:rPr>
          <w:lang w:val="en-GB"/>
        </w:rPr>
        <w:t xml:space="preserve">inordinately </w:t>
      </w:r>
      <w:r w:rsidR="00DB0261" w:rsidRPr="009A71E2">
        <w:rPr>
          <w:lang w:val="en-GB"/>
        </w:rPr>
        <w:t xml:space="preserve">delayed by the remittal of the matter to the Board for </w:t>
      </w:r>
      <w:r w:rsidR="00B846D8" w:rsidRPr="009A71E2">
        <w:rPr>
          <w:lang w:val="en-GB"/>
        </w:rPr>
        <w:t xml:space="preserve">its </w:t>
      </w:r>
      <w:r w:rsidR="00DB0261" w:rsidRPr="009A71E2">
        <w:rPr>
          <w:lang w:val="en-GB"/>
        </w:rPr>
        <w:t xml:space="preserve">consideration. </w:t>
      </w:r>
      <w:r w:rsidR="007D05EA" w:rsidRPr="009A71E2">
        <w:rPr>
          <w:lang w:val="en-GB"/>
        </w:rPr>
        <w:t>T</w:t>
      </w:r>
      <w:r w:rsidR="00DB0261" w:rsidRPr="009A71E2">
        <w:rPr>
          <w:lang w:val="en-GB"/>
        </w:rPr>
        <w:t xml:space="preserve">he appeal </w:t>
      </w:r>
      <w:r w:rsidR="007D05EA" w:rsidRPr="009A71E2">
        <w:rPr>
          <w:lang w:val="en-GB"/>
        </w:rPr>
        <w:t>s</w:t>
      </w:r>
      <w:r w:rsidR="00DB0261" w:rsidRPr="009A71E2">
        <w:rPr>
          <w:lang w:val="en-GB"/>
        </w:rPr>
        <w:t xml:space="preserve">hould </w:t>
      </w:r>
      <w:r w:rsidR="007D05EA" w:rsidRPr="009A71E2">
        <w:rPr>
          <w:lang w:val="en-GB"/>
        </w:rPr>
        <w:t xml:space="preserve">therefore </w:t>
      </w:r>
      <w:r w:rsidR="00DB0261" w:rsidRPr="009A71E2">
        <w:rPr>
          <w:lang w:val="en-GB"/>
        </w:rPr>
        <w:t>succeed</w:t>
      </w:r>
      <w:r w:rsidR="00A97A0F" w:rsidRPr="009A71E2">
        <w:rPr>
          <w:lang w:val="en-GB"/>
        </w:rPr>
        <w:t xml:space="preserve"> and an order will be made to that effect</w:t>
      </w:r>
      <w:r w:rsidR="00DB0261" w:rsidRPr="009A71E2">
        <w:rPr>
          <w:lang w:val="en-GB"/>
        </w:rPr>
        <w:t xml:space="preserve">. It remains to make the </w:t>
      </w:r>
      <w:r w:rsidR="00B846D8" w:rsidRPr="009A71E2">
        <w:rPr>
          <w:lang w:val="en-GB"/>
        </w:rPr>
        <w:t xml:space="preserve">appropriate </w:t>
      </w:r>
      <w:r w:rsidR="00DB0261" w:rsidRPr="009A71E2">
        <w:rPr>
          <w:lang w:val="en-GB"/>
        </w:rPr>
        <w:t>order.</w:t>
      </w:r>
    </w:p>
    <w:p w14:paraId="56AF76A1" w14:textId="77777777" w:rsidR="00F60FDE" w:rsidRDefault="00F60FDE" w:rsidP="00F60FDE">
      <w:pPr>
        <w:spacing w:line="480" w:lineRule="auto"/>
        <w:rPr>
          <w:u w:val="single"/>
          <w:lang w:val="en-GB"/>
        </w:rPr>
      </w:pPr>
    </w:p>
    <w:p w14:paraId="60BAAD40" w14:textId="0C9F4F3C" w:rsidR="00A97A0F" w:rsidRPr="00F60FDE" w:rsidRDefault="00F60FDE" w:rsidP="00F60FDE">
      <w:pPr>
        <w:spacing w:line="480" w:lineRule="auto"/>
        <w:rPr>
          <w:u w:val="single"/>
          <w:lang w:val="en-GB"/>
        </w:rPr>
      </w:pPr>
      <w:r w:rsidRPr="00F60FDE">
        <w:rPr>
          <w:u w:val="single"/>
          <w:lang w:val="en-GB"/>
        </w:rPr>
        <w:t>Order</w:t>
      </w:r>
    </w:p>
    <w:p w14:paraId="54B25AE3" w14:textId="495BA628" w:rsidR="001759E2" w:rsidRPr="009A71E2" w:rsidRDefault="009A71E2" w:rsidP="009A71E2">
      <w:pPr>
        <w:spacing w:line="480" w:lineRule="auto"/>
        <w:rPr>
          <w:u w:val="single"/>
          <w:lang w:val="en-GB"/>
        </w:rPr>
      </w:pPr>
      <w:r>
        <w:rPr>
          <w:lang w:val="en-GB"/>
        </w:rPr>
        <w:t>[54]</w:t>
      </w:r>
      <w:r>
        <w:rPr>
          <w:lang w:val="en-GB"/>
        </w:rPr>
        <w:tab/>
      </w:r>
      <w:r w:rsidR="00F60FDE" w:rsidRPr="009A71E2">
        <w:rPr>
          <w:lang w:val="en-GB"/>
        </w:rPr>
        <w:t>In the result, the following order is made:</w:t>
      </w:r>
    </w:p>
    <w:p w14:paraId="4FA698EC" w14:textId="77777777" w:rsidR="00F60FDE" w:rsidRPr="001759E2" w:rsidRDefault="00F60FDE" w:rsidP="00F60FDE">
      <w:pPr>
        <w:pStyle w:val="ListParagraph"/>
        <w:spacing w:line="480" w:lineRule="auto"/>
        <w:ind w:left="0"/>
        <w:rPr>
          <w:u w:val="single"/>
          <w:lang w:val="en-GB"/>
        </w:rPr>
      </w:pPr>
    </w:p>
    <w:p w14:paraId="06DF6DCC" w14:textId="283B2D89" w:rsidR="001759E2" w:rsidRPr="009A71E2" w:rsidRDefault="009A71E2" w:rsidP="009A71E2">
      <w:pPr>
        <w:spacing w:line="480" w:lineRule="auto"/>
        <w:ind w:left="1350" w:hanging="630"/>
        <w:rPr>
          <w:lang w:val="en-GB"/>
        </w:rPr>
      </w:pPr>
      <w:r>
        <w:rPr>
          <w:lang w:val="en-GB"/>
        </w:rPr>
        <w:t>(a)</w:t>
      </w:r>
      <w:r>
        <w:rPr>
          <w:lang w:val="en-GB"/>
        </w:rPr>
        <w:tab/>
      </w:r>
      <w:r w:rsidR="001759E2" w:rsidRPr="009A71E2">
        <w:rPr>
          <w:lang w:val="en-GB"/>
        </w:rPr>
        <w:t>The appeal succeeds</w:t>
      </w:r>
      <w:r w:rsidR="009A73BF" w:rsidRPr="009A71E2">
        <w:rPr>
          <w:lang w:val="en-GB"/>
        </w:rPr>
        <w:t xml:space="preserve"> with costs, such costs to include the costs of one instructed and one instructing legal practitioner</w:t>
      </w:r>
      <w:r w:rsidR="001759E2" w:rsidRPr="009A71E2">
        <w:rPr>
          <w:lang w:val="en-GB"/>
        </w:rPr>
        <w:t>.</w:t>
      </w:r>
    </w:p>
    <w:p w14:paraId="4F8D2D0B" w14:textId="77777777" w:rsidR="00971A81" w:rsidRDefault="00971A81" w:rsidP="0068402A">
      <w:pPr>
        <w:pStyle w:val="ListParagraph"/>
        <w:spacing w:line="480" w:lineRule="auto"/>
        <w:ind w:left="1350"/>
        <w:rPr>
          <w:lang w:val="en-GB"/>
        </w:rPr>
      </w:pPr>
    </w:p>
    <w:p w14:paraId="784B9F05" w14:textId="4598EFA9" w:rsidR="001759E2" w:rsidRPr="009A71E2" w:rsidRDefault="009A71E2" w:rsidP="009A71E2">
      <w:pPr>
        <w:spacing w:line="480" w:lineRule="auto"/>
        <w:ind w:left="1350" w:hanging="630"/>
        <w:rPr>
          <w:lang w:val="en-GB"/>
        </w:rPr>
      </w:pPr>
      <w:r>
        <w:rPr>
          <w:lang w:val="en-GB"/>
        </w:rPr>
        <w:t>(b)</w:t>
      </w:r>
      <w:r>
        <w:rPr>
          <w:lang w:val="en-GB"/>
        </w:rPr>
        <w:tab/>
      </w:r>
      <w:r w:rsidR="001759E2" w:rsidRPr="009A71E2">
        <w:rPr>
          <w:lang w:val="en-GB"/>
        </w:rPr>
        <w:t>The order of the High Court is set aside and the following order is substituted therefor:</w:t>
      </w:r>
    </w:p>
    <w:p w14:paraId="7605E56C" w14:textId="77777777" w:rsidR="00971A81" w:rsidRDefault="00971A81" w:rsidP="0068402A">
      <w:pPr>
        <w:pStyle w:val="ListParagraph"/>
        <w:spacing w:line="480" w:lineRule="auto"/>
        <w:ind w:left="1350"/>
        <w:rPr>
          <w:lang w:val="en-GB"/>
        </w:rPr>
      </w:pPr>
    </w:p>
    <w:p w14:paraId="2C9D1C01" w14:textId="695D1C86" w:rsidR="001759E2" w:rsidRDefault="001759E2" w:rsidP="0068402A">
      <w:pPr>
        <w:pStyle w:val="ListParagraph"/>
        <w:spacing w:line="480" w:lineRule="auto"/>
        <w:ind w:left="1350"/>
        <w:rPr>
          <w:lang w:val="en-GB"/>
        </w:rPr>
      </w:pPr>
      <w:r>
        <w:rPr>
          <w:lang w:val="en-GB"/>
        </w:rPr>
        <w:t>‘The application is dismissed with costs</w:t>
      </w:r>
      <w:r w:rsidR="009A73BF">
        <w:rPr>
          <w:lang w:val="en-GB"/>
        </w:rPr>
        <w:t xml:space="preserve">, such costs to include </w:t>
      </w:r>
      <w:r w:rsidR="00792847">
        <w:rPr>
          <w:lang w:val="en-GB"/>
        </w:rPr>
        <w:t xml:space="preserve">the </w:t>
      </w:r>
      <w:r w:rsidR="009A73BF">
        <w:rPr>
          <w:lang w:val="en-GB"/>
        </w:rPr>
        <w:t>costs of one instructed and one instructing legal practitioner</w:t>
      </w:r>
      <w:r>
        <w:rPr>
          <w:lang w:val="en-GB"/>
        </w:rPr>
        <w:t>.’</w:t>
      </w:r>
    </w:p>
    <w:p w14:paraId="3641C1E9" w14:textId="77777777" w:rsidR="001759E2" w:rsidRDefault="001759E2" w:rsidP="0068402A">
      <w:pPr>
        <w:spacing w:line="480" w:lineRule="auto"/>
        <w:rPr>
          <w:lang w:val="en-GB"/>
        </w:rPr>
      </w:pPr>
    </w:p>
    <w:p w14:paraId="5553507D" w14:textId="77777777" w:rsidR="00B83093" w:rsidRDefault="00B83093" w:rsidP="0068402A">
      <w:pPr>
        <w:spacing w:line="480" w:lineRule="auto"/>
        <w:rPr>
          <w:lang w:val="en-GB"/>
        </w:rPr>
      </w:pPr>
    </w:p>
    <w:p w14:paraId="60270306" w14:textId="2EDBE31D" w:rsidR="001759E2" w:rsidRDefault="001759E2" w:rsidP="0068402A">
      <w:pPr>
        <w:spacing w:line="276" w:lineRule="auto"/>
        <w:rPr>
          <w:lang w:val="en-GB"/>
        </w:rPr>
      </w:pPr>
      <w:r>
        <w:rPr>
          <w:lang w:val="en-GB"/>
        </w:rPr>
        <w:t>_____________</w:t>
      </w:r>
    </w:p>
    <w:p w14:paraId="7A5B895C" w14:textId="7F16F5AD" w:rsidR="008C5A9F" w:rsidRPr="00B83093" w:rsidRDefault="001759E2" w:rsidP="0068402A">
      <w:pPr>
        <w:spacing w:line="276" w:lineRule="auto"/>
        <w:rPr>
          <w:b/>
          <w:lang w:val="en-GB"/>
        </w:rPr>
      </w:pPr>
      <w:r w:rsidRPr="00B83093">
        <w:rPr>
          <w:b/>
          <w:lang w:val="en-GB"/>
        </w:rPr>
        <w:t>SHIVUTE CJ</w:t>
      </w:r>
      <w:r w:rsidR="00DB0261" w:rsidRPr="00B83093">
        <w:rPr>
          <w:b/>
          <w:lang w:val="en-GB"/>
        </w:rPr>
        <w:t xml:space="preserve">    </w:t>
      </w:r>
    </w:p>
    <w:p w14:paraId="442027EB" w14:textId="01EB9609" w:rsidR="008C5A9F" w:rsidRDefault="008C5A9F" w:rsidP="0068402A">
      <w:pPr>
        <w:pStyle w:val="ListParagraph"/>
        <w:spacing w:line="276" w:lineRule="auto"/>
        <w:ind w:left="0"/>
        <w:rPr>
          <w:lang w:val="en-GB"/>
        </w:rPr>
      </w:pPr>
    </w:p>
    <w:p w14:paraId="665AD58C" w14:textId="77777777" w:rsidR="00B83093" w:rsidRDefault="00B83093" w:rsidP="0068402A">
      <w:pPr>
        <w:pStyle w:val="ListParagraph"/>
        <w:spacing w:line="276" w:lineRule="auto"/>
        <w:ind w:left="0"/>
        <w:rPr>
          <w:lang w:val="en-GB"/>
        </w:rPr>
      </w:pPr>
    </w:p>
    <w:p w14:paraId="3857045F" w14:textId="77777777" w:rsidR="00551A93" w:rsidRPr="001759E2" w:rsidRDefault="00551A93" w:rsidP="0068402A">
      <w:pPr>
        <w:pStyle w:val="ListParagraph"/>
        <w:spacing w:line="276" w:lineRule="auto"/>
        <w:ind w:left="0"/>
        <w:rPr>
          <w:lang w:val="en-GB"/>
        </w:rPr>
      </w:pPr>
    </w:p>
    <w:p w14:paraId="5BE6C1E0" w14:textId="77777777" w:rsidR="002A7F4D" w:rsidRPr="00FE01C3" w:rsidRDefault="002A7F4D" w:rsidP="0068402A">
      <w:pPr>
        <w:pStyle w:val="ListParagraph"/>
        <w:spacing w:line="276" w:lineRule="auto"/>
        <w:ind w:left="0"/>
        <w:rPr>
          <w:lang w:val="en-GB"/>
        </w:rPr>
      </w:pPr>
    </w:p>
    <w:p w14:paraId="77FA31A8" w14:textId="77777777" w:rsidR="001759E2" w:rsidRDefault="001759E2" w:rsidP="0068402A">
      <w:pPr>
        <w:spacing w:line="276" w:lineRule="auto"/>
        <w:rPr>
          <w:lang w:val="en-GB"/>
        </w:rPr>
      </w:pPr>
      <w:r>
        <w:rPr>
          <w:lang w:val="en-GB"/>
        </w:rPr>
        <w:t>______________</w:t>
      </w:r>
    </w:p>
    <w:p w14:paraId="557CAB12" w14:textId="77777777" w:rsidR="001759E2" w:rsidRPr="00B83093" w:rsidRDefault="001759E2" w:rsidP="0068402A">
      <w:pPr>
        <w:spacing w:line="276" w:lineRule="auto"/>
        <w:rPr>
          <w:b/>
          <w:lang w:val="en-GB"/>
        </w:rPr>
      </w:pPr>
      <w:r w:rsidRPr="00B83093">
        <w:rPr>
          <w:b/>
          <w:lang w:val="en-GB"/>
        </w:rPr>
        <w:t>MAINGA JA</w:t>
      </w:r>
    </w:p>
    <w:p w14:paraId="00C0CAD7" w14:textId="77777777" w:rsidR="001759E2" w:rsidRDefault="001759E2" w:rsidP="0068402A">
      <w:pPr>
        <w:spacing w:line="276" w:lineRule="auto"/>
        <w:rPr>
          <w:lang w:val="en-GB"/>
        </w:rPr>
      </w:pPr>
    </w:p>
    <w:p w14:paraId="4730664D" w14:textId="77777777" w:rsidR="001759E2" w:rsidRDefault="001759E2" w:rsidP="0068402A">
      <w:pPr>
        <w:spacing w:line="276" w:lineRule="auto"/>
        <w:rPr>
          <w:lang w:val="en-GB"/>
        </w:rPr>
      </w:pPr>
    </w:p>
    <w:p w14:paraId="34EA4A99" w14:textId="77777777" w:rsidR="001759E2" w:rsidRDefault="001759E2" w:rsidP="0068402A">
      <w:pPr>
        <w:spacing w:line="276" w:lineRule="auto"/>
        <w:rPr>
          <w:lang w:val="en-GB"/>
        </w:rPr>
      </w:pPr>
    </w:p>
    <w:p w14:paraId="0278A330" w14:textId="77777777" w:rsidR="001759E2" w:rsidRDefault="001759E2" w:rsidP="0068402A">
      <w:pPr>
        <w:spacing w:line="276" w:lineRule="auto"/>
        <w:rPr>
          <w:lang w:val="en-GB"/>
        </w:rPr>
      </w:pPr>
    </w:p>
    <w:p w14:paraId="00BFDF3D" w14:textId="77777777" w:rsidR="001759E2" w:rsidRDefault="001759E2" w:rsidP="0068402A">
      <w:pPr>
        <w:spacing w:line="276" w:lineRule="auto"/>
        <w:rPr>
          <w:lang w:val="en-GB"/>
        </w:rPr>
      </w:pPr>
    </w:p>
    <w:p w14:paraId="469375A8" w14:textId="77777777" w:rsidR="006961C4" w:rsidRDefault="006961C4" w:rsidP="0068402A">
      <w:pPr>
        <w:spacing w:line="276" w:lineRule="auto"/>
        <w:rPr>
          <w:lang w:val="en-GB"/>
        </w:rPr>
      </w:pPr>
    </w:p>
    <w:p w14:paraId="7D4F7D4F" w14:textId="77777777" w:rsidR="00551A93" w:rsidRDefault="00551A93" w:rsidP="0068402A">
      <w:pPr>
        <w:spacing w:line="276" w:lineRule="auto"/>
        <w:rPr>
          <w:lang w:val="en-GB"/>
        </w:rPr>
      </w:pPr>
    </w:p>
    <w:p w14:paraId="5BDA686D" w14:textId="77777777" w:rsidR="001759E2" w:rsidRDefault="001759E2" w:rsidP="0068402A">
      <w:pPr>
        <w:spacing w:line="276" w:lineRule="auto"/>
        <w:rPr>
          <w:lang w:val="en-GB"/>
        </w:rPr>
      </w:pPr>
      <w:r>
        <w:rPr>
          <w:lang w:val="en-GB"/>
        </w:rPr>
        <w:t>______________</w:t>
      </w:r>
    </w:p>
    <w:p w14:paraId="3EA89F98" w14:textId="2A0547E9" w:rsidR="002A7F4D" w:rsidRPr="00B83093" w:rsidRDefault="001759E2" w:rsidP="0068402A">
      <w:pPr>
        <w:spacing w:line="276" w:lineRule="auto"/>
        <w:rPr>
          <w:b/>
          <w:lang w:val="en-GB"/>
        </w:rPr>
      </w:pPr>
      <w:r w:rsidRPr="00B83093">
        <w:rPr>
          <w:b/>
          <w:lang w:val="en-GB"/>
        </w:rPr>
        <w:t>HOFF JA</w:t>
      </w:r>
      <w:r w:rsidR="002A7F4D" w:rsidRPr="00B83093">
        <w:rPr>
          <w:b/>
          <w:lang w:val="en-GB"/>
        </w:rPr>
        <w:br w:type="page"/>
      </w:r>
    </w:p>
    <w:p w14:paraId="33342857" w14:textId="77777777" w:rsidR="001759E2" w:rsidRPr="00FE01C3" w:rsidRDefault="001759E2" w:rsidP="0068402A">
      <w:pPr>
        <w:rPr>
          <w:lang w:val="en-GB"/>
        </w:rPr>
      </w:pPr>
    </w:p>
    <w:p w14:paraId="65FF4F4D" w14:textId="77777777" w:rsidR="002A7F4D" w:rsidRPr="00FE01C3" w:rsidRDefault="002A7F4D" w:rsidP="0068402A">
      <w:pPr>
        <w:pStyle w:val="ListParagraph"/>
        <w:spacing w:line="480" w:lineRule="auto"/>
        <w:ind w:left="0"/>
        <w:rPr>
          <w:lang w:val="en-GB"/>
        </w:rPr>
      </w:pPr>
      <w:r w:rsidRPr="00FE01C3">
        <w:rPr>
          <w:lang w:val="en-GB"/>
        </w:rPr>
        <w:t>APPEARANCES</w:t>
      </w:r>
    </w:p>
    <w:p w14:paraId="0E9228F3" w14:textId="77777777" w:rsidR="002A7F4D" w:rsidRPr="00FE01C3" w:rsidRDefault="002A7F4D" w:rsidP="0068402A">
      <w:pPr>
        <w:pStyle w:val="ListParagraph"/>
        <w:spacing w:line="480" w:lineRule="auto"/>
        <w:ind w:left="0"/>
        <w:rPr>
          <w:lang w:val="en-GB"/>
        </w:rPr>
      </w:pPr>
    </w:p>
    <w:p w14:paraId="18399BF1" w14:textId="4E6DC1EB" w:rsidR="002A7F4D" w:rsidRPr="00FE01C3" w:rsidRDefault="002A7F4D" w:rsidP="0068402A">
      <w:pPr>
        <w:pStyle w:val="ListParagraph"/>
        <w:spacing w:line="480" w:lineRule="auto"/>
        <w:ind w:left="0"/>
        <w:rPr>
          <w:lang w:val="en-GB"/>
        </w:rPr>
      </w:pPr>
      <w:r w:rsidRPr="00FE01C3">
        <w:rPr>
          <w:lang w:val="en-GB"/>
        </w:rPr>
        <w:t>APPELLANT</w:t>
      </w:r>
      <w:r w:rsidR="0032527B" w:rsidRPr="00FE01C3">
        <w:rPr>
          <w:lang w:val="en-GB"/>
        </w:rPr>
        <w:t>S</w:t>
      </w:r>
      <w:r w:rsidRPr="00FE01C3">
        <w:rPr>
          <w:lang w:val="en-GB"/>
        </w:rPr>
        <w:t>:</w:t>
      </w:r>
      <w:r w:rsidRPr="00FE01C3">
        <w:rPr>
          <w:lang w:val="en-GB"/>
        </w:rPr>
        <w:tab/>
      </w:r>
      <w:r w:rsidRPr="00FE01C3">
        <w:rPr>
          <w:lang w:val="en-GB"/>
        </w:rPr>
        <w:tab/>
      </w:r>
      <w:r w:rsidRPr="00FE01C3">
        <w:rPr>
          <w:lang w:val="en-GB"/>
        </w:rPr>
        <w:tab/>
      </w:r>
      <w:r w:rsidRPr="00FE01C3">
        <w:rPr>
          <w:lang w:val="en-GB"/>
        </w:rPr>
        <w:tab/>
      </w:r>
      <w:r w:rsidRPr="00FE01C3">
        <w:rPr>
          <w:lang w:val="en-GB"/>
        </w:rPr>
        <w:tab/>
        <w:t>G Narib</w:t>
      </w:r>
      <w:r w:rsidR="0067603B">
        <w:rPr>
          <w:lang w:val="en-GB"/>
        </w:rPr>
        <w:t xml:space="preserve"> (with him J Ludwig)</w:t>
      </w:r>
    </w:p>
    <w:p w14:paraId="75201FB9" w14:textId="77777777" w:rsidR="002A7F4D" w:rsidRPr="00FE01C3" w:rsidRDefault="002A7F4D" w:rsidP="0068402A">
      <w:pPr>
        <w:pStyle w:val="ListParagraph"/>
        <w:spacing w:line="480" w:lineRule="auto"/>
        <w:ind w:left="0"/>
        <w:rPr>
          <w:lang w:val="en-GB"/>
        </w:rPr>
      </w:pPr>
      <w:r w:rsidRPr="00FE01C3">
        <w:rPr>
          <w:lang w:val="en-GB"/>
        </w:rPr>
        <w:tab/>
      </w:r>
      <w:r w:rsidRPr="00FE01C3">
        <w:rPr>
          <w:lang w:val="en-GB"/>
        </w:rPr>
        <w:tab/>
      </w:r>
      <w:r w:rsidRPr="00FE01C3">
        <w:rPr>
          <w:lang w:val="en-GB"/>
        </w:rPr>
        <w:tab/>
      </w:r>
      <w:r w:rsidRPr="00FE01C3">
        <w:rPr>
          <w:lang w:val="en-GB"/>
        </w:rPr>
        <w:tab/>
      </w:r>
      <w:r w:rsidRPr="00FE01C3">
        <w:rPr>
          <w:lang w:val="en-GB"/>
        </w:rPr>
        <w:tab/>
      </w:r>
      <w:r w:rsidRPr="00FE01C3">
        <w:rPr>
          <w:lang w:val="en-GB"/>
        </w:rPr>
        <w:tab/>
      </w:r>
      <w:r w:rsidRPr="00FE01C3">
        <w:rPr>
          <w:lang w:val="en-GB"/>
        </w:rPr>
        <w:tab/>
        <w:t>Instructed by Government Attorney</w:t>
      </w:r>
    </w:p>
    <w:p w14:paraId="6C6DFEBB" w14:textId="77777777" w:rsidR="002A7F4D" w:rsidRPr="00FE01C3" w:rsidRDefault="002A7F4D" w:rsidP="0068402A">
      <w:pPr>
        <w:pStyle w:val="ListParagraph"/>
        <w:spacing w:line="480" w:lineRule="auto"/>
        <w:ind w:left="0"/>
        <w:rPr>
          <w:lang w:val="en-GB"/>
        </w:rPr>
      </w:pPr>
    </w:p>
    <w:p w14:paraId="52D235F5" w14:textId="7637F025" w:rsidR="002A7F4D" w:rsidRPr="00FE01C3" w:rsidRDefault="002A7F4D" w:rsidP="0068402A">
      <w:pPr>
        <w:pStyle w:val="ListParagraph"/>
        <w:spacing w:line="480" w:lineRule="auto"/>
        <w:ind w:left="0"/>
        <w:rPr>
          <w:lang w:val="en-GB"/>
        </w:rPr>
      </w:pPr>
      <w:r w:rsidRPr="00FE01C3">
        <w:rPr>
          <w:lang w:val="en-GB"/>
        </w:rPr>
        <w:t>RESPONDENT:</w:t>
      </w:r>
      <w:r w:rsidRPr="00FE01C3">
        <w:rPr>
          <w:lang w:val="en-GB"/>
        </w:rPr>
        <w:tab/>
      </w:r>
      <w:r w:rsidRPr="00FE01C3">
        <w:rPr>
          <w:lang w:val="en-GB"/>
        </w:rPr>
        <w:tab/>
      </w:r>
      <w:r w:rsidRPr="00FE01C3">
        <w:rPr>
          <w:lang w:val="en-GB"/>
        </w:rPr>
        <w:tab/>
      </w:r>
      <w:r w:rsidRPr="00FE01C3">
        <w:rPr>
          <w:lang w:val="en-GB"/>
        </w:rPr>
        <w:tab/>
      </w:r>
      <w:r w:rsidRPr="00FE01C3">
        <w:rPr>
          <w:lang w:val="en-GB"/>
        </w:rPr>
        <w:tab/>
        <w:t>S Namandje (with him K Gaeb)</w:t>
      </w:r>
    </w:p>
    <w:p w14:paraId="656CD2BD" w14:textId="3B4F0541" w:rsidR="002A7F4D" w:rsidRPr="00FE01C3" w:rsidRDefault="002A7F4D" w:rsidP="0068402A">
      <w:pPr>
        <w:pStyle w:val="ListParagraph"/>
        <w:spacing w:line="480" w:lineRule="auto"/>
        <w:ind w:left="0"/>
        <w:rPr>
          <w:lang w:val="en-GB"/>
        </w:rPr>
      </w:pPr>
      <w:r w:rsidRPr="00FE01C3">
        <w:rPr>
          <w:lang w:val="en-GB"/>
        </w:rPr>
        <w:tab/>
      </w:r>
      <w:r w:rsidRPr="00FE01C3">
        <w:rPr>
          <w:lang w:val="en-GB"/>
        </w:rPr>
        <w:tab/>
      </w:r>
      <w:r w:rsidRPr="00FE01C3">
        <w:rPr>
          <w:lang w:val="en-GB"/>
        </w:rPr>
        <w:tab/>
      </w:r>
      <w:r w:rsidRPr="00FE01C3">
        <w:rPr>
          <w:lang w:val="en-GB"/>
        </w:rPr>
        <w:tab/>
      </w:r>
      <w:r w:rsidRPr="00FE01C3">
        <w:rPr>
          <w:lang w:val="en-GB"/>
        </w:rPr>
        <w:tab/>
      </w:r>
      <w:r w:rsidRPr="00FE01C3">
        <w:rPr>
          <w:lang w:val="en-GB"/>
        </w:rPr>
        <w:tab/>
      </w:r>
      <w:r w:rsidRPr="00FE01C3">
        <w:rPr>
          <w:lang w:val="en-GB"/>
        </w:rPr>
        <w:tab/>
        <w:t xml:space="preserve">Of Sisa Namandje </w:t>
      </w:r>
      <w:r w:rsidR="0067603B">
        <w:rPr>
          <w:lang w:val="en-GB"/>
        </w:rPr>
        <w:t xml:space="preserve">&amp; </w:t>
      </w:r>
      <w:r w:rsidRPr="00FE01C3">
        <w:rPr>
          <w:lang w:val="en-GB"/>
        </w:rPr>
        <w:t>Co Inc</w:t>
      </w:r>
    </w:p>
    <w:p w14:paraId="1ADD9B97" w14:textId="77777777" w:rsidR="002A7F4D" w:rsidRPr="00FE01C3" w:rsidRDefault="002A7F4D" w:rsidP="0068402A">
      <w:pPr>
        <w:pStyle w:val="ListParagraph"/>
        <w:spacing w:line="480" w:lineRule="auto"/>
        <w:ind w:left="0"/>
        <w:rPr>
          <w:lang w:val="en-GB"/>
        </w:rPr>
      </w:pPr>
    </w:p>
    <w:sectPr w:rsidR="002A7F4D" w:rsidRPr="00FE01C3" w:rsidSect="00E14CAA">
      <w:headerReference w:type="default" r:id="rId12"/>
      <w:pgSz w:w="11906" w:h="16838" w:code="9"/>
      <w:pgMar w:top="1701" w:right="1418" w:bottom="1418"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6F3D" w14:textId="77777777" w:rsidR="00542C18" w:rsidRDefault="00542C18" w:rsidP="00E14CAA">
      <w:r>
        <w:separator/>
      </w:r>
    </w:p>
  </w:endnote>
  <w:endnote w:type="continuationSeparator" w:id="0">
    <w:p w14:paraId="4E5C1A76" w14:textId="77777777" w:rsidR="00542C18" w:rsidRDefault="00542C18" w:rsidP="00E1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E5FE" w14:textId="77777777" w:rsidR="00542C18" w:rsidRDefault="00542C18" w:rsidP="00E14CAA">
      <w:r>
        <w:separator/>
      </w:r>
    </w:p>
  </w:footnote>
  <w:footnote w:type="continuationSeparator" w:id="0">
    <w:p w14:paraId="3EA28C67" w14:textId="77777777" w:rsidR="00542C18" w:rsidRDefault="00542C18" w:rsidP="00E14CAA">
      <w:r>
        <w:continuationSeparator/>
      </w:r>
    </w:p>
  </w:footnote>
  <w:footnote w:id="1">
    <w:p w14:paraId="0E77BFB6" w14:textId="2EF87F91" w:rsidR="00B96EBF" w:rsidRPr="00B96EBF" w:rsidRDefault="00B96EBF">
      <w:pPr>
        <w:pStyle w:val="FootnoteText"/>
        <w:rPr>
          <w:lang w:val="en-US"/>
        </w:rPr>
      </w:pPr>
      <w:r>
        <w:rPr>
          <w:rStyle w:val="FootnoteReference"/>
        </w:rPr>
        <w:footnoteRef/>
      </w:r>
      <w:r>
        <w:t xml:space="preserve"> </w:t>
      </w:r>
      <w:r>
        <w:rPr>
          <w:lang w:val="en-US"/>
        </w:rPr>
        <w:t>Section 2(a)</w:t>
      </w:r>
      <w:r w:rsidR="003C78EB">
        <w:rPr>
          <w:lang w:val="en-US"/>
        </w:rPr>
        <w:t xml:space="preserve"> (as amended).</w:t>
      </w:r>
    </w:p>
  </w:footnote>
  <w:footnote w:id="2">
    <w:p w14:paraId="7F475570" w14:textId="7E2F1F9F" w:rsidR="0063549C" w:rsidRPr="0063549C" w:rsidRDefault="0063549C">
      <w:pPr>
        <w:pStyle w:val="FootnoteText"/>
        <w:rPr>
          <w:lang w:val="en-US"/>
        </w:rPr>
      </w:pPr>
      <w:r>
        <w:rPr>
          <w:rStyle w:val="FootnoteReference"/>
        </w:rPr>
        <w:footnoteRef/>
      </w:r>
      <w:r>
        <w:t xml:space="preserve"> </w:t>
      </w:r>
      <w:r>
        <w:rPr>
          <w:lang w:val="en-US"/>
        </w:rPr>
        <w:t>Section 9(2).</w:t>
      </w:r>
    </w:p>
  </w:footnote>
  <w:footnote w:id="3">
    <w:p w14:paraId="5EBDF7EC" w14:textId="38FFC9D4" w:rsidR="00850F3E" w:rsidRPr="00850F3E" w:rsidRDefault="00850F3E">
      <w:pPr>
        <w:pStyle w:val="FootnoteText"/>
        <w:rPr>
          <w:lang w:val="en-US"/>
        </w:rPr>
      </w:pPr>
      <w:r>
        <w:rPr>
          <w:rStyle w:val="FootnoteReference"/>
        </w:rPr>
        <w:footnoteRef/>
      </w:r>
      <w:r>
        <w:t xml:space="preserve"> </w:t>
      </w:r>
      <w:r>
        <w:rPr>
          <w:lang w:val="en-US"/>
        </w:rPr>
        <w:t>Section 6(2).</w:t>
      </w:r>
    </w:p>
  </w:footnote>
  <w:footnote w:id="4">
    <w:p w14:paraId="09A24033" w14:textId="6FA742FB" w:rsidR="0063549C" w:rsidRPr="0063549C" w:rsidRDefault="0063549C">
      <w:pPr>
        <w:pStyle w:val="FootnoteText"/>
        <w:rPr>
          <w:lang w:val="en-US"/>
        </w:rPr>
      </w:pPr>
      <w:r>
        <w:rPr>
          <w:rStyle w:val="FootnoteReference"/>
        </w:rPr>
        <w:footnoteRef/>
      </w:r>
      <w:r>
        <w:t xml:space="preserve"> </w:t>
      </w:r>
      <w:r>
        <w:rPr>
          <w:lang w:val="en-US"/>
        </w:rPr>
        <w:t>Section 11(1)</w:t>
      </w:r>
      <w:r w:rsidRPr="00240BD7">
        <w:rPr>
          <w:i/>
          <w:lang w:val="en-US"/>
        </w:rPr>
        <w:t>(c)</w:t>
      </w:r>
      <w:r>
        <w:rPr>
          <w:lang w:val="en-US"/>
        </w:rPr>
        <w:t>.</w:t>
      </w:r>
    </w:p>
  </w:footnote>
  <w:footnote w:id="5">
    <w:p w14:paraId="3D9D5F9C" w14:textId="0934F7D7" w:rsidR="00252FAB" w:rsidRPr="00252FAB" w:rsidRDefault="00252FAB">
      <w:pPr>
        <w:pStyle w:val="FootnoteText"/>
        <w:rPr>
          <w:lang w:val="en-US"/>
        </w:rPr>
      </w:pPr>
      <w:r>
        <w:rPr>
          <w:rStyle w:val="FootnoteReference"/>
        </w:rPr>
        <w:footnoteRef/>
      </w:r>
      <w:r>
        <w:t xml:space="preserve"> </w:t>
      </w:r>
      <w:r>
        <w:rPr>
          <w:lang w:val="en-US"/>
        </w:rPr>
        <w:t>Section 10(1)</w:t>
      </w:r>
      <w:r w:rsidRPr="00240BD7">
        <w:rPr>
          <w:i/>
          <w:lang w:val="en-US"/>
        </w:rPr>
        <w:t>(a)</w:t>
      </w:r>
      <w:r>
        <w:rPr>
          <w:lang w:val="en-US"/>
        </w:rPr>
        <w:t>.</w:t>
      </w:r>
    </w:p>
  </w:footnote>
  <w:footnote w:id="6">
    <w:p w14:paraId="65F2E3B9" w14:textId="32E58B25" w:rsidR="00252FAB" w:rsidRPr="00252FAB" w:rsidRDefault="00252FAB">
      <w:pPr>
        <w:pStyle w:val="FootnoteText"/>
        <w:rPr>
          <w:lang w:val="en-US"/>
        </w:rPr>
      </w:pPr>
      <w:r>
        <w:rPr>
          <w:rStyle w:val="FootnoteReference"/>
        </w:rPr>
        <w:footnoteRef/>
      </w:r>
      <w:r>
        <w:t xml:space="preserve"> </w:t>
      </w:r>
      <w:r>
        <w:rPr>
          <w:lang w:val="en-US"/>
        </w:rPr>
        <w:t>Section 10(1)</w:t>
      </w:r>
      <w:r w:rsidRPr="00240BD7">
        <w:rPr>
          <w:i/>
          <w:lang w:val="en-US"/>
        </w:rPr>
        <w:t>(c)</w:t>
      </w:r>
      <w:r>
        <w:rPr>
          <w:lang w:val="en-US"/>
        </w:rPr>
        <w:t>.</w:t>
      </w:r>
    </w:p>
  </w:footnote>
  <w:footnote w:id="7">
    <w:p w14:paraId="7351B861" w14:textId="01701B4D" w:rsidR="00482ECD" w:rsidRPr="00482ECD" w:rsidRDefault="00482ECD">
      <w:pPr>
        <w:pStyle w:val="FootnoteText"/>
        <w:rPr>
          <w:lang w:val="en-US"/>
        </w:rPr>
      </w:pPr>
      <w:r>
        <w:rPr>
          <w:rStyle w:val="FootnoteReference"/>
        </w:rPr>
        <w:footnoteRef/>
      </w:r>
      <w:r>
        <w:t xml:space="preserve"> </w:t>
      </w:r>
      <w:r>
        <w:rPr>
          <w:lang w:val="en-US"/>
        </w:rPr>
        <w:t>Section 9</w:t>
      </w:r>
      <w:r w:rsidR="004955F7">
        <w:rPr>
          <w:lang w:val="en-US"/>
        </w:rPr>
        <w:t>(1)</w:t>
      </w:r>
      <w:r w:rsidRPr="00240BD7">
        <w:rPr>
          <w:i/>
          <w:lang w:val="en-US"/>
        </w:rPr>
        <w:t>(b)</w:t>
      </w:r>
      <w:r>
        <w:rPr>
          <w:lang w:val="en-US"/>
        </w:rPr>
        <w:t>.</w:t>
      </w:r>
    </w:p>
  </w:footnote>
  <w:footnote w:id="8">
    <w:p w14:paraId="548716F2" w14:textId="6AE6ED3F" w:rsidR="00482ECD" w:rsidRPr="00482ECD" w:rsidRDefault="00482ECD">
      <w:pPr>
        <w:pStyle w:val="FootnoteText"/>
        <w:rPr>
          <w:lang w:val="en-US"/>
        </w:rPr>
      </w:pPr>
      <w:r>
        <w:rPr>
          <w:rStyle w:val="FootnoteReference"/>
        </w:rPr>
        <w:footnoteRef/>
      </w:r>
      <w:r>
        <w:t xml:space="preserve"> </w:t>
      </w:r>
      <w:r>
        <w:rPr>
          <w:lang w:val="en-US"/>
        </w:rPr>
        <w:t>Section 9</w:t>
      </w:r>
      <w:r w:rsidR="004955F7">
        <w:rPr>
          <w:lang w:val="en-US"/>
        </w:rPr>
        <w:t>(1)</w:t>
      </w:r>
      <w:r w:rsidR="00CC2039" w:rsidRPr="00240BD7">
        <w:rPr>
          <w:i/>
          <w:lang w:val="en-US"/>
        </w:rPr>
        <w:t>(c)</w:t>
      </w:r>
      <w:r w:rsidR="00CC2039">
        <w:rPr>
          <w:lang w:val="en-US"/>
        </w:rPr>
        <w:t>.</w:t>
      </w:r>
    </w:p>
  </w:footnote>
  <w:footnote w:id="9">
    <w:p w14:paraId="5597D00E" w14:textId="2107DD98" w:rsidR="00CC2039" w:rsidRPr="00CC2039" w:rsidRDefault="00CC2039">
      <w:pPr>
        <w:pStyle w:val="FootnoteText"/>
        <w:rPr>
          <w:lang w:val="en-US"/>
        </w:rPr>
      </w:pPr>
      <w:r>
        <w:rPr>
          <w:rStyle w:val="FootnoteReference"/>
        </w:rPr>
        <w:footnoteRef/>
      </w:r>
      <w:r>
        <w:t xml:space="preserve"> </w:t>
      </w:r>
      <w:r>
        <w:rPr>
          <w:lang w:val="en-US"/>
        </w:rPr>
        <w:t>Section 9</w:t>
      </w:r>
      <w:r w:rsidR="00D54D6D">
        <w:rPr>
          <w:lang w:val="en-US"/>
        </w:rPr>
        <w:t>(1)</w:t>
      </w:r>
      <w:r w:rsidRPr="00240BD7">
        <w:rPr>
          <w:i/>
          <w:lang w:val="en-US"/>
        </w:rPr>
        <w:t>(</w:t>
      </w:r>
      <w:r w:rsidR="00A4549B" w:rsidRPr="00240BD7">
        <w:rPr>
          <w:i/>
          <w:lang w:val="en-US"/>
        </w:rPr>
        <w:t>I</w:t>
      </w:r>
      <w:r w:rsidRPr="00240BD7">
        <w:rPr>
          <w:i/>
          <w:lang w:val="en-US"/>
        </w:rPr>
        <w:t>)</w:t>
      </w:r>
      <w:r>
        <w:rPr>
          <w:lang w:val="en-US"/>
        </w:rPr>
        <w:t>.</w:t>
      </w:r>
    </w:p>
  </w:footnote>
  <w:footnote w:id="10">
    <w:p w14:paraId="0F866695" w14:textId="45FE5051" w:rsidR="00BC3BF6" w:rsidRPr="00BC3BF6" w:rsidRDefault="00BC3BF6">
      <w:pPr>
        <w:pStyle w:val="FootnoteText"/>
        <w:rPr>
          <w:lang w:val="en-US"/>
        </w:rPr>
      </w:pPr>
      <w:r>
        <w:rPr>
          <w:rStyle w:val="FootnoteReference"/>
        </w:rPr>
        <w:footnoteRef/>
      </w:r>
      <w:r>
        <w:t xml:space="preserve"> </w:t>
      </w:r>
      <w:r>
        <w:rPr>
          <w:lang w:val="en-US"/>
        </w:rPr>
        <w:t>Section 55(8).</w:t>
      </w:r>
    </w:p>
  </w:footnote>
  <w:footnote w:id="11">
    <w:p w14:paraId="73587F4A" w14:textId="147CC005" w:rsidR="009434A1" w:rsidRPr="009434A1" w:rsidRDefault="009434A1">
      <w:pPr>
        <w:pStyle w:val="FootnoteText"/>
        <w:rPr>
          <w:lang w:val="en-US"/>
        </w:rPr>
      </w:pPr>
      <w:r>
        <w:rPr>
          <w:rStyle w:val="FootnoteReference"/>
        </w:rPr>
        <w:footnoteRef/>
      </w:r>
      <w:r>
        <w:t xml:space="preserve"> </w:t>
      </w:r>
      <w:r>
        <w:rPr>
          <w:lang w:val="en-US"/>
        </w:rPr>
        <w:t>Section 60(a)</w:t>
      </w:r>
      <w:r w:rsidR="00195EB7">
        <w:rPr>
          <w:lang w:val="en-US"/>
        </w:rPr>
        <w:t>.</w:t>
      </w:r>
    </w:p>
  </w:footnote>
  <w:footnote w:id="12">
    <w:p w14:paraId="23964277" w14:textId="4F79F36F" w:rsidR="00195EB7" w:rsidRPr="00195EB7" w:rsidRDefault="00195EB7">
      <w:pPr>
        <w:pStyle w:val="FootnoteText"/>
        <w:rPr>
          <w:lang w:val="en-US"/>
        </w:rPr>
      </w:pPr>
      <w:r>
        <w:rPr>
          <w:rStyle w:val="FootnoteReference"/>
        </w:rPr>
        <w:footnoteRef/>
      </w:r>
      <w:r>
        <w:t xml:space="preserve"> </w:t>
      </w:r>
      <w:r>
        <w:rPr>
          <w:lang w:val="en-US"/>
        </w:rPr>
        <w:t>Section 60(b).</w:t>
      </w:r>
    </w:p>
  </w:footnote>
  <w:footnote w:id="13">
    <w:p w14:paraId="5EA86B71" w14:textId="4722D23F" w:rsidR="00195EB7" w:rsidRPr="00195EB7" w:rsidRDefault="00195EB7">
      <w:pPr>
        <w:pStyle w:val="FootnoteText"/>
        <w:rPr>
          <w:lang w:val="en-US"/>
        </w:rPr>
      </w:pPr>
      <w:r>
        <w:rPr>
          <w:rStyle w:val="FootnoteReference"/>
        </w:rPr>
        <w:footnoteRef/>
      </w:r>
      <w:r>
        <w:t xml:space="preserve"> </w:t>
      </w:r>
      <w:r>
        <w:rPr>
          <w:lang w:val="en-US"/>
        </w:rPr>
        <w:t>Section 60(c).</w:t>
      </w:r>
    </w:p>
  </w:footnote>
  <w:footnote w:id="14">
    <w:p w14:paraId="7D624377" w14:textId="01BC9175" w:rsidR="00195EB7" w:rsidRPr="00195EB7" w:rsidRDefault="00195EB7">
      <w:pPr>
        <w:pStyle w:val="FootnoteText"/>
        <w:rPr>
          <w:lang w:val="en-US"/>
        </w:rPr>
      </w:pPr>
      <w:r>
        <w:rPr>
          <w:rStyle w:val="FootnoteReference"/>
        </w:rPr>
        <w:footnoteRef/>
      </w:r>
      <w:r>
        <w:t xml:space="preserve"> </w:t>
      </w:r>
      <w:r>
        <w:rPr>
          <w:lang w:val="en-US"/>
        </w:rPr>
        <w:t>Section 60(d).</w:t>
      </w:r>
    </w:p>
  </w:footnote>
  <w:footnote w:id="15">
    <w:p w14:paraId="348C3C8D" w14:textId="343B8151" w:rsidR="00195EB7" w:rsidRPr="00195EB7" w:rsidRDefault="00195EB7">
      <w:pPr>
        <w:pStyle w:val="FootnoteText"/>
        <w:rPr>
          <w:lang w:val="en-US"/>
        </w:rPr>
      </w:pPr>
      <w:r>
        <w:rPr>
          <w:rStyle w:val="FootnoteReference"/>
        </w:rPr>
        <w:footnoteRef/>
      </w:r>
      <w:r>
        <w:t xml:space="preserve"> </w:t>
      </w:r>
      <w:r>
        <w:rPr>
          <w:lang w:val="en-US"/>
        </w:rPr>
        <w:t>Section 60(e).</w:t>
      </w:r>
    </w:p>
  </w:footnote>
  <w:footnote w:id="16">
    <w:p w14:paraId="55D6F518" w14:textId="2AD04A13" w:rsidR="00195EB7" w:rsidRPr="00195EB7" w:rsidRDefault="00195EB7">
      <w:pPr>
        <w:pStyle w:val="FootnoteText"/>
        <w:rPr>
          <w:lang w:val="en-US"/>
        </w:rPr>
      </w:pPr>
      <w:r>
        <w:rPr>
          <w:rStyle w:val="FootnoteReference"/>
        </w:rPr>
        <w:footnoteRef/>
      </w:r>
      <w:r>
        <w:t xml:space="preserve"> </w:t>
      </w:r>
      <w:r>
        <w:rPr>
          <w:lang w:val="en-US"/>
        </w:rPr>
        <w:t>Section 60(f)</w:t>
      </w:r>
    </w:p>
  </w:footnote>
  <w:footnote w:id="17">
    <w:p w14:paraId="54071BA9" w14:textId="6016E050" w:rsidR="00322A33" w:rsidRPr="00322A33" w:rsidRDefault="00322A33">
      <w:pPr>
        <w:pStyle w:val="FootnoteText"/>
        <w:rPr>
          <w:lang w:val="en-US"/>
        </w:rPr>
      </w:pPr>
      <w:r>
        <w:rPr>
          <w:rStyle w:val="FootnoteReference"/>
        </w:rPr>
        <w:footnoteRef/>
      </w:r>
      <w:r>
        <w:t xml:space="preserve"> </w:t>
      </w:r>
      <w:r w:rsidRPr="002435AC">
        <w:rPr>
          <w:i/>
          <w:lang w:val="en-US"/>
        </w:rPr>
        <w:t xml:space="preserve">Mouse Properties Ninety </w:t>
      </w:r>
      <w:r w:rsidR="00A4549B">
        <w:rPr>
          <w:i/>
          <w:lang w:val="en-US"/>
        </w:rPr>
        <w:t>Eight CC v Minister of Urban &amp;</w:t>
      </w:r>
      <w:r w:rsidRPr="002435AC">
        <w:rPr>
          <w:i/>
          <w:lang w:val="en-US"/>
        </w:rPr>
        <w:t xml:space="preserve"> Rural Development &amp; others</w:t>
      </w:r>
      <w:r w:rsidR="00B002CB">
        <w:rPr>
          <w:lang w:val="en-US"/>
        </w:rPr>
        <w:t xml:space="preserve"> 2022 (2) NR 426 (SC)</w:t>
      </w:r>
      <w:r w:rsidR="00B83093">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6395"/>
      <w:docPartObj>
        <w:docPartGallery w:val="Page Numbers (Top of Page)"/>
        <w:docPartUnique/>
      </w:docPartObj>
    </w:sdtPr>
    <w:sdtEndPr>
      <w:rPr>
        <w:noProof/>
      </w:rPr>
    </w:sdtEndPr>
    <w:sdtContent>
      <w:p w14:paraId="6575F035" w14:textId="77777777" w:rsidR="00E14CAA" w:rsidRDefault="00E14CAA">
        <w:pPr>
          <w:pStyle w:val="Header"/>
          <w:jc w:val="right"/>
        </w:pPr>
        <w:r>
          <w:fldChar w:fldCharType="begin"/>
        </w:r>
        <w:r>
          <w:instrText xml:space="preserve"> PAGE   \* MERGEFORMAT </w:instrText>
        </w:r>
        <w:r>
          <w:fldChar w:fldCharType="separate"/>
        </w:r>
        <w:r w:rsidR="000D79D7">
          <w:rPr>
            <w:noProof/>
          </w:rPr>
          <w:t>22</w:t>
        </w:r>
        <w:r>
          <w:rPr>
            <w:noProof/>
          </w:rPr>
          <w:fldChar w:fldCharType="end"/>
        </w:r>
      </w:p>
    </w:sdtContent>
  </w:sdt>
  <w:p w14:paraId="788CFF10" w14:textId="77777777" w:rsidR="00E14CAA" w:rsidRDefault="00E14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550"/>
    <w:multiLevelType w:val="hybridMultilevel"/>
    <w:tmpl w:val="B2E0A778"/>
    <w:lvl w:ilvl="0" w:tplc="2EF6225A">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C5D3156"/>
    <w:multiLevelType w:val="hybridMultilevel"/>
    <w:tmpl w:val="ECBA31BA"/>
    <w:lvl w:ilvl="0" w:tplc="A628F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562609">
    <w:abstractNumId w:val="0"/>
  </w:num>
  <w:num w:numId="2" w16cid:durableId="371655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22"/>
    <w:rsid w:val="00000C99"/>
    <w:rsid w:val="0002007C"/>
    <w:rsid w:val="000369B0"/>
    <w:rsid w:val="00046333"/>
    <w:rsid w:val="00060B12"/>
    <w:rsid w:val="00064752"/>
    <w:rsid w:val="00083472"/>
    <w:rsid w:val="00090333"/>
    <w:rsid w:val="00090EF6"/>
    <w:rsid w:val="000A0F88"/>
    <w:rsid w:val="000A44C3"/>
    <w:rsid w:val="000C0EF3"/>
    <w:rsid w:val="000D1DE4"/>
    <w:rsid w:val="000D79D7"/>
    <w:rsid w:val="000F0B6F"/>
    <w:rsid w:val="000F45C7"/>
    <w:rsid w:val="001044BC"/>
    <w:rsid w:val="0011717F"/>
    <w:rsid w:val="00117253"/>
    <w:rsid w:val="0012091C"/>
    <w:rsid w:val="001214DB"/>
    <w:rsid w:val="0012422E"/>
    <w:rsid w:val="001278E8"/>
    <w:rsid w:val="001438CC"/>
    <w:rsid w:val="0014744E"/>
    <w:rsid w:val="001518F5"/>
    <w:rsid w:val="00161E51"/>
    <w:rsid w:val="0016541C"/>
    <w:rsid w:val="00172CAA"/>
    <w:rsid w:val="001759E2"/>
    <w:rsid w:val="001853B6"/>
    <w:rsid w:val="00195EB7"/>
    <w:rsid w:val="00197149"/>
    <w:rsid w:val="001B1808"/>
    <w:rsid w:val="001C4302"/>
    <w:rsid w:val="001C5DA1"/>
    <w:rsid w:val="0021152F"/>
    <w:rsid w:val="00215953"/>
    <w:rsid w:val="0022062F"/>
    <w:rsid w:val="00220EBC"/>
    <w:rsid w:val="0022214D"/>
    <w:rsid w:val="0023175A"/>
    <w:rsid w:val="00236D1D"/>
    <w:rsid w:val="002407F8"/>
    <w:rsid w:val="00240BD7"/>
    <w:rsid w:val="00242EE1"/>
    <w:rsid w:val="002430CE"/>
    <w:rsid w:val="002435AC"/>
    <w:rsid w:val="00252FAB"/>
    <w:rsid w:val="00253227"/>
    <w:rsid w:val="00260115"/>
    <w:rsid w:val="002663B7"/>
    <w:rsid w:val="00271D07"/>
    <w:rsid w:val="00282582"/>
    <w:rsid w:val="00284BE2"/>
    <w:rsid w:val="00285B0C"/>
    <w:rsid w:val="0028697A"/>
    <w:rsid w:val="002A7F4D"/>
    <w:rsid w:val="002B61FD"/>
    <w:rsid w:val="002D530B"/>
    <w:rsid w:val="002E28E5"/>
    <w:rsid w:val="002E4584"/>
    <w:rsid w:val="002F0877"/>
    <w:rsid w:val="002F3421"/>
    <w:rsid w:val="002F5017"/>
    <w:rsid w:val="00303583"/>
    <w:rsid w:val="00322A33"/>
    <w:rsid w:val="0032413D"/>
    <w:rsid w:val="0032527B"/>
    <w:rsid w:val="00331B58"/>
    <w:rsid w:val="00333412"/>
    <w:rsid w:val="00337DFF"/>
    <w:rsid w:val="00361AB6"/>
    <w:rsid w:val="00370A9B"/>
    <w:rsid w:val="00376C59"/>
    <w:rsid w:val="003833FF"/>
    <w:rsid w:val="0038783B"/>
    <w:rsid w:val="003A5EAE"/>
    <w:rsid w:val="003A6D01"/>
    <w:rsid w:val="003A6E42"/>
    <w:rsid w:val="003B3371"/>
    <w:rsid w:val="003B3C42"/>
    <w:rsid w:val="003C0F9F"/>
    <w:rsid w:val="003C5BD0"/>
    <w:rsid w:val="003C78EB"/>
    <w:rsid w:val="003E3CF9"/>
    <w:rsid w:val="003F231D"/>
    <w:rsid w:val="004108BB"/>
    <w:rsid w:val="004122B8"/>
    <w:rsid w:val="00415DCA"/>
    <w:rsid w:val="00417710"/>
    <w:rsid w:val="00422F6E"/>
    <w:rsid w:val="00433068"/>
    <w:rsid w:val="00443176"/>
    <w:rsid w:val="004438FD"/>
    <w:rsid w:val="00456D9E"/>
    <w:rsid w:val="00482ECD"/>
    <w:rsid w:val="004955F7"/>
    <w:rsid w:val="004B2993"/>
    <w:rsid w:val="004B4575"/>
    <w:rsid w:val="004D2449"/>
    <w:rsid w:val="004D5CE5"/>
    <w:rsid w:val="004E7C7E"/>
    <w:rsid w:val="004F09A2"/>
    <w:rsid w:val="00503B0B"/>
    <w:rsid w:val="00512B75"/>
    <w:rsid w:val="0052672B"/>
    <w:rsid w:val="00530609"/>
    <w:rsid w:val="00530856"/>
    <w:rsid w:val="0054146F"/>
    <w:rsid w:val="00542C18"/>
    <w:rsid w:val="00543EFD"/>
    <w:rsid w:val="005469DF"/>
    <w:rsid w:val="00551A93"/>
    <w:rsid w:val="00561BA4"/>
    <w:rsid w:val="00566B10"/>
    <w:rsid w:val="00594DB5"/>
    <w:rsid w:val="005B0755"/>
    <w:rsid w:val="005B37FA"/>
    <w:rsid w:val="005B41F3"/>
    <w:rsid w:val="005B7EC3"/>
    <w:rsid w:val="005C12DA"/>
    <w:rsid w:val="005E3BBE"/>
    <w:rsid w:val="00602C5D"/>
    <w:rsid w:val="00603DB8"/>
    <w:rsid w:val="00604615"/>
    <w:rsid w:val="0062104B"/>
    <w:rsid w:val="00621F0B"/>
    <w:rsid w:val="00624F23"/>
    <w:rsid w:val="0063549C"/>
    <w:rsid w:val="00643149"/>
    <w:rsid w:val="00646BBF"/>
    <w:rsid w:val="006502B1"/>
    <w:rsid w:val="0065085D"/>
    <w:rsid w:val="0065640F"/>
    <w:rsid w:val="00656435"/>
    <w:rsid w:val="0067016A"/>
    <w:rsid w:val="006711F7"/>
    <w:rsid w:val="006717D8"/>
    <w:rsid w:val="0067603B"/>
    <w:rsid w:val="0068402A"/>
    <w:rsid w:val="00685938"/>
    <w:rsid w:val="00695B09"/>
    <w:rsid w:val="006961C4"/>
    <w:rsid w:val="006B3CC3"/>
    <w:rsid w:val="006B6168"/>
    <w:rsid w:val="006B7905"/>
    <w:rsid w:val="006C17B0"/>
    <w:rsid w:val="006C7D35"/>
    <w:rsid w:val="006E3573"/>
    <w:rsid w:val="006E5E89"/>
    <w:rsid w:val="00702EE4"/>
    <w:rsid w:val="00703E49"/>
    <w:rsid w:val="00707392"/>
    <w:rsid w:val="007250FB"/>
    <w:rsid w:val="00735440"/>
    <w:rsid w:val="00735699"/>
    <w:rsid w:val="00742222"/>
    <w:rsid w:val="00792847"/>
    <w:rsid w:val="00792D90"/>
    <w:rsid w:val="00793F5A"/>
    <w:rsid w:val="007B0FF9"/>
    <w:rsid w:val="007B2BA2"/>
    <w:rsid w:val="007C5D20"/>
    <w:rsid w:val="007D05EA"/>
    <w:rsid w:val="007D691F"/>
    <w:rsid w:val="007E1485"/>
    <w:rsid w:val="007E511F"/>
    <w:rsid w:val="0080499E"/>
    <w:rsid w:val="008110CE"/>
    <w:rsid w:val="008257F8"/>
    <w:rsid w:val="00831433"/>
    <w:rsid w:val="0083144A"/>
    <w:rsid w:val="00835CA3"/>
    <w:rsid w:val="008402E3"/>
    <w:rsid w:val="008462B1"/>
    <w:rsid w:val="00850F3E"/>
    <w:rsid w:val="00857AAD"/>
    <w:rsid w:val="0086174C"/>
    <w:rsid w:val="00882ED9"/>
    <w:rsid w:val="008845DC"/>
    <w:rsid w:val="008A3F37"/>
    <w:rsid w:val="008A4EAE"/>
    <w:rsid w:val="008A64DA"/>
    <w:rsid w:val="008A6EF5"/>
    <w:rsid w:val="008B6AFB"/>
    <w:rsid w:val="008C45C2"/>
    <w:rsid w:val="008C5A9F"/>
    <w:rsid w:val="008C6AA6"/>
    <w:rsid w:val="008E38AB"/>
    <w:rsid w:val="008F6184"/>
    <w:rsid w:val="00907B14"/>
    <w:rsid w:val="00914DD4"/>
    <w:rsid w:val="0092056C"/>
    <w:rsid w:val="00924862"/>
    <w:rsid w:val="0093331F"/>
    <w:rsid w:val="00935F7A"/>
    <w:rsid w:val="00940D16"/>
    <w:rsid w:val="009434A1"/>
    <w:rsid w:val="00946388"/>
    <w:rsid w:val="00951F33"/>
    <w:rsid w:val="00953513"/>
    <w:rsid w:val="00954CBB"/>
    <w:rsid w:val="0096458E"/>
    <w:rsid w:val="00971A81"/>
    <w:rsid w:val="0097281A"/>
    <w:rsid w:val="009757B6"/>
    <w:rsid w:val="00976646"/>
    <w:rsid w:val="009A71E2"/>
    <w:rsid w:val="009A73BF"/>
    <w:rsid w:val="009B0574"/>
    <w:rsid w:val="009B19C1"/>
    <w:rsid w:val="009B31B6"/>
    <w:rsid w:val="009C5A9B"/>
    <w:rsid w:val="009C7C39"/>
    <w:rsid w:val="009D0243"/>
    <w:rsid w:val="009E39FE"/>
    <w:rsid w:val="009E5122"/>
    <w:rsid w:val="00A1071C"/>
    <w:rsid w:val="00A259AF"/>
    <w:rsid w:val="00A3150F"/>
    <w:rsid w:val="00A32B3A"/>
    <w:rsid w:val="00A34154"/>
    <w:rsid w:val="00A4373C"/>
    <w:rsid w:val="00A4549B"/>
    <w:rsid w:val="00A45681"/>
    <w:rsid w:val="00A542B5"/>
    <w:rsid w:val="00A77C41"/>
    <w:rsid w:val="00A80718"/>
    <w:rsid w:val="00A8121C"/>
    <w:rsid w:val="00A926AC"/>
    <w:rsid w:val="00A93FE5"/>
    <w:rsid w:val="00A94A1D"/>
    <w:rsid w:val="00A97A0F"/>
    <w:rsid w:val="00AB75CD"/>
    <w:rsid w:val="00AC002A"/>
    <w:rsid w:val="00AC327F"/>
    <w:rsid w:val="00AD1C44"/>
    <w:rsid w:val="00AD2B9E"/>
    <w:rsid w:val="00AD6214"/>
    <w:rsid w:val="00AE45DC"/>
    <w:rsid w:val="00AF6DF2"/>
    <w:rsid w:val="00B002CB"/>
    <w:rsid w:val="00B24FA5"/>
    <w:rsid w:val="00B37126"/>
    <w:rsid w:val="00B439E0"/>
    <w:rsid w:val="00B45FFA"/>
    <w:rsid w:val="00B55216"/>
    <w:rsid w:val="00B5578B"/>
    <w:rsid w:val="00B83093"/>
    <w:rsid w:val="00B846D8"/>
    <w:rsid w:val="00B86DF8"/>
    <w:rsid w:val="00B877FD"/>
    <w:rsid w:val="00B96EBF"/>
    <w:rsid w:val="00BA0A46"/>
    <w:rsid w:val="00BA41AF"/>
    <w:rsid w:val="00BC12EC"/>
    <w:rsid w:val="00BC3BF6"/>
    <w:rsid w:val="00BC64B1"/>
    <w:rsid w:val="00BD031A"/>
    <w:rsid w:val="00BE3240"/>
    <w:rsid w:val="00BF6A78"/>
    <w:rsid w:val="00C01711"/>
    <w:rsid w:val="00C15CFF"/>
    <w:rsid w:val="00C2280C"/>
    <w:rsid w:val="00C24423"/>
    <w:rsid w:val="00C540B5"/>
    <w:rsid w:val="00C63009"/>
    <w:rsid w:val="00C73ABD"/>
    <w:rsid w:val="00C77087"/>
    <w:rsid w:val="00C8470B"/>
    <w:rsid w:val="00C91B76"/>
    <w:rsid w:val="00CC2039"/>
    <w:rsid w:val="00CC2D11"/>
    <w:rsid w:val="00CD7688"/>
    <w:rsid w:val="00CE662E"/>
    <w:rsid w:val="00CF64BA"/>
    <w:rsid w:val="00D007C3"/>
    <w:rsid w:val="00D0537B"/>
    <w:rsid w:val="00D20A40"/>
    <w:rsid w:val="00D3553A"/>
    <w:rsid w:val="00D41E2F"/>
    <w:rsid w:val="00D50491"/>
    <w:rsid w:val="00D50919"/>
    <w:rsid w:val="00D51821"/>
    <w:rsid w:val="00D53197"/>
    <w:rsid w:val="00D54D6D"/>
    <w:rsid w:val="00D72883"/>
    <w:rsid w:val="00D81C5E"/>
    <w:rsid w:val="00D94ADE"/>
    <w:rsid w:val="00D95F98"/>
    <w:rsid w:val="00D9608F"/>
    <w:rsid w:val="00D96DC9"/>
    <w:rsid w:val="00DA5174"/>
    <w:rsid w:val="00DB0261"/>
    <w:rsid w:val="00DB08A4"/>
    <w:rsid w:val="00DC4B04"/>
    <w:rsid w:val="00DD3273"/>
    <w:rsid w:val="00E004B7"/>
    <w:rsid w:val="00E06B63"/>
    <w:rsid w:val="00E14CAA"/>
    <w:rsid w:val="00E17B0B"/>
    <w:rsid w:val="00E23616"/>
    <w:rsid w:val="00E30093"/>
    <w:rsid w:val="00E34EE0"/>
    <w:rsid w:val="00E3533D"/>
    <w:rsid w:val="00E365CF"/>
    <w:rsid w:val="00E44765"/>
    <w:rsid w:val="00E5375C"/>
    <w:rsid w:val="00E544A3"/>
    <w:rsid w:val="00E661D1"/>
    <w:rsid w:val="00E66CAF"/>
    <w:rsid w:val="00E753EB"/>
    <w:rsid w:val="00E87587"/>
    <w:rsid w:val="00E94A79"/>
    <w:rsid w:val="00EA1F10"/>
    <w:rsid w:val="00EA2153"/>
    <w:rsid w:val="00EB4C3D"/>
    <w:rsid w:val="00EB704F"/>
    <w:rsid w:val="00EC783F"/>
    <w:rsid w:val="00ED0B96"/>
    <w:rsid w:val="00EE1058"/>
    <w:rsid w:val="00EE3F5E"/>
    <w:rsid w:val="00EE6B66"/>
    <w:rsid w:val="00EF3CFD"/>
    <w:rsid w:val="00EF57E6"/>
    <w:rsid w:val="00EF6660"/>
    <w:rsid w:val="00F0430A"/>
    <w:rsid w:val="00F168E4"/>
    <w:rsid w:val="00F22751"/>
    <w:rsid w:val="00F23138"/>
    <w:rsid w:val="00F30657"/>
    <w:rsid w:val="00F32D1C"/>
    <w:rsid w:val="00F441E5"/>
    <w:rsid w:val="00F60FDE"/>
    <w:rsid w:val="00F72166"/>
    <w:rsid w:val="00F80A46"/>
    <w:rsid w:val="00F8178B"/>
    <w:rsid w:val="00F9361A"/>
    <w:rsid w:val="00FA02BC"/>
    <w:rsid w:val="00FA1ADE"/>
    <w:rsid w:val="00FB09D3"/>
    <w:rsid w:val="00FB183E"/>
    <w:rsid w:val="00FB1EC7"/>
    <w:rsid w:val="00FB3512"/>
    <w:rsid w:val="00FB45D2"/>
    <w:rsid w:val="00FD6BCC"/>
    <w:rsid w:val="00FD6CFD"/>
    <w:rsid w:val="00FE01C3"/>
    <w:rsid w:val="00FE6620"/>
    <w:rsid w:val="00FE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F5BD"/>
  <w15:docId w15:val="{B8E5AFD4-8ECF-4BE8-9522-C1F1392D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1C"/>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0093"/>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742222"/>
    <w:rPr>
      <w:rFonts w:ascii="Tahoma" w:hAnsi="Tahoma" w:cs="Tahoma"/>
      <w:sz w:val="16"/>
      <w:szCs w:val="16"/>
    </w:rPr>
  </w:style>
  <w:style w:type="character" w:customStyle="1" w:styleId="BalloonTextChar">
    <w:name w:val="Balloon Text Char"/>
    <w:basedOn w:val="DefaultParagraphFont"/>
    <w:link w:val="BalloonText"/>
    <w:uiPriority w:val="99"/>
    <w:semiHidden/>
    <w:rsid w:val="00742222"/>
    <w:rPr>
      <w:rFonts w:ascii="Tahoma" w:hAnsi="Tahoma" w:cs="Tahoma"/>
      <w:sz w:val="16"/>
      <w:szCs w:val="16"/>
      <w:lang w:val="af-ZA"/>
    </w:rPr>
  </w:style>
  <w:style w:type="table" w:styleId="TableGrid">
    <w:name w:val="Table Grid"/>
    <w:basedOn w:val="TableNormal"/>
    <w:uiPriority w:val="59"/>
    <w:rsid w:val="002F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F4D"/>
    <w:pPr>
      <w:ind w:left="720"/>
      <w:contextualSpacing/>
    </w:pPr>
  </w:style>
  <w:style w:type="paragraph" w:styleId="Header">
    <w:name w:val="header"/>
    <w:basedOn w:val="Normal"/>
    <w:link w:val="HeaderChar"/>
    <w:uiPriority w:val="99"/>
    <w:unhideWhenUsed/>
    <w:rsid w:val="00E14CAA"/>
    <w:pPr>
      <w:tabs>
        <w:tab w:val="center" w:pos="4513"/>
        <w:tab w:val="right" w:pos="9026"/>
      </w:tabs>
    </w:pPr>
  </w:style>
  <w:style w:type="character" w:customStyle="1" w:styleId="HeaderChar">
    <w:name w:val="Header Char"/>
    <w:basedOn w:val="DefaultParagraphFont"/>
    <w:link w:val="Header"/>
    <w:uiPriority w:val="99"/>
    <w:rsid w:val="00E14CAA"/>
    <w:rPr>
      <w:lang w:val="af-ZA"/>
    </w:rPr>
  </w:style>
  <w:style w:type="paragraph" w:styleId="Footer">
    <w:name w:val="footer"/>
    <w:basedOn w:val="Normal"/>
    <w:link w:val="FooterChar"/>
    <w:uiPriority w:val="99"/>
    <w:unhideWhenUsed/>
    <w:rsid w:val="00E14CAA"/>
    <w:pPr>
      <w:tabs>
        <w:tab w:val="center" w:pos="4513"/>
        <w:tab w:val="right" w:pos="9026"/>
      </w:tabs>
    </w:pPr>
  </w:style>
  <w:style w:type="character" w:customStyle="1" w:styleId="FooterChar">
    <w:name w:val="Footer Char"/>
    <w:basedOn w:val="DefaultParagraphFont"/>
    <w:link w:val="Footer"/>
    <w:uiPriority w:val="99"/>
    <w:rsid w:val="00E14CAA"/>
    <w:rPr>
      <w:lang w:val="af-ZA"/>
    </w:rPr>
  </w:style>
  <w:style w:type="paragraph" w:styleId="FootnoteText">
    <w:name w:val="footnote text"/>
    <w:basedOn w:val="Normal"/>
    <w:link w:val="FootnoteTextChar"/>
    <w:uiPriority w:val="99"/>
    <w:semiHidden/>
    <w:unhideWhenUsed/>
    <w:rsid w:val="0063549C"/>
    <w:rPr>
      <w:sz w:val="20"/>
      <w:szCs w:val="20"/>
    </w:rPr>
  </w:style>
  <w:style w:type="character" w:customStyle="1" w:styleId="FootnoteTextChar">
    <w:name w:val="Footnote Text Char"/>
    <w:basedOn w:val="DefaultParagraphFont"/>
    <w:link w:val="FootnoteText"/>
    <w:uiPriority w:val="99"/>
    <w:semiHidden/>
    <w:rsid w:val="0063549C"/>
    <w:rPr>
      <w:sz w:val="20"/>
      <w:szCs w:val="20"/>
      <w:lang w:val="af-ZA"/>
    </w:rPr>
  </w:style>
  <w:style w:type="character" w:styleId="FootnoteReference">
    <w:name w:val="footnote reference"/>
    <w:basedOn w:val="DefaultParagraphFont"/>
    <w:uiPriority w:val="99"/>
    <w:semiHidden/>
    <w:unhideWhenUsed/>
    <w:rsid w:val="0063549C"/>
    <w:rPr>
      <w:vertAlign w:val="superscript"/>
    </w:rPr>
  </w:style>
  <w:style w:type="character" w:styleId="CommentReference">
    <w:name w:val="annotation reference"/>
    <w:basedOn w:val="DefaultParagraphFont"/>
    <w:uiPriority w:val="99"/>
    <w:semiHidden/>
    <w:unhideWhenUsed/>
    <w:rsid w:val="004955F7"/>
    <w:rPr>
      <w:sz w:val="16"/>
      <w:szCs w:val="16"/>
    </w:rPr>
  </w:style>
  <w:style w:type="paragraph" w:styleId="CommentText">
    <w:name w:val="annotation text"/>
    <w:basedOn w:val="Normal"/>
    <w:link w:val="CommentTextChar"/>
    <w:uiPriority w:val="99"/>
    <w:semiHidden/>
    <w:unhideWhenUsed/>
    <w:rsid w:val="004955F7"/>
    <w:rPr>
      <w:sz w:val="20"/>
      <w:szCs w:val="20"/>
    </w:rPr>
  </w:style>
  <w:style w:type="character" w:customStyle="1" w:styleId="CommentTextChar">
    <w:name w:val="Comment Text Char"/>
    <w:basedOn w:val="DefaultParagraphFont"/>
    <w:link w:val="CommentText"/>
    <w:uiPriority w:val="99"/>
    <w:semiHidden/>
    <w:rsid w:val="004955F7"/>
    <w:rPr>
      <w:sz w:val="20"/>
      <w:szCs w:val="20"/>
      <w:lang w:val="af-ZA"/>
    </w:rPr>
  </w:style>
  <w:style w:type="paragraph" w:styleId="CommentSubject">
    <w:name w:val="annotation subject"/>
    <w:basedOn w:val="CommentText"/>
    <w:next w:val="CommentText"/>
    <w:link w:val="CommentSubjectChar"/>
    <w:uiPriority w:val="99"/>
    <w:semiHidden/>
    <w:unhideWhenUsed/>
    <w:rsid w:val="004955F7"/>
    <w:rPr>
      <w:b/>
      <w:bCs/>
    </w:rPr>
  </w:style>
  <w:style w:type="character" w:customStyle="1" w:styleId="CommentSubjectChar">
    <w:name w:val="Comment Subject Char"/>
    <w:basedOn w:val="CommentTextChar"/>
    <w:link w:val="CommentSubject"/>
    <w:uiPriority w:val="99"/>
    <w:semiHidden/>
    <w:rsid w:val="004955F7"/>
    <w:rPr>
      <w:b/>
      <w:bCs/>
      <w:sz w:val="20"/>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2023-12-14T18:30:00+00:00</Judgment_x0020_Date>
    <Year xmlns="63bdd487-88aa-4c54-b893-ddaa81ed2e7c">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811C-900F-4251-945A-872EC34CB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87A24-F14C-44E6-9EE8-8D801E5F1A9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B3BC6810-87E7-4EE4-B8B9-42B0FA7721A9}">
  <ds:schemaRefs>
    <ds:schemaRef ds:uri="http://schemas.microsoft.com/sharepoint/v3/contenttype/forms"/>
  </ds:schemaRefs>
</ds:datastoreItem>
</file>

<file path=customXml/itemProps4.xml><?xml version="1.0" encoding="utf-8"?>
<ds:datastoreItem xmlns:ds="http://schemas.openxmlformats.org/officeDocument/2006/customXml" ds:itemID="{7610A22E-F21E-4BF1-8BA9-B78AD784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24</Pages>
  <Words>5123</Words>
  <Characters>29204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 of the Review Panel and others v Stream Two Properties CC (SA 43-2022) [2023] NASC (15 December 2023)</dc:title>
  <dc:subject/>
  <dc:creator>Viljoen</dc:creator>
  <cp:keywords/>
  <dc:description/>
  <cp:lastModifiedBy>Mariana Anguelov</cp:lastModifiedBy>
  <cp:revision>25</cp:revision>
  <cp:lastPrinted>2023-12-15T07:22:00Z</cp:lastPrinted>
  <dcterms:created xsi:type="dcterms:W3CDTF">2023-12-12T08:02:00Z</dcterms:created>
  <dcterms:modified xsi:type="dcterms:W3CDTF">2023-12-17T07:07:00Z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