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C123" w14:textId="77777777" w:rsidR="00CE3EBE" w:rsidRPr="004B3A13" w:rsidRDefault="00CE3EBE" w:rsidP="00966268">
      <w:pPr>
        <w:jc w:val="center"/>
        <w:rPr>
          <w:rFonts w:ascii="Arial" w:hAnsi="Arial" w:cs="Arial"/>
          <w:b/>
        </w:rPr>
      </w:pPr>
      <w:r w:rsidRPr="004B3A13">
        <w:rPr>
          <w:rFonts w:ascii="Arial" w:hAnsi="Arial" w:cs="Arial"/>
          <w:noProof/>
          <w:lang w:val="en-ZA" w:eastAsia="en-ZA"/>
        </w:rPr>
        <w:drawing>
          <wp:anchor distT="0" distB="0" distL="114300" distR="114300" simplePos="0" relativeHeight="251659264" behindDoc="0" locked="0" layoutInCell="1" allowOverlap="1" wp14:anchorId="4CDF0D56" wp14:editId="240F8CB6">
            <wp:simplePos x="0" y="0"/>
            <wp:positionH relativeFrom="page">
              <wp:align>center</wp:align>
            </wp:positionH>
            <wp:positionV relativeFrom="margin">
              <wp:posOffset>-485775</wp:posOffset>
            </wp:positionV>
            <wp:extent cx="1428750" cy="1485900"/>
            <wp:effectExtent l="0" t="0" r="0" b="0"/>
            <wp:wrapSquare wrapText="bothSides"/>
            <wp:docPr id="2" name="Picture 2"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57BC4942" w14:textId="77777777" w:rsidR="00CE3EBE" w:rsidRPr="004B3A13" w:rsidRDefault="00CE3EBE" w:rsidP="00966268">
      <w:pPr>
        <w:spacing w:line="360" w:lineRule="auto"/>
        <w:jc w:val="center"/>
        <w:rPr>
          <w:rFonts w:ascii="Arial" w:hAnsi="Arial" w:cs="Arial"/>
          <w:b/>
        </w:rPr>
      </w:pPr>
      <w:r w:rsidRPr="004B3A13">
        <w:rPr>
          <w:rFonts w:ascii="Arial" w:hAnsi="Arial" w:cs="Arial"/>
          <w:b/>
        </w:rPr>
        <w:tab/>
      </w:r>
    </w:p>
    <w:p w14:paraId="6D53583E" w14:textId="77777777" w:rsidR="00CE3EBE" w:rsidRPr="004B3A13" w:rsidRDefault="00CE3EBE" w:rsidP="00966268">
      <w:pPr>
        <w:tabs>
          <w:tab w:val="left" w:pos="1800"/>
        </w:tabs>
        <w:rPr>
          <w:rFonts w:ascii="Arial" w:hAnsi="Arial" w:cs="Arial"/>
          <w:b/>
        </w:rPr>
      </w:pPr>
    </w:p>
    <w:p w14:paraId="316D389D" w14:textId="77777777" w:rsidR="00CE3EBE" w:rsidRPr="004B3A13" w:rsidRDefault="00CE3EBE" w:rsidP="00966268">
      <w:pPr>
        <w:jc w:val="right"/>
        <w:rPr>
          <w:rFonts w:ascii="Arial" w:hAnsi="Arial" w:cs="Arial"/>
          <w:b/>
        </w:rPr>
      </w:pPr>
    </w:p>
    <w:p w14:paraId="46219CB3" w14:textId="77777777" w:rsidR="00CE3EBE" w:rsidRPr="004B3A13" w:rsidRDefault="00CE3EBE" w:rsidP="00966268">
      <w:pPr>
        <w:jc w:val="right"/>
        <w:rPr>
          <w:rFonts w:ascii="Arial" w:hAnsi="Arial" w:cs="Arial"/>
          <w:b/>
        </w:rPr>
      </w:pPr>
    </w:p>
    <w:p w14:paraId="12856BAD" w14:textId="77777777" w:rsidR="00CE3EBE" w:rsidRPr="004B3A13" w:rsidRDefault="00CE3EBE" w:rsidP="00966268">
      <w:pPr>
        <w:jc w:val="right"/>
        <w:rPr>
          <w:rFonts w:ascii="Arial" w:hAnsi="Arial" w:cs="Arial"/>
          <w:b/>
        </w:rPr>
      </w:pPr>
    </w:p>
    <w:p w14:paraId="23808DDD" w14:textId="77777777" w:rsidR="00CE3EBE" w:rsidRPr="004B3A13" w:rsidRDefault="00CE3EBE" w:rsidP="00966268">
      <w:pPr>
        <w:jc w:val="right"/>
        <w:rPr>
          <w:rFonts w:ascii="Arial" w:hAnsi="Arial" w:cs="Arial"/>
          <w:b/>
        </w:rPr>
      </w:pPr>
    </w:p>
    <w:p w14:paraId="15CF0BBD" w14:textId="77777777" w:rsidR="00CE3EBE" w:rsidRPr="004B3A13" w:rsidRDefault="00CE3EBE" w:rsidP="00966268">
      <w:pPr>
        <w:jc w:val="right"/>
        <w:rPr>
          <w:rFonts w:ascii="Arial" w:hAnsi="Arial" w:cs="Arial"/>
          <w:b/>
        </w:rPr>
      </w:pPr>
      <w:r w:rsidRPr="004B3A13">
        <w:rPr>
          <w:rFonts w:ascii="Arial" w:hAnsi="Arial" w:cs="Arial"/>
          <w:b/>
        </w:rPr>
        <w:t>REPORTABLE</w:t>
      </w:r>
    </w:p>
    <w:p w14:paraId="43020AD5" w14:textId="77777777" w:rsidR="00CE3EBE" w:rsidRPr="004B3A13" w:rsidRDefault="00CE3EBE" w:rsidP="00966268">
      <w:pPr>
        <w:jc w:val="right"/>
        <w:rPr>
          <w:rFonts w:ascii="Arial" w:hAnsi="Arial" w:cs="Arial"/>
          <w:b/>
        </w:rPr>
      </w:pPr>
    </w:p>
    <w:p w14:paraId="4066578F" w14:textId="32133BB4" w:rsidR="00CE3EBE" w:rsidRPr="004B3A13" w:rsidRDefault="00CE3EBE" w:rsidP="00966268">
      <w:pPr>
        <w:jc w:val="right"/>
        <w:rPr>
          <w:rFonts w:ascii="Arial" w:hAnsi="Arial" w:cs="Arial"/>
        </w:rPr>
      </w:pPr>
      <w:r w:rsidRPr="004B3A13">
        <w:rPr>
          <w:rFonts w:ascii="Arial" w:hAnsi="Arial" w:cs="Arial"/>
        </w:rPr>
        <w:t>CASE NO: SA 26/2022</w:t>
      </w:r>
    </w:p>
    <w:p w14:paraId="3139DC0C" w14:textId="77777777" w:rsidR="00CE3EBE" w:rsidRPr="004B3A13" w:rsidRDefault="00CE3EBE" w:rsidP="00966268">
      <w:pPr>
        <w:jc w:val="right"/>
        <w:rPr>
          <w:rFonts w:ascii="Arial" w:hAnsi="Arial" w:cs="Arial"/>
        </w:rPr>
      </w:pPr>
    </w:p>
    <w:p w14:paraId="13BB7CB2" w14:textId="77777777" w:rsidR="00CE3EBE" w:rsidRPr="004B3A13" w:rsidRDefault="00CE3EBE" w:rsidP="00966268">
      <w:pPr>
        <w:jc w:val="right"/>
        <w:rPr>
          <w:rFonts w:ascii="Arial" w:hAnsi="Arial" w:cs="Arial"/>
        </w:rPr>
      </w:pPr>
    </w:p>
    <w:p w14:paraId="1AAB8551" w14:textId="77777777" w:rsidR="00CE3EBE" w:rsidRPr="004B3A13" w:rsidRDefault="00CE3EBE" w:rsidP="00966268">
      <w:pPr>
        <w:ind w:left="0"/>
        <w:rPr>
          <w:rFonts w:ascii="Arial" w:hAnsi="Arial" w:cs="Arial"/>
          <w:b/>
        </w:rPr>
      </w:pPr>
      <w:r w:rsidRPr="004B3A13">
        <w:rPr>
          <w:rFonts w:ascii="Arial" w:hAnsi="Arial" w:cs="Arial"/>
          <w:b/>
        </w:rPr>
        <w:t>IN THE SUPREME COURT OF NAMIBIA</w:t>
      </w:r>
    </w:p>
    <w:p w14:paraId="4126474C" w14:textId="77777777" w:rsidR="00CE3EBE" w:rsidRPr="004B3A13" w:rsidRDefault="00CE3EBE" w:rsidP="00966268">
      <w:pPr>
        <w:rPr>
          <w:rFonts w:ascii="Arial" w:hAnsi="Arial" w:cs="Arial"/>
          <w:b/>
        </w:rPr>
      </w:pPr>
    </w:p>
    <w:p w14:paraId="748A0466" w14:textId="77777777" w:rsidR="00CE3EBE" w:rsidRPr="004B3A13" w:rsidRDefault="00CE3EBE" w:rsidP="00966268">
      <w:pPr>
        <w:rPr>
          <w:rFonts w:ascii="Arial" w:hAnsi="Arial" w:cs="Arial"/>
          <w:b/>
        </w:rPr>
      </w:pPr>
    </w:p>
    <w:p w14:paraId="6DD7BC6E" w14:textId="77777777" w:rsidR="00CE3EBE" w:rsidRPr="004B3A13" w:rsidRDefault="00CE3EBE" w:rsidP="00966268">
      <w:pPr>
        <w:ind w:left="0"/>
        <w:rPr>
          <w:rFonts w:ascii="Arial" w:hAnsi="Arial" w:cs="Arial"/>
        </w:rPr>
      </w:pPr>
      <w:r w:rsidRPr="004B3A13">
        <w:rPr>
          <w:rFonts w:ascii="Arial" w:hAnsi="Arial" w:cs="Arial"/>
        </w:rPr>
        <w:t>In the matter between</w:t>
      </w:r>
    </w:p>
    <w:p w14:paraId="0864C013" w14:textId="77777777" w:rsidR="00CE3EBE" w:rsidRPr="004B3A13" w:rsidRDefault="00CE3EBE" w:rsidP="00966268">
      <w:pPr>
        <w:rPr>
          <w:rFonts w:ascii="Arial" w:hAnsi="Arial" w:cs="Arial"/>
        </w:rPr>
      </w:pPr>
    </w:p>
    <w:tbl>
      <w:tblPr>
        <w:tblStyle w:val="TableGrid"/>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0"/>
        <w:gridCol w:w="2637"/>
      </w:tblGrid>
      <w:tr w:rsidR="00B504A4" w:rsidRPr="004B3A13" w14:paraId="31E812F6" w14:textId="77777777" w:rsidTr="00B504A4">
        <w:tc>
          <w:tcPr>
            <w:tcW w:w="6150" w:type="dxa"/>
          </w:tcPr>
          <w:p w14:paraId="0059AECC" w14:textId="77777777" w:rsidR="00B504A4" w:rsidRPr="004B3A13" w:rsidRDefault="00B504A4" w:rsidP="00966268">
            <w:pPr>
              <w:spacing w:line="276" w:lineRule="auto"/>
              <w:ind w:left="-108"/>
              <w:rPr>
                <w:rFonts w:ascii="Arial" w:hAnsi="Arial" w:cs="Arial"/>
              </w:rPr>
            </w:pPr>
            <w:r w:rsidRPr="004B3A13">
              <w:rPr>
                <w:rFonts w:ascii="Arial" w:hAnsi="Arial" w:cs="Arial"/>
                <w:b/>
              </w:rPr>
              <w:t xml:space="preserve">MINISTER OF SAFETY AND SECURITY </w:t>
            </w:r>
          </w:p>
        </w:tc>
        <w:tc>
          <w:tcPr>
            <w:tcW w:w="2637" w:type="dxa"/>
          </w:tcPr>
          <w:p w14:paraId="0B936DCD" w14:textId="77777777" w:rsidR="00B504A4" w:rsidRPr="004B3A13" w:rsidRDefault="00B504A4" w:rsidP="00966268">
            <w:pPr>
              <w:spacing w:line="276" w:lineRule="auto"/>
              <w:jc w:val="right"/>
              <w:rPr>
                <w:rFonts w:ascii="Arial" w:hAnsi="Arial" w:cs="Arial"/>
                <w:b/>
              </w:rPr>
            </w:pPr>
            <w:r w:rsidRPr="004B3A13">
              <w:rPr>
                <w:rFonts w:ascii="Arial" w:hAnsi="Arial" w:cs="Arial"/>
                <w:b/>
              </w:rPr>
              <w:t>Appellant</w:t>
            </w:r>
          </w:p>
        </w:tc>
      </w:tr>
      <w:tr w:rsidR="00B504A4" w:rsidRPr="004B3A13" w14:paraId="1BA1BC05" w14:textId="77777777" w:rsidTr="00B504A4">
        <w:tc>
          <w:tcPr>
            <w:tcW w:w="6150" w:type="dxa"/>
          </w:tcPr>
          <w:p w14:paraId="75B1A3C8" w14:textId="77777777" w:rsidR="00B504A4" w:rsidRPr="004B3A13" w:rsidRDefault="00B504A4" w:rsidP="00966268">
            <w:pPr>
              <w:spacing w:line="276" w:lineRule="auto"/>
              <w:ind w:hanging="108"/>
              <w:rPr>
                <w:rFonts w:ascii="Arial" w:hAnsi="Arial" w:cs="Arial"/>
              </w:rPr>
            </w:pPr>
          </w:p>
          <w:p w14:paraId="2F2C4625" w14:textId="77777777" w:rsidR="00966268" w:rsidRPr="004B3A13" w:rsidRDefault="00966268" w:rsidP="00966268">
            <w:pPr>
              <w:spacing w:line="276" w:lineRule="auto"/>
              <w:ind w:hanging="108"/>
              <w:rPr>
                <w:rFonts w:ascii="Arial" w:hAnsi="Arial" w:cs="Arial"/>
              </w:rPr>
            </w:pPr>
          </w:p>
        </w:tc>
        <w:tc>
          <w:tcPr>
            <w:tcW w:w="2637" w:type="dxa"/>
          </w:tcPr>
          <w:p w14:paraId="508BBB6A" w14:textId="77777777" w:rsidR="00B504A4" w:rsidRPr="004B3A13" w:rsidRDefault="00B504A4" w:rsidP="00966268">
            <w:pPr>
              <w:spacing w:line="276" w:lineRule="auto"/>
              <w:jc w:val="right"/>
              <w:rPr>
                <w:rFonts w:ascii="Arial" w:hAnsi="Arial" w:cs="Arial"/>
                <w:b/>
              </w:rPr>
            </w:pPr>
          </w:p>
        </w:tc>
      </w:tr>
      <w:tr w:rsidR="00B504A4" w:rsidRPr="004B3A13" w14:paraId="69850666" w14:textId="77777777" w:rsidTr="00B504A4">
        <w:tc>
          <w:tcPr>
            <w:tcW w:w="6150" w:type="dxa"/>
          </w:tcPr>
          <w:p w14:paraId="26B6DA45" w14:textId="0524DFC7" w:rsidR="00B504A4" w:rsidRPr="004B3A13" w:rsidRDefault="00966268" w:rsidP="00966268">
            <w:pPr>
              <w:spacing w:line="276" w:lineRule="auto"/>
              <w:ind w:left="-108"/>
              <w:rPr>
                <w:rFonts w:ascii="Arial" w:hAnsi="Arial" w:cs="Arial"/>
              </w:rPr>
            </w:pPr>
            <w:r w:rsidRPr="004B3A13">
              <w:rPr>
                <w:rFonts w:ascii="Arial" w:hAnsi="Arial" w:cs="Arial"/>
              </w:rPr>
              <w:t>a</w:t>
            </w:r>
            <w:r w:rsidR="00B504A4" w:rsidRPr="004B3A13">
              <w:rPr>
                <w:rFonts w:ascii="Arial" w:hAnsi="Arial" w:cs="Arial"/>
              </w:rPr>
              <w:t>nd</w:t>
            </w:r>
          </w:p>
        </w:tc>
        <w:tc>
          <w:tcPr>
            <w:tcW w:w="2637" w:type="dxa"/>
          </w:tcPr>
          <w:p w14:paraId="4FE0435C" w14:textId="77777777" w:rsidR="00B504A4" w:rsidRPr="004B3A13" w:rsidRDefault="00B504A4" w:rsidP="00966268">
            <w:pPr>
              <w:spacing w:line="276" w:lineRule="auto"/>
              <w:jc w:val="right"/>
              <w:rPr>
                <w:rFonts w:ascii="Arial" w:hAnsi="Arial" w:cs="Arial"/>
                <w:b/>
              </w:rPr>
            </w:pPr>
          </w:p>
        </w:tc>
      </w:tr>
      <w:tr w:rsidR="00B504A4" w:rsidRPr="004B3A13" w14:paraId="48CE37C2" w14:textId="77777777" w:rsidTr="00B504A4">
        <w:tc>
          <w:tcPr>
            <w:tcW w:w="6150" w:type="dxa"/>
          </w:tcPr>
          <w:p w14:paraId="7E1D89BD" w14:textId="77777777" w:rsidR="00B504A4" w:rsidRPr="004B3A13" w:rsidRDefault="00B504A4" w:rsidP="00966268">
            <w:pPr>
              <w:spacing w:line="276" w:lineRule="auto"/>
              <w:ind w:hanging="108"/>
              <w:rPr>
                <w:rFonts w:ascii="Arial" w:hAnsi="Arial" w:cs="Arial"/>
              </w:rPr>
            </w:pPr>
          </w:p>
          <w:p w14:paraId="2F535910" w14:textId="77777777" w:rsidR="00966268" w:rsidRPr="004B3A13" w:rsidRDefault="00966268" w:rsidP="00966268">
            <w:pPr>
              <w:spacing w:line="276" w:lineRule="auto"/>
              <w:ind w:hanging="108"/>
              <w:rPr>
                <w:rFonts w:ascii="Arial" w:hAnsi="Arial" w:cs="Arial"/>
              </w:rPr>
            </w:pPr>
          </w:p>
        </w:tc>
        <w:tc>
          <w:tcPr>
            <w:tcW w:w="2637" w:type="dxa"/>
          </w:tcPr>
          <w:p w14:paraId="2B8C84C5" w14:textId="77777777" w:rsidR="00B504A4" w:rsidRPr="004B3A13" w:rsidRDefault="00B504A4" w:rsidP="00966268">
            <w:pPr>
              <w:spacing w:line="276" w:lineRule="auto"/>
              <w:jc w:val="right"/>
              <w:rPr>
                <w:rFonts w:ascii="Arial" w:hAnsi="Arial" w:cs="Arial"/>
                <w:b/>
              </w:rPr>
            </w:pPr>
          </w:p>
        </w:tc>
      </w:tr>
      <w:tr w:rsidR="00B504A4" w:rsidRPr="004B3A13" w14:paraId="677ECF71" w14:textId="77777777" w:rsidTr="00B504A4">
        <w:tc>
          <w:tcPr>
            <w:tcW w:w="6150" w:type="dxa"/>
          </w:tcPr>
          <w:p w14:paraId="2A3DDE2D" w14:textId="77777777" w:rsidR="00B504A4" w:rsidRPr="004B3A13" w:rsidRDefault="00B504A4" w:rsidP="00966268">
            <w:pPr>
              <w:spacing w:line="276" w:lineRule="auto"/>
              <w:ind w:left="-108"/>
              <w:rPr>
                <w:rFonts w:ascii="Arial" w:hAnsi="Arial" w:cs="Arial"/>
                <w:b/>
              </w:rPr>
            </w:pPr>
            <w:r w:rsidRPr="004B3A13">
              <w:rPr>
                <w:rFonts w:ascii="Arial" w:hAnsi="Arial" w:cs="Arial"/>
                <w:b/>
              </w:rPr>
              <w:t xml:space="preserve">GREGOREY GILBERT NAOMAB </w:t>
            </w:r>
          </w:p>
        </w:tc>
        <w:tc>
          <w:tcPr>
            <w:tcW w:w="2637" w:type="dxa"/>
          </w:tcPr>
          <w:p w14:paraId="22812FE1" w14:textId="77777777" w:rsidR="00B504A4" w:rsidRPr="004B3A13" w:rsidRDefault="00B504A4" w:rsidP="00966268">
            <w:pPr>
              <w:spacing w:line="276" w:lineRule="auto"/>
              <w:jc w:val="right"/>
              <w:rPr>
                <w:rFonts w:ascii="Arial" w:hAnsi="Arial" w:cs="Arial"/>
                <w:b/>
              </w:rPr>
            </w:pPr>
            <w:r w:rsidRPr="004B3A13">
              <w:rPr>
                <w:rFonts w:ascii="Arial" w:hAnsi="Arial" w:cs="Arial"/>
                <w:b/>
              </w:rPr>
              <w:t>Respondent</w:t>
            </w:r>
          </w:p>
          <w:p w14:paraId="511681CF" w14:textId="77777777" w:rsidR="00B504A4" w:rsidRPr="004B3A13" w:rsidRDefault="00B504A4" w:rsidP="00966268">
            <w:pPr>
              <w:spacing w:line="276" w:lineRule="auto"/>
              <w:jc w:val="right"/>
              <w:rPr>
                <w:rFonts w:ascii="Arial" w:hAnsi="Arial" w:cs="Arial"/>
                <w:b/>
              </w:rPr>
            </w:pPr>
          </w:p>
        </w:tc>
      </w:tr>
    </w:tbl>
    <w:p w14:paraId="1C2952F9" w14:textId="77777777" w:rsidR="00CE3EBE" w:rsidRPr="004B3A13" w:rsidRDefault="00CE3EBE" w:rsidP="00966268">
      <w:pPr>
        <w:rPr>
          <w:rFonts w:ascii="Arial" w:hAnsi="Arial" w:cs="Arial"/>
        </w:rPr>
      </w:pPr>
    </w:p>
    <w:p w14:paraId="10E7EC3A" w14:textId="77777777" w:rsidR="00CE3EBE" w:rsidRPr="004B3A13" w:rsidRDefault="00CE3EBE" w:rsidP="00966268">
      <w:pPr>
        <w:rPr>
          <w:rFonts w:ascii="Arial" w:hAnsi="Arial" w:cs="Arial"/>
        </w:rPr>
      </w:pPr>
    </w:p>
    <w:p w14:paraId="2C5E2186" w14:textId="77777777" w:rsidR="00CE3EBE" w:rsidRPr="004B3A13" w:rsidRDefault="00CE3EBE" w:rsidP="00966268">
      <w:pPr>
        <w:rPr>
          <w:rFonts w:ascii="Arial" w:hAnsi="Arial" w:cs="Arial"/>
        </w:rPr>
      </w:pPr>
    </w:p>
    <w:p w14:paraId="3238CADA" w14:textId="15039C60" w:rsidR="00CE3EBE" w:rsidRPr="004B3A13" w:rsidRDefault="00CE3EBE" w:rsidP="00966268">
      <w:pPr>
        <w:ind w:left="0"/>
        <w:rPr>
          <w:rFonts w:ascii="Arial" w:hAnsi="Arial" w:cs="Arial"/>
        </w:rPr>
      </w:pPr>
      <w:r w:rsidRPr="004B3A13">
        <w:rPr>
          <w:rFonts w:ascii="Arial" w:hAnsi="Arial" w:cs="Arial"/>
          <w:b/>
        </w:rPr>
        <w:t xml:space="preserve">CORAM: </w:t>
      </w:r>
      <w:r w:rsidRPr="004B3A13">
        <w:rPr>
          <w:rFonts w:ascii="Arial" w:hAnsi="Arial" w:cs="Arial"/>
          <w:b/>
        </w:rPr>
        <w:tab/>
      </w:r>
      <w:r w:rsidRPr="004B3A13">
        <w:rPr>
          <w:rFonts w:ascii="Arial" w:hAnsi="Arial" w:cs="Arial"/>
          <w:b/>
        </w:rPr>
        <w:tab/>
      </w:r>
      <w:r w:rsidRPr="004B3A13">
        <w:rPr>
          <w:rFonts w:ascii="Arial" w:hAnsi="Arial" w:cs="Arial"/>
        </w:rPr>
        <w:t>SHIVUTE CJ, SMUTS JA and SCHIMMING-CHASE AJA</w:t>
      </w:r>
    </w:p>
    <w:p w14:paraId="47CAD760" w14:textId="77777777" w:rsidR="00CE3EBE" w:rsidRPr="004B3A13" w:rsidRDefault="00CE3EBE" w:rsidP="00966268">
      <w:pPr>
        <w:rPr>
          <w:rFonts w:ascii="Arial" w:hAnsi="Arial" w:cs="Arial"/>
        </w:rPr>
      </w:pPr>
    </w:p>
    <w:p w14:paraId="4BB550F8" w14:textId="77777777" w:rsidR="00CE3EBE" w:rsidRPr="004B3A13" w:rsidRDefault="00CE3EBE" w:rsidP="00966268">
      <w:pPr>
        <w:rPr>
          <w:rFonts w:ascii="Arial" w:hAnsi="Arial" w:cs="Arial"/>
        </w:rPr>
      </w:pPr>
    </w:p>
    <w:p w14:paraId="05F024CC" w14:textId="35ADC5E0" w:rsidR="00CE3EBE" w:rsidRPr="004B3A13" w:rsidRDefault="00CE3EBE" w:rsidP="00966268">
      <w:pPr>
        <w:ind w:left="0"/>
        <w:rPr>
          <w:rFonts w:ascii="Arial" w:hAnsi="Arial" w:cs="Arial"/>
        </w:rPr>
      </w:pPr>
      <w:r w:rsidRPr="004B3A13">
        <w:rPr>
          <w:rFonts w:ascii="Arial" w:hAnsi="Arial" w:cs="Arial"/>
          <w:b/>
        </w:rPr>
        <w:t>Heard on:</w:t>
      </w:r>
      <w:r w:rsidRPr="004B3A13">
        <w:rPr>
          <w:rFonts w:ascii="Arial" w:hAnsi="Arial" w:cs="Arial"/>
          <w:b/>
        </w:rPr>
        <w:tab/>
      </w:r>
      <w:r w:rsidRPr="004B3A13">
        <w:rPr>
          <w:rFonts w:ascii="Arial" w:hAnsi="Arial" w:cs="Arial"/>
          <w:b/>
        </w:rPr>
        <w:tab/>
        <w:t>10 October 2023</w:t>
      </w:r>
    </w:p>
    <w:p w14:paraId="68C04C65" w14:textId="77777777" w:rsidR="00CE3EBE" w:rsidRPr="004B3A13" w:rsidRDefault="00CE3EBE" w:rsidP="00966268">
      <w:pPr>
        <w:rPr>
          <w:rFonts w:ascii="Arial" w:hAnsi="Arial" w:cs="Arial"/>
        </w:rPr>
      </w:pPr>
    </w:p>
    <w:p w14:paraId="343FB7ED" w14:textId="3AC433E2" w:rsidR="00CE3EBE" w:rsidRPr="004B3A13" w:rsidRDefault="00CE3EBE" w:rsidP="00966268">
      <w:pPr>
        <w:ind w:left="0"/>
        <w:rPr>
          <w:rFonts w:ascii="Arial" w:hAnsi="Arial" w:cs="Arial"/>
        </w:rPr>
      </w:pPr>
      <w:r w:rsidRPr="004B3A13">
        <w:rPr>
          <w:rFonts w:ascii="Arial" w:hAnsi="Arial" w:cs="Arial"/>
          <w:b/>
        </w:rPr>
        <w:t>Delivered on:</w:t>
      </w:r>
      <w:r w:rsidRPr="004B3A13">
        <w:rPr>
          <w:rFonts w:ascii="Arial" w:hAnsi="Arial" w:cs="Arial"/>
          <w:b/>
        </w:rPr>
        <w:tab/>
      </w:r>
      <w:r w:rsidR="00F47DEE" w:rsidRPr="004B3A13">
        <w:rPr>
          <w:rFonts w:ascii="Arial" w:hAnsi="Arial" w:cs="Arial"/>
          <w:b/>
        </w:rPr>
        <w:t>1</w:t>
      </w:r>
      <w:r w:rsidR="006B33CA">
        <w:rPr>
          <w:rFonts w:ascii="Arial" w:hAnsi="Arial" w:cs="Arial"/>
          <w:b/>
        </w:rPr>
        <w:t>5</w:t>
      </w:r>
      <w:r w:rsidR="00F47DEE" w:rsidRPr="004B3A13">
        <w:rPr>
          <w:rFonts w:ascii="Arial" w:hAnsi="Arial" w:cs="Arial"/>
          <w:b/>
        </w:rPr>
        <w:t xml:space="preserve"> December 2023</w:t>
      </w:r>
    </w:p>
    <w:p w14:paraId="0B7FD4E5" w14:textId="77777777" w:rsidR="00CE3EBE" w:rsidRPr="004B3A13" w:rsidRDefault="00CE3EBE" w:rsidP="00966268">
      <w:pPr>
        <w:rPr>
          <w:rFonts w:ascii="Arial" w:hAnsi="Arial" w:cs="Arial"/>
          <w:b/>
        </w:rPr>
      </w:pPr>
    </w:p>
    <w:p w14:paraId="421707D8" w14:textId="77777777" w:rsidR="00CE3EBE" w:rsidRPr="004B3A13" w:rsidRDefault="00CE3EBE" w:rsidP="00966268">
      <w:pPr>
        <w:rPr>
          <w:rFonts w:ascii="Arial" w:hAnsi="Arial" w:cs="Arial"/>
          <w:b/>
        </w:rPr>
      </w:pPr>
    </w:p>
    <w:p w14:paraId="3620185B" w14:textId="749A29F4" w:rsidR="00A55E54" w:rsidRPr="004B3A13" w:rsidRDefault="00A55E54" w:rsidP="00966268">
      <w:pPr>
        <w:pStyle w:val="Body"/>
        <w:spacing w:after="0" w:line="360" w:lineRule="auto"/>
        <w:ind w:left="0"/>
        <w:jc w:val="both"/>
        <w:rPr>
          <w:rFonts w:ascii="Arial" w:hAnsi="Arial" w:cs="Arial"/>
          <w:sz w:val="24"/>
          <w:szCs w:val="24"/>
        </w:rPr>
      </w:pPr>
      <w:r w:rsidRPr="004B3A13">
        <w:rPr>
          <w:rFonts w:ascii="Arial" w:eastAsia="Arial" w:hAnsi="Arial" w:cs="Arial"/>
          <w:b/>
          <w:sz w:val="24"/>
          <w:szCs w:val="24"/>
        </w:rPr>
        <w:t>Summary:</w:t>
      </w:r>
      <w:r w:rsidRPr="004B3A13">
        <w:rPr>
          <w:rFonts w:ascii="Arial" w:eastAsia="Arial" w:hAnsi="Arial" w:cs="Arial"/>
          <w:b/>
          <w:sz w:val="24"/>
          <w:szCs w:val="24"/>
        </w:rPr>
        <w:tab/>
      </w:r>
      <w:r w:rsidRPr="004B3A13">
        <w:rPr>
          <w:rFonts w:ascii="Arial" w:hAnsi="Arial" w:cs="Arial"/>
          <w:sz w:val="24"/>
          <w:szCs w:val="24"/>
        </w:rPr>
        <w:t xml:space="preserve">This is an appeal against the judgment and order of the court </w:t>
      </w:r>
      <w:r w:rsidRPr="00934EB2">
        <w:rPr>
          <w:rFonts w:ascii="Arial" w:hAnsi="Arial" w:cs="Arial"/>
          <w:sz w:val="24"/>
          <w:szCs w:val="24"/>
        </w:rPr>
        <w:t>a quo</w:t>
      </w:r>
      <w:r w:rsidRPr="004B3A13">
        <w:rPr>
          <w:rFonts w:ascii="Arial" w:hAnsi="Arial" w:cs="Arial"/>
          <w:sz w:val="24"/>
          <w:szCs w:val="24"/>
        </w:rPr>
        <w:t xml:space="preserve"> in an action for damages for unlawful arrest instituted by the respondent, the late Mr Gregorey Gilbert Naomab, against the appellant, the Minister of Safety and Security. The appellant admitted the arrest but denied that it was unlawful. The High Court awarded damages in favour of the respondent in the amount of N$60 000 with interest thereon plus costs of suit. Appellant pleaded that the court </w:t>
      </w:r>
      <w:r w:rsidRPr="006F3405">
        <w:rPr>
          <w:rFonts w:ascii="Arial" w:hAnsi="Arial" w:cs="Arial"/>
          <w:iCs/>
          <w:sz w:val="24"/>
          <w:szCs w:val="24"/>
        </w:rPr>
        <w:t>a quo</w:t>
      </w:r>
      <w:r w:rsidRPr="004B3A13">
        <w:rPr>
          <w:rFonts w:ascii="Arial" w:hAnsi="Arial" w:cs="Arial"/>
          <w:sz w:val="24"/>
          <w:szCs w:val="24"/>
        </w:rPr>
        <w:t xml:space="preserve"> </w:t>
      </w:r>
      <w:r w:rsidRPr="004B3A13">
        <w:rPr>
          <w:rFonts w:ascii="Arial" w:eastAsia="Arial" w:hAnsi="Arial" w:cs="Arial"/>
          <w:sz w:val="24"/>
          <w:szCs w:val="24"/>
          <w:lang w:val="en-US"/>
        </w:rPr>
        <w:t xml:space="preserve">incorrectly </w:t>
      </w:r>
      <w:r w:rsidRPr="004B3A13">
        <w:rPr>
          <w:rFonts w:ascii="Arial" w:eastAsia="Arial" w:hAnsi="Arial" w:cs="Arial"/>
          <w:sz w:val="24"/>
          <w:szCs w:val="24"/>
          <w:lang w:val="en-US"/>
        </w:rPr>
        <w:lastRenderedPageBreak/>
        <w:t>relied on the respondent’s testimony without any additional evidence to corroborate it, and misdirected itself in law and on the facts by awarding damages in the amount of N$30</w:t>
      </w:r>
      <w:r w:rsidR="009F42E2" w:rsidRPr="004B3A13">
        <w:rPr>
          <w:rFonts w:ascii="Arial" w:eastAsia="Arial" w:hAnsi="Arial" w:cs="Arial"/>
          <w:sz w:val="24"/>
          <w:szCs w:val="24"/>
          <w:lang w:val="en-US"/>
        </w:rPr>
        <w:t xml:space="preserve"> </w:t>
      </w:r>
      <w:r w:rsidRPr="004B3A13">
        <w:rPr>
          <w:rFonts w:ascii="Arial" w:eastAsia="Arial" w:hAnsi="Arial" w:cs="Arial"/>
          <w:sz w:val="24"/>
          <w:szCs w:val="24"/>
          <w:lang w:val="en-US"/>
        </w:rPr>
        <w:t xml:space="preserve">000 per day. The </w:t>
      </w:r>
      <w:r w:rsidRPr="004B3A13">
        <w:rPr>
          <w:rFonts w:ascii="Arial" w:hAnsi="Arial" w:cs="Arial"/>
          <w:sz w:val="24"/>
          <w:szCs w:val="24"/>
        </w:rPr>
        <w:t xml:space="preserve">appeal record, which is still incomplete, was filed late in violation of </w:t>
      </w:r>
      <w:r w:rsidRPr="004B3A13">
        <w:rPr>
          <w:rFonts w:ascii="Arial" w:eastAsia="Arial" w:hAnsi="Arial" w:cs="Arial"/>
          <w:sz w:val="24"/>
          <w:szCs w:val="24"/>
          <w:lang w:val="en-US"/>
        </w:rPr>
        <w:t>rule 8(2)(b) of the Rules of the Supreme Court, causing the appeal to lapse</w:t>
      </w:r>
      <w:r w:rsidRPr="004B3A13">
        <w:rPr>
          <w:rFonts w:ascii="Arial" w:hAnsi="Arial" w:cs="Arial"/>
          <w:sz w:val="24"/>
          <w:szCs w:val="24"/>
        </w:rPr>
        <w:t>. Condonation was sought only for late filing of the appeal record and no explanation was provided for filing an incomplete record.</w:t>
      </w:r>
    </w:p>
    <w:p w14:paraId="08532EAF" w14:textId="77777777" w:rsidR="00A55E54" w:rsidRPr="004B3A13" w:rsidRDefault="00A55E54" w:rsidP="00966268">
      <w:pPr>
        <w:pStyle w:val="Body"/>
        <w:spacing w:after="0" w:line="360" w:lineRule="auto"/>
        <w:jc w:val="both"/>
        <w:rPr>
          <w:rFonts w:ascii="Arial" w:eastAsia="Arial" w:hAnsi="Arial" w:cs="Arial"/>
          <w:sz w:val="24"/>
          <w:szCs w:val="24"/>
          <w:lang w:val="en-US"/>
        </w:rPr>
      </w:pPr>
      <w:r w:rsidRPr="004B3A13">
        <w:rPr>
          <w:rFonts w:ascii="Arial" w:hAnsi="Arial" w:cs="Arial"/>
          <w:sz w:val="24"/>
          <w:szCs w:val="24"/>
        </w:rPr>
        <w:t xml:space="preserve"> </w:t>
      </w:r>
    </w:p>
    <w:p w14:paraId="7A3297F5" w14:textId="0B722B16" w:rsidR="00A55E54" w:rsidRPr="004B3A13" w:rsidRDefault="00A55E54" w:rsidP="00966268">
      <w:pPr>
        <w:pStyle w:val="ListParagraph"/>
        <w:spacing w:line="360" w:lineRule="auto"/>
        <w:ind w:left="0"/>
        <w:jc w:val="both"/>
        <w:rPr>
          <w:rFonts w:ascii="Arial" w:hAnsi="Arial" w:cs="Arial"/>
          <w:color w:val="000000" w:themeColor="text1"/>
          <w:lang w:val="en-US"/>
        </w:rPr>
      </w:pPr>
      <w:r w:rsidRPr="004B3A13">
        <w:rPr>
          <w:rFonts w:ascii="Arial" w:eastAsia="Arial" w:hAnsi="Arial" w:cs="Arial"/>
          <w:i/>
          <w:iCs/>
          <w:lang w:val="en-US"/>
        </w:rPr>
        <w:t>Held</w:t>
      </w:r>
      <w:r w:rsidR="009F42E2" w:rsidRPr="004B3A13">
        <w:rPr>
          <w:rFonts w:ascii="Arial" w:eastAsia="Arial" w:hAnsi="Arial" w:cs="Arial"/>
          <w:i/>
          <w:iCs/>
          <w:lang w:val="en-US"/>
        </w:rPr>
        <w:t xml:space="preserve"> that</w:t>
      </w:r>
      <w:r w:rsidRPr="004B3A13">
        <w:rPr>
          <w:rFonts w:ascii="Arial" w:eastAsia="Arial" w:hAnsi="Arial" w:cs="Arial"/>
          <w:lang w:val="en-US"/>
        </w:rPr>
        <w:t>,</w:t>
      </w:r>
      <w:r w:rsidR="009F42E2" w:rsidRPr="004B3A13">
        <w:rPr>
          <w:rFonts w:ascii="Arial" w:eastAsia="Arial" w:hAnsi="Arial" w:cs="Arial"/>
          <w:lang w:val="en-US"/>
        </w:rPr>
        <w:t xml:space="preserve"> </w:t>
      </w:r>
      <w:r w:rsidRPr="004B3A13">
        <w:rPr>
          <w:rFonts w:ascii="Arial" w:hAnsi="Arial" w:cs="Arial"/>
          <w:lang w:val="en-US"/>
        </w:rPr>
        <w:t>t</w:t>
      </w:r>
      <w:r w:rsidRPr="004B3A13">
        <w:rPr>
          <w:rFonts w:ascii="Arial" w:hAnsi="Arial" w:cs="Arial"/>
          <w:lang w:val="en-US" w:eastAsia="en-GB"/>
        </w:rPr>
        <w:t>he exhibits absent from the record are essential for fully evaluating the merits of the appeal.</w:t>
      </w:r>
      <w:r w:rsidRPr="004B3A13">
        <w:rPr>
          <w:rFonts w:ascii="Arial" w:hAnsi="Arial" w:cs="Arial"/>
          <w:lang w:val="en-US"/>
        </w:rPr>
        <w:t xml:space="preserve"> Although the transcription company in this case</w:t>
      </w:r>
      <w:r w:rsidR="00A76131" w:rsidRPr="004B3A13">
        <w:rPr>
          <w:rFonts w:ascii="Arial" w:hAnsi="Arial" w:cs="Arial"/>
          <w:lang w:val="en-US"/>
        </w:rPr>
        <w:t xml:space="preserve"> </w:t>
      </w:r>
      <w:r w:rsidRPr="004B3A13">
        <w:rPr>
          <w:rFonts w:ascii="Arial" w:hAnsi="Arial" w:cs="Arial"/>
          <w:lang w:val="en-US"/>
        </w:rPr>
        <w:t xml:space="preserve">contributed materially to the delay in filing the record, the appellant did not exercise the requisite degree of diligence either. This </w:t>
      </w:r>
      <w:r w:rsidRPr="004B3A13">
        <w:rPr>
          <w:rFonts w:ascii="Arial" w:hAnsi="Arial" w:cs="Arial"/>
          <w:color w:val="000000" w:themeColor="text1"/>
        </w:rPr>
        <w:t>makes the explanation for their delay in filing the record weak and unconvincing.</w:t>
      </w:r>
      <w:r w:rsidRPr="004B3A13">
        <w:rPr>
          <w:rFonts w:ascii="Arial" w:hAnsi="Arial" w:cs="Arial"/>
          <w:color w:val="000000" w:themeColor="text1"/>
          <w:lang w:val="en-US"/>
        </w:rPr>
        <w:t xml:space="preserve"> Further, failure to file a complete record without explanation demonstrates an admitted disregard for the </w:t>
      </w:r>
      <w:r w:rsidR="00A76131" w:rsidRPr="004B3A13">
        <w:rPr>
          <w:rFonts w:ascii="Arial" w:hAnsi="Arial" w:cs="Arial"/>
          <w:color w:val="000000" w:themeColor="text1"/>
          <w:lang w:val="en-US"/>
        </w:rPr>
        <w:t>R</w:t>
      </w:r>
      <w:r w:rsidRPr="004B3A13">
        <w:rPr>
          <w:rFonts w:ascii="Arial" w:hAnsi="Arial" w:cs="Arial"/>
          <w:color w:val="000000" w:themeColor="text1"/>
          <w:lang w:val="en-US"/>
        </w:rPr>
        <w:t xml:space="preserve">ules of this Court. </w:t>
      </w:r>
    </w:p>
    <w:p w14:paraId="01FC8E8A" w14:textId="77777777" w:rsidR="00A55E54" w:rsidRPr="004B3A13" w:rsidRDefault="00A55E54" w:rsidP="00966268">
      <w:pPr>
        <w:pStyle w:val="ListParagraph"/>
        <w:spacing w:line="360" w:lineRule="auto"/>
        <w:ind w:left="0"/>
        <w:jc w:val="both"/>
        <w:rPr>
          <w:rFonts w:ascii="Arial" w:hAnsi="Arial" w:cs="Arial"/>
          <w:lang w:val="en-US"/>
        </w:rPr>
      </w:pPr>
    </w:p>
    <w:p w14:paraId="508293ED" w14:textId="326540F0" w:rsidR="00A76131" w:rsidRPr="004B3A13" w:rsidRDefault="00A55E54" w:rsidP="00966268">
      <w:pPr>
        <w:pStyle w:val="Body"/>
        <w:spacing w:after="0" w:line="360" w:lineRule="auto"/>
        <w:ind w:left="0"/>
        <w:jc w:val="both"/>
        <w:rPr>
          <w:rFonts w:ascii="Arial" w:eastAsia="Arial" w:hAnsi="Arial" w:cs="Arial"/>
          <w:sz w:val="24"/>
          <w:szCs w:val="24"/>
          <w:lang w:val="en-US"/>
        </w:rPr>
      </w:pPr>
      <w:r w:rsidRPr="004B3A13">
        <w:rPr>
          <w:rFonts w:ascii="Arial" w:eastAsia="Arial" w:hAnsi="Arial" w:cs="Arial"/>
          <w:i/>
          <w:iCs/>
          <w:sz w:val="24"/>
          <w:szCs w:val="24"/>
          <w:lang w:val="en-US"/>
        </w:rPr>
        <w:t>Held</w:t>
      </w:r>
      <w:r w:rsidR="009F42E2" w:rsidRPr="004B3A13">
        <w:rPr>
          <w:rFonts w:ascii="Arial" w:eastAsia="Arial" w:hAnsi="Arial" w:cs="Arial"/>
          <w:i/>
          <w:iCs/>
          <w:sz w:val="24"/>
          <w:szCs w:val="24"/>
          <w:lang w:val="en-US"/>
        </w:rPr>
        <w:t xml:space="preserve"> that</w:t>
      </w:r>
      <w:r w:rsidRPr="004B3A13">
        <w:rPr>
          <w:rFonts w:ascii="Arial" w:eastAsia="Arial" w:hAnsi="Arial" w:cs="Arial"/>
          <w:sz w:val="24"/>
          <w:szCs w:val="24"/>
          <w:lang w:val="en-US"/>
        </w:rPr>
        <w:t xml:space="preserve">, </w:t>
      </w:r>
      <w:r w:rsidRPr="004B3A13">
        <w:rPr>
          <w:rFonts w:ascii="Arial" w:eastAsia="Arial" w:hAnsi="Arial" w:cs="Arial"/>
          <w:sz w:val="24"/>
          <w:szCs w:val="24"/>
        </w:rPr>
        <w:t xml:space="preserve">there needs to be an objectively reasonable suspicion on </w:t>
      </w:r>
      <w:r w:rsidR="009F42E2" w:rsidRPr="004B3A13">
        <w:rPr>
          <w:rFonts w:ascii="Arial" w:eastAsia="Arial" w:hAnsi="Arial" w:cs="Arial"/>
          <w:sz w:val="24"/>
          <w:szCs w:val="24"/>
        </w:rPr>
        <w:t xml:space="preserve">the </w:t>
      </w:r>
      <w:r w:rsidRPr="004B3A13">
        <w:rPr>
          <w:rFonts w:ascii="Arial" w:eastAsia="Arial" w:hAnsi="Arial" w:cs="Arial"/>
          <w:sz w:val="24"/>
          <w:szCs w:val="24"/>
        </w:rPr>
        <w:t xml:space="preserve">part of the arresting officer </w:t>
      </w:r>
      <w:r w:rsidRPr="004B3A13">
        <w:rPr>
          <w:rFonts w:ascii="Arial" w:eastAsia="Times New Roman" w:hAnsi="Arial" w:cs="Arial"/>
          <w:sz w:val="24"/>
          <w:szCs w:val="24"/>
        </w:rPr>
        <w:t xml:space="preserve">that the person being arrested has committed an offence under Schedule 1 to </w:t>
      </w:r>
      <w:r w:rsidRPr="004B3A13">
        <w:rPr>
          <w:rFonts w:ascii="Arial" w:eastAsia="Arial" w:hAnsi="Arial" w:cs="Arial"/>
          <w:sz w:val="24"/>
          <w:szCs w:val="24"/>
          <w:lang w:val="en-US"/>
        </w:rPr>
        <w:t xml:space="preserve">the </w:t>
      </w:r>
      <w:r w:rsidRPr="004B3A13">
        <w:rPr>
          <w:rFonts w:ascii="Arial" w:hAnsi="Arial" w:cs="Arial"/>
          <w:sz w:val="24"/>
          <w:szCs w:val="24"/>
          <w:lang w:val="en-US"/>
        </w:rPr>
        <w:t>Criminal Procedure Act 51 of 1977</w:t>
      </w:r>
      <w:r w:rsidRPr="004B3A13">
        <w:rPr>
          <w:rFonts w:ascii="Arial" w:eastAsia="Arial" w:hAnsi="Arial" w:cs="Arial"/>
          <w:sz w:val="24"/>
          <w:szCs w:val="24"/>
        </w:rPr>
        <w:t xml:space="preserve">. In this case, the arresting officer did not have a reasonable suspicion. </w:t>
      </w:r>
      <w:r w:rsidRPr="004B3A13">
        <w:rPr>
          <w:rFonts w:ascii="Arial" w:eastAsia="Arial" w:hAnsi="Arial" w:cs="Arial"/>
          <w:sz w:val="24"/>
          <w:szCs w:val="24"/>
          <w:lang w:val="en-US"/>
        </w:rPr>
        <w:t xml:space="preserve">The arrest was also unlawful because it was made for alleged malicious damage to property and trespassing, neither of which is part of Schedule 1. </w:t>
      </w:r>
    </w:p>
    <w:p w14:paraId="0CA177F8" w14:textId="77777777" w:rsidR="00A76131" w:rsidRPr="004B3A13" w:rsidRDefault="00A76131" w:rsidP="00966268">
      <w:pPr>
        <w:pStyle w:val="Body"/>
        <w:spacing w:after="0" w:line="360" w:lineRule="auto"/>
        <w:ind w:left="0"/>
        <w:jc w:val="both"/>
        <w:rPr>
          <w:rFonts w:ascii="Arial" w:eastAsia="Arial" w:hAnsi="Arial" w:cs="Arial"/>
          <w:sz w:val="24"/>
          <w:szCs w:val="24"/>
          <w:lang w:val="en-US"/>
        </w:rPr>
      </w:pPr>
    </w:p>
    <w:p w14:paraId="602534D8" w14:textId="0EF66815" w:rsidR="00A55E54" w:rsidRPr="004B3A13" w:rsidRDefault="00A55E54" w:rsidP="00966268">
      <w:pPr>
        <w:pStyle w:val="Body"/>
        <w:spacing w:after="0" w:line="360" w:lineRule="auto"/>
        <w:ind w:left="0"/>
        <w:jc w:val="both"/>
        <w:rPr>
          <w:rFonts w:ascii="Arial" w:hAnsi="Arial" w:cs="Arial"/>
          <w:color w:val="000000" w:themeColor="text1"/>
          <w:sz w:val="24"/>
          <w:szCs w:val="24"/>
          <w:lang w:val="en-US"/>
        </w:rPr>
      </w:pPr>
      <w:r w:rsidRPr="004B3A13">
        <w:rPr>
          <w:rFonts w:ascii="Arial" w:eastAsia="Arial" w:hAnsi="Arial" w:cs="Arial"/>
          <w:i/>
          <w:iCs/>
          <w:sz w:val="24"/>
          <w:szCs w:val="24"/>
          <w:lang w:val="en-US"/>
        </w:rPr>
        <w:t>Held</w:t>
      </w:r>
      <w:r w:rsidR="009F42E2" w:rsidRPr="004B3A13">
        <w:rPr>
          <w:rFonts w:ascii="Arial" w:eastAsia="Arial" w:hAnsi="Arial" w:cs="Arial"/>
          <w:i/>
          <w:iCs/>
          <w:sz w:val="24"/>
          <w:szCs w:val="24"/>
          <w:lang w:val="en-US"/>
        </w:rPr>
        <w:t xml:space="preserve"> that</w:t>
      </w:r>
      <w:r w:rsidRPr="004B3A13">
        <w:rPr>
          <w:rFonts w:ascii="Arial" w:eastAsia="Arial" w:hAnsi="Arial" w:cs="Arial"/>
          <w:sz w:val="24"/>
          <w:szCs w:val="24"/>
          <w:lang w:val="en-US"/>
        </w:rPr>
        <w:t xml:space="preserve">, </w:t>
      </w:r>
      <w:r w:rsidRPr="004B3A13">
        <w:rPr>
          <w:rFonts w:ascii="Arial" w:eastAsia="Arial" w:hAnsi="Arial" w:cs="Arial"/>
          <w:sz w:val="24"/>
          <w:szCs w:val="24"/>
        </w:rPr>
        <w:t>courts have wide discretion while awarding damages but should clearly articulate the factors that inform</w:t>
      </w:r>
      <w:r w:rsidR="00A76131" w:rsidRPr="004B3A13">
        <w:rPr>
          <w:rFonts w:ascii="Arial" w:eastAsia="Arial" w:hAnsi="Arial" w:cs="Arial"/>
          <w:sz w:val="24"/>
          <w:szCs w:val="24"/>
        </w:rPr>
        <w:t xml:space="preserve"> their decision</w:t>
      </w:r>
      <w:r w:rsidRPr="004B3A13">
        <w:rPr>
          <w:rFonts w:ascii="Arial" w:eastAsia="Arial" w:hAnsi="Arial" w:cs="Arial"/>
          <w:sz w:val="24"/>
          <w:szCs w:val="24"/>
        </w:rPr>
        <w:t xml:space="preserve"> based on guidance from precedent applied to the relevant facts of the case. No mathematical formula can be followed but </w:t>
      </w:r>
      <w:r w:rsidRPr="004B3A13">
        <w:rPr>
          <w:rFonts w:ascii="Arial" w:hAnsi="Arial" w:cs="Arial"/>
          <w:color w:val="000000" w:themeColor="text1"/>
          <w:sz w:val="24"/>
          <w:szCs w:val="24"/>
          <w:lang w:val="en-US"/>
        </w:rPr>
        <w:t>damages awarded for violation</w:t>
      </w:r>
      <w:r w:rsidR="00A76131" w:rsidRPr="004B3A13">
        <w:rPr>
          <w:rFonts w:ascii="Arial" w:hAnsi="Arial" w:cs="Arial"/>
          <w:color w:val="000000" w:themeColor="text1"/>
          <w:sz w:val="24"/>
          <w:szCs w:val="24"/>
          <w:lang w:val="en-US"/>
        </w:rPr>
        <w:t>s</w:t>
      </w:r>
      <w:r w:rsidRPr="004B3A13">
        <w:rPr>
          <w:rFonts w:ascii="Arial" w:hAnsi="Arial" w:cs="Arial"/>
          <w:color w:val="000000" w:themeColor="text1"/>
          <w:sz w:val="24"/>
          <w:szCs w:val="24"/>
          <w:lang w:val="en-US"/>
        </w:rPr>
        <w:t xml:space="preserve"> of personal liberty should reflect the importance of the right. The respondent’s evidence </w:t>
      </w:r>
      <w:r w:rsidR="00A76131" w:rsidRPr="004B3A13">
        <w:rPr>
          <w:rFonts w:ascii="Arial" w:hAnsi="Arial" w:cs="Arial"/>
          <w:color w:val="000000" w:themeColor="text1"/>
          <w:sz w:val="24"/>
          <w:szCs w:val="24"/>
          <w:lang w:val="en-US"/>
        </w:rPr>
        <w:t xml:space="preserve">for proving quantum of damages </w:t>
      </w:r>
      <w:r w:rsidRPr="004B3A13">
        <w:rPr>
          <w:rFonts w:ascii="Arial" w:hAnsi="Arial" w:cs="Arial"/>
          <w:color w:val="000000" w:themeColor="text1"/>
          <w:sz w:val="24"/>
          <w:szCs w:val="24"/>
          <w:lang w:val="en-US"/>
        </w:rPr>
        <w:t xml:space="preserve">was not challenged in any meaningful way </w:t>
      </w:r>
      <w:r w:rsidR="00A76131" w:rsidRPr="004B3A13">
        <w:rPr>
          <w:rFonts w:ascii="Arial" w:hAnsi="Arial" w:cs="Arial"/>
          <w:color w:val="000000" w:themeColor="text1"/>
          <w:sz w:val="24"/>
          <w:szCs w:val="24"/>
          <w:lang w:val="en-US"/>
        </w:rPr>
        <w:t xml:space="preserve">by </w:t>
      </w:r>
      <w:r w:rsidRPr="004B3A13">
        <w:rPr>
          <w:rFonts w:ascii="Arial" w:hAnsi="Arial" w:cs="Arial"/>
          <w:color w:val="000000" w:themeColor="text1"/>
          <w:sz w:val="24"/>
          <w:szCs w:val="24"/>
          <w:lang w:val="en-US"/>
        </w:rPr>
        <w:t xml:space="preserve">the appellant despite being expressly invited to do so by the court </w:t>
      </w:r>
      <w:r w:rsidRPr="006F3405">
        <w:rPr>
          <w:rFonts w:ascii="Arial" w:hAnsi="Arial" w:cs="Arial"/>
          <w:iCs/>
          <w:color w:val="000000" w:themeColor="text1"/>
          <w:sz w:val="24"/>
          <w:szCs w:val="24"/>
          <w:lang w:val="en-US"/>
        </w:rPr>
        <w:t>a quo</w:t>
      </w:r>
      <w:r w:rsidRPr="004B3A13">
        <w:rPr>
          <w:rFonts w:ascii="Arial" w:hAnsi="Arial" w:cs="Arial"/>
          <w:color w:val="000000" w:themeColor="text1"/>
          <w:sz w:val="24"/>
          <w:szCs w:val="24"/>
          <w:lang w:val="en-US"/>
        </w:rPr>
        <w:t xml:space="preserve">. </w:t>
      </w:r>
      <w:r w:rsidRPr="004B3A13">
        <w:rPr>
          <w:rFonts w:ascii="Arial" w:eastAsia="Arial" w:hAnsi="Arial" w:cs="Arial"/>
          <w:sz w:val="24"/>
          <w:szCs w:val="24"/>
        </w:rPr>
        <w:t>Thus, there is no credible reason to doubt the findings of the court below, and the damages it awarded were not excessive.</w:t>
      </w:r>
    </w:p>
    <w:p w14:paraId="0E693BB5" w14:textId="77777777" w:rsidR="00A55E54" w:rsidRPr="004B3A13" w:rsidRDefault="00A55E54" w:rsidP="00966268">
      <w:pPr>
        <w:pStyle w:val="ListParagraph"/>
        <w:spacing w:line="360" w:lineRule="auto"/>
        <w:ind w:left="0"/>
        <w:jc w:val="both"/>
        <w:rPr>
          <w:rFonts w:ascii="Arial" w:eastAsia="Arial" w:hAnsi="Arial" w:cs="Arial"/>
          <w:i/>
          <w:iCs/>
          <w:lang w:val="en-US"/>
        </w:rPr>
      </w:pPr>
    </w:p>
    <w:p w14:paraId="76243E2E" w14:textId="527D8221" w:rsidR="00A55E54" w:rsidRPr="004B3A13" w:rsidRDefault="00A55E54" w:rsidP="00966268">
      <w:pPr>
        <w:pStyle w:val="ListParagraph"/>
        <w:spacing w:line="360" w:lineRule="auto"/>
        <w:ind w:left="0"/>
        <w:jc w:val="both"/>
        <w:rPr>
          <w:rFonts w:ascii="Arial" w:eastAsia="Arial" w:hAnsi="Arial" w:cs="Arial"/>
          <w:color w:val="000000" w:themeColor="text1"/>
          <w:lang w:val="en-US"/>
        </w:rPr>
      </w:pPr>
      <w:r w:rsidRPr="004B3A13">
        <w:rPr>
          <w:rFonts w:ascii="Arial" w:eastAsia="Arial" w:hAnsi="Arial" w:cs="Arial"/>
          <w:i/>
          <w:iCs/>
          <w:lang w:val="en-US"/>
        </w:rPr>
        <w:t>Held</w:t>
      </w:r>
      <w:r w:rsidR="009F42E2" w:rsidRPr="004B3A13">
        <w:rPr>
          <w:rFonts w:ascii="Arial" w:eastAsia="Arial" w:hAnsi="Arial" w:cs="Arial"/>
          <w:i/>
          <w:iCs/>
          <w:lang w:val="en-US"/>
        </w:rPr>
        <w:t xml:space="preserve"> that</w:t>
      </w:r>
      <w:r w:rsidRPr="004B3A13">
        <w:rPr>
          <w:rFonts w:ascii="Arial" w:eastAsia="Arial" w:hAnsi="Arial" w:cs="Arial"/>
          <w:lang w:val="en-US"/>
        </w:rPr>
        <w:t xml:space="preserve">, </w:t>
      </w:r>
      <w:r w:rsidRPr="004B3A13">
        <w:rPr>
          <w:rFonts w:ascii="Arial" w:eastAsia="Arial" w:hAnsi="Arial" w:cs="Arial"/>
          <w:color w:val="000000" w:themeColor="text1"/>
          <w:lang w:val="en-US"/>
        </w:rPr>
        <w:t xml:space="preserve">the failure to apply for condonation in respect of the incomplete record as well as low prospects of success constitute insurmountable barriers to the reinstatement of the appeal. </w:t>
      </w:r>
    </w:p>
    <w:p w14:paraId="67726A16" w14:textId="77777777" w:rsidR="00A55E54" w:rsidRPr="004B3A13" w:rsidRDefault="00A55E54" w:rsidP="00966268">
      <w:pPr>
        <w:pStyle w:val="ListParagraph"/>
        <w:spacing w:line="360" w:lineRule="auto"/>
        <w:ind w:left="0"/>
        <w:jc w:val="both"/>
        <w:rPr>
          <w:rFonts w:ascii="Arial" w:eastAsia="Arial" w:hAnsi="Arial" w:cs="Arial"/>
          <w:color w:val="000000" w:themeColor="text1"/>
          <w:lang w:val="en-US"/>
        </w:rPr>
      </w:pPr>
    </w:p>
    <w:p w14:paraId="1F95364F" w14:textId="340D5E2F" w:rsidR="00B504A4" w:rsidRPr="004B3A13" w:rsidRDefault="00A55E54" w:rsidP="00966268">
      <w:pPr>
        <w:spacing w:line="360" w:lineRule="auto"/>
        <w:ind w:left="0"/>
        <w:jc w:val="both"/>
        <w:rPr>
          <w:rFonts w:ascii="Arial" w:hAnsi="Arial" w:cs="Arial"/>
        </w:rPr>
      </w:pPr>
      <w:r w:rsidRPr="004B3A13">
        <w:rPr>
          <w:rFonts w:ascii="Arial" w:hAnsi="Arial" w:cs="Arial"/>
        </w:rPr>
        <w:t xml:space="preserve">Application for condonation and reinstatement </w:t>
      </w:r>
      <w:r w:rsidR="00D53631">
        <w:rPr>
          <w:rFonts w:ascii="Arial" w:hAnsi="Arial" w:cs="Arial"/>
        </w:rPr>
        <w:t xml:space="preserve">is </w:t>
      </w:r>
      <w:r w:rsidRPr="004B3A13">
        <w:rPr>
          <w:rFonts w:ascii="Arial" w:hAnsi="Arial" w:cs="Arial"/>
        </w:rPr>
        <w:t xml:space="preserve">refused. </w:t>
      </w:r>
      <w:r w:rsidRPr="004B3A13">
        <w:rPr>
          <w:rFonts w:ascii="Arial" w:eastAsia="Arial" w:hAnsi="Arial" w:cs="Arial"/>
        </w:rPr>
        <w:t xml:space="preserve">Costs awarded to respondent except costs of preparing and filing the record </w:t>
      </w:r>
      <w:r w:rsidRPr="004B3A13">
        <w:rPr>
          <w:rFonts w:ascii="Arial" w:eastAsia="Arial" w:hAnsi="Arial" w:cs="Arial"/>
          <w:lang w:val="en-US"/>
        </w:rPr>
        <w:t xml:space="preserve">to mark the court’s displeasure with respondent’s uncooperative conduct in ensuring </w:t>
      </w:r>
      <w:r w:rsidRPr="004B3A13">
        <w:rPr>
          <w:rFonts w:ascii="Arial" w:eastAsia="Arial" w:hAnsi="Arial" w:cs="Arial"/>
        </w:rPr>
        <w:t>that a timely meeting was held with a view to agreeing to the relevant portions of the record.</w:t>
      </w:r>
    </w:p>
    <w:p w14:paraId="476DBD6E" w14:textId="77777777" w:rsidR="00B504A4" w:rsidRPr="004B3A13" w:rsidRDefault="00B504A4" w:rsidP="00966268">
      <w:pPr>
        <w:pBdr>
          <w:bottom w:val="single" w:sz="12" w:space="1" w:color="auto"/>
        </w:pBdr>
        <w:ind w:left="0"/>
        <w:rPr>
          <w:rFonts w:ascii="Arial" w:hAnsi="Arial" w:cs="Arial"/>
          <w:color w:val="FF0000"/>
        </w:rPr>
      </w:pPr>
    </w:p>
    <w:p w14:paraId="7B3272DF" w14:textId="77777777" w:rsidR="00B504A4" w:rsidRPr="004B3A13" w:rsidRDefault="00B504A4" w:rsidP="00966268">
      <w:pPr>
        <w:pBdr>
          <w:bottom w:val="single" w:sz="12" w:space="1" w:color="auto"/>
        </w:pBdr>
        <w:ind w:left="0"/>
        <w:rPr>
          <w:rFonts w:ascii="Arial" w:hAnsi="Arial" w:cs="Arial"/>
          <w:color w:val="FF0000"/>
        </w:rPr>
      </w:pPr>
    </w:p>
    <w:p w14:paraId="06257FDE" w14:textId="77777777" w:rsidR="00B504A4" w:rsidRPr="004B3A13" w:rsidRDefault="00B504A4" w:rsidP="00966268">
      <w:pPr>
        <w:jc w:val="center"/>
        <w:rPr>
          <w:rFonts w:ascii="Arial" w:hAnsi="Arial" w:cs="Arial"/>
          <w:b/>
        </w:rPr>
      </w:pPr>
    </w:p>
    <w:p w14:paraId="3D8F4884" w14:textId="75FD013D" w:rsidR="00AF1F67" w:rsidRPr="004B3A13" w:rsidRDefault="00AF1F67" w:rsidP="00966268">
      <w:pPr>
        <w:ind w:left="0"/>
        <w:jc w:val="center"/>
        <w:rPr>
          <w:rFonts w:ascii="Arial" w:hAnsi="Arial" w:cs="Arial"/>
          <w:b/>
        </w:rPr>
      </w:pPr>
      <w:r w:rsidRPr="004B3A13">
        <w:rPr>
          <w:rFonts w:ascii="Arial" w:hAnsi="Arial" w:cs="Arial"/>
          <w:b/>
        </w:rPr>
        <w:t>APPEAL JUDGMENT</w:t>
      </w:r>
    </w:p>
    <w:p w14:paraId="3AB07A25" w14:textId="77777777" w:rsidR="00B504A4" w:rsidRPr="004B3A13" w:rsidRDefault="00B504A4" w:rsidP="00966268">
      <w:pPr>
        <w:pBdr>
          <w:bottom w:val="single" w:sz="12" w:space="1" w:color="auto"/>
        </w:pBdr>
        <w:ind w:left="0"/>
        <w:rPr>
          <w:rFonts w:ascii="Arial" w:hAnsi="Arial" w:cs="Arial"/>
          <w:color w:val="FF0000"/>
        </w:rPr>
      </w:pPr>
    </w:p>
    <w:p w14:paraId="1F4ABABB" w14:textId="77777777" w:rsidR="00B504A4" w:rsidRPr="004B3A13" w:rsidRDefault="00B504A4" w:rsidP="00966268">
      <w:pPr>
        <w:jc w:val="center"/>
        <w:rPr>
          <w:rFonts w:ascii="Arial" w:hAnsi="Arial" w:cs="Arial"/>
          <w:b/>
        </w:rPr>
      </w:pPr>
    </w:p>
    <w:p w14:paraId="28937DA7" w14:textId="204B65A1" w:rsidR="00CE3EBE" w:rsidRPr="004B3A13" w:rsidRDefault="00CE3EBE" w:rsidP="004B3A13">
      <w:pPr>
        <w:spacing w:line="480" w:lineRule="auto"/>
        <w:ind w:left="0"/>
        <w:rPr>
          <w:rFonts w:ascii="Arial" w:hAnsi="Arial" w:cs="Arial"/>
        </w:rPr>
      </w:pPr>
      <w:r w:rsidRPr="004B3A13">
        <w:rPr>
          <w:rFonts w:ascii="Arial" w:hAnsi="Arial" w:cs="Arial"/>
        </w:rPr>
        <w:t>SHIVUTE CJ (SMUTS JA and SCHIMMING-CHASE AJA concurring):</w:t>
      </w:r>
    </w:p>
    <w:p w14:paraId="613719F2" w14:textId="726DE313" w:rsidR="00AF1F67" w:rsidRPr="004B3A13" w:rsidRDefault="00AF1F67" w:rsidP="004B3A13">
      <w:pPr>
        <w:spacing w:line="480" w:lineRule="auto"/>
        <w:ind w:left="0"/>
        <w:jc w:val="both"/>
        <w:rPr>
          <w:rFonts w:ascii="Arial" w:hAnsi="Arial" w:cs="Arial"/>
          <w:u w:val="single"/>
          <w:lang w:val="en-US"/>
        </w:rPr>
      </w:pPr>
      <w:r w:rsidRPr="004B3A13">
        <w:rPr>
          <w:rFonts w:ascii="Arial" w:hAnsi="Arial" w:cs="Arial"/>
          <w:u w:val="single"/>
          <w:lang w:val="en-US"/>
        </w:rPr>
        <w:t>Introduction</w:t>
      </w:r>
    </w:p>
    <w:p w14:paraId="27248873" w14:textId="0D15D97B" w:rsidR="009C6F1F" w:rsidRPr="00E822E3" w:rsidRDefault="00E822E3" w:rsidP="00E822E3">
      <w:pPr>
        <w:spacing w:line="480" w:lineRule="auto"/>
        <w:ind w:left="0"/>
        <w:jc w:val="both"/>
        <w:rPr>
          <w:rFonts w:ascii="Arial" w:hAnsi="Arial" w:cs="Arial"/>
          <w:lang w:val="en-ZA"/>
        </w:rPr>
      </w:pPr>
      <w:r w:rsidRPr="004B3A13">
        <w:rPr>
          <w:rFonts w:ascii="Arial" w:hAnsi="Arial" w:cs="Arial"/>
          <w:lang w:val="en-ZA"/>
        </w:rPr>
        <w:t>[1]</w:t>
      </w:r>
      <w:r w:rsidRPr="004B3A13">
        <w:rPr>
          <w:rFonts w:ascii="Arial" w:hAnsi="Arial" w:cs="Arial"/>
          <w:lang w:val="en-ZA"/>
        </w:rPr>
        <w:tab/>
      </w:r>
      <w:r w:rsidR="00AF1F67" w:rsidRPr="00E822E3">
        <w:rPr>
          <w:rFonts w:ascii="Arial" w:hAnsi="Arial" w:cs="Arial"/>
        </w:rPr>
        <w:t>This</w:t>
      </w:r>
      <w:r w:rsidR="00995A57" w:rsidRPr="00E822E3">
        <w:rPr>
          <w:rFonts w:ascii="Arial" w:hAnsi="Arial" w:cs="Arial"/>
        </w:rPr>
        <w:t xml:space="preserve"> is an</w:t>
      </w:r>
      <w:r w:rsidR="00AF1F67" w:rsidRPr="00E822E3">
        <w:rPr>
          <w:rFonts w:ascii="Arial" w:hAnsi="Arial" w:cs="Arial"/>
        </w:rPr>
        <w:t xml:space="preserve"> </w:t>
      </w:r>
      <w:r w:rsidR="00AF1F67" w:rsidRPr="00E822E3">
        <w:rPr>
          <w:rFonts w:ascii="Arial" w:hAnsi="Arial" w:cs="Arial"/>
          <w:lang w:val="en-ZA"/>
        </w:rPr>
        <w:t xml:space="preserve">appeal </w:t>
      </w:r>
      <w:r w:rsidR="00095955" w:rsidRPr="00E822E3">
        <w:rPr>
          <w:rFonts w:ascii="Arial" w:hAnsi="Arial" w:cs="Arial"/>
          <w:lang w:val="en-ZA"/>
        </w:rPr>
        <w:t xml:space="preserve">against the judgment and order of the court a quo </w:t>
      </w:r>
      <w:r w:rsidR="00AF1F67" w:rsidRPr="00E822E3">
        <w:rPr>
          <w:rFonts w:ascii="Arial" w:hAnsi="Arial" w:cs="Arial"/>
          <w:lang w:val="en-ZA"/>
        </w:rPr>
        <w:t>in a</w:t>
      </w:r>
      <w:r w:rsidR="00095955" w:rsidRPr="00E822E3">
        <w:rPr>
          <w:rFonts w:ascii="Arial" w:hAnsi="Arial" w:cs="Arial"/>
          <w:lang w:val="en-ZA"/>
        </w:rPr>
        <w:t>n</w:t>
      </w:r>
      <w:r w:rsidR="00AF1F67" w:rsidRPr="00E822E3">
        <w:rPr>
          <w:rFonts w:ascii="Arial" w:hAnsi="Arial" w:cs="Arial"/>
          <w:lang w:val="en-ZA"/>
        </w:rPr>
        <w:t xml:space="preserve"> action for damages for unlawful arrest and detention</w:t>
      </w:r>
      <w:r w:rsidR="00B504A4" w:rsidRPr="00E822E3">
        <w:rPr>
          <w:rFonts w:ascii="Arial" w:hAnsi="Arial" w:cs="Arial"/>
          <w:lang w:val="en-ZA"/>
        </w:rPr>
        <w:t xml:space="preserve"> </w:t>
      </w:r>
      <w:r w:rsidR="00AF1F67" w:rsidRPr="00E822E3">
        <w:rPr>
          <w:rFonts w:ascii="Arial" w:hAnsi="Arial" w:cs="Arial"/>
          <w:lang w:val="en-ZA"/>
        </w:rPr>
        <w:t xml:space="preserve">instituted by the respondent, </w:t>
      </w:r>
      <w:r w:rsidR="00095955" w:rsidRPr="00E822E3">
        <w:rPr>
          <w:rFonts w:ascii="Arial" w:hAnsi="Arial" w:cs="Arial"/>
          <w:lang w:val="en-ZA"/>
        </w:rPr>
        <w:t xml:space="preserve">the late </w:t>
      </w:r>
      <w:r w:rsidR="00AF1F67" w:rsidRPr="00E822E3">
        <w:rPr>
          <w:rFonts w:ascii="Arial" w:hAnsi="Arial" w:cs="Arial"/>
          <w:lang w:val="en-ZA"/>
        </w:rPr>
        <w:t xml:space="preserve">Mr Gregorey Gilbert Naomab, against the appellant, </w:t>
      </w:r>
      <w:r w:rsidR="00095955" w:rsidRPr="00E822E3">
        <w:rPr>
          <w:rFonts w:ascii="Arial" w:hAnsi="Arial" w:cs="Arial"/>
          <w:lang w:val="en-ZA"/>
        </w:rPr>
        <w:t xml:space="preserve">the </w:t>
      </w:r>
      <w:r w:rsidR="00AF1F67" w:rsidRPr="00E822E3">
        <w:rPr>
          <w:rFonts w:ascii="Arial" w:hAnsi="Arial" w:cs="Arial"/>
          <w:lang w:val="en-ZA"/>
        </w:rPr>
        <w:t xml:space="preserve">Minister of Safety and Security. The appellant admitted the arrest but denied that it was unlawful. The High Court awarded damages in favour of the respondent in the amount of N$60 000 with interest thereon </w:t>
      </w:r>
      <w:r w:rsidR="00995A57" w:rsidRPr="00E822E3">
        <w:rPr>
          <w:rFonts w:ascii="Arial" w:hAnsi="Arial" w:cs="Arial"/>
          <w:lang w:val="en-ZA"/>
        </w:rPr>
        <w:t xml:space="preserve">plus </w:t>
      </w:r>
      <w:r w:rsidR="00AF1F67" w:rsidRPr="00E822E3">
        <w:rPr>
          <w:rFonts w:ascii="Arial" w:hAnsi="Arial" w:cs="Arial"/>
          <w:lang w:val="en-ZA"/>
        </w:rPr>
        <w:t xml:space="preserve">costs of suit. </w:t>
      </w:r>
      <w:r w:rsidR="00C77396" w:rsidRPr="00E822E3">
        <w:rPr>
          <w:rFonts w:ascii="Arial" w:hAnsi="Arial" w:cs="Arial"/>
          <w:lang w:val="en-ZA"/>
        </w:rPr>
        <w:t>The respondent</w:t>
      </w:r>
      <w:r w:rsidR="00E11827" w:rsidRPr="00E822E3">
        <w:rPr>
          <w:rFonts w:ascii="Arial" w:hAnsi="Arial" w:cs="Arial"/>
          <w:lang w:val="en-ZA"/>
        </w:rPr>
        <w:t>, unfortunately,</w:t>
      </w:r>
      <w:r w:rsidR="00C77396" w:rsidRPr="00E822E3">
        <w:rPr>
          <w:rFonts w:ascii="Arial" w:hAnsi="Arial" w:cs="Arial"/>
          <w:lang w:val="en-ZA"/>
        </w:rPr>
        <w:t xml:space="preserve"> died </w:t>
      </w:r>
      <w:r w:rsidR="008F5DCB" w:rsidRPr="00E822E3">
        <w:rPr>
          <w:rFonts w:ascii="Arial" w:hAnsi="Arial" w:cs="Arial"/>
          <w:lang w:val="en-ZA"/>
        </w:rPr>
        <w:t xml:space="preserve">shortly after the </w:t>
      </w:r>
      <w:r w:rsidR="00D63EC6" w:rsidRPr="00E822E3">
        <w:rPr>
          <w:rFonts w:ascii="Arial" w:hAnsi="Arial" w:cs="Arial"/>
          <w:lang w:val="en-ZA"/>
        </w:rPr>
        <w:t xml:space="preserve">court </w:t>
      </w:r>
      <w:r w:rsidR="00D63EC6" w:rsidRPr="00E822E3">
        <w:rPr>
          <w:rFonts w:ascii="Arial" w:hAnsi="Arial" w:cs="Arial"/>
          <w:iCs/>
          <w:lang w:val="en-ZA"/>
        </w:rPr>
        <w:t>a quo</w:t>
      </w:r>
      <w:r w:rsidR="00D63EC6" w:rsidRPr="00E822E3">
        <w:rPr>
          <w:rFonts w:ascii="Arial" w:hAnsi="Arial" w:cs="Arial"/>
          <w:lang w:val="en-ZA"/>
        </w:rPr>
        <w:t xml:space="preserve"> delivered the </w:t>
      </w:r>
      <w:r w:rsidR="00AF3802" w:rsidRPr="00E822E3">
        <w:rPr>
          <w:rFonts w:ascii="Arial" w:hAnsi="Arial" w:cs="Arial"/>
          <w:lang w:val="en-ZA"/>
        </w:rPr>
        <w:t xml:space="preserve">order </w:t>
      </w:r>
      <w:r w:rsidR="00D63EC6" w:rsidRPr="00E822E3">
        <w:rPr>
          <w:rFonts w:ascii="Arial" w:hAnsi="Arial" w:cs="Arial"/>
          <w:lang w:val="en-ZA"/>
        </w:rPr>
        <w:t>in his favour</w:t>
      </w:r>
      <w:r w:rsidR="00AF3802" w:rsidRPr="00E822E3">
        <w:rPr>
          <w:rFonts w:ascii="Arial" w:hAnsi="Arial" w:cs="Arial"/>
          <w:lang w:val="en-ZA"/>
        </w:rPr>
        <w:t xml:space="preserve"> and only </w:t>
      </w:r>
      <w:r w:rsidR="00E11827" w:rsidRPr="00E822E3">
        <w:rPr>
          <w:rFonts w:ascii="Arial" w:hAnsi="Arial" w:cs="Arial"/>
          <w:lang w:val="en-ZA"/>
        </w:rPr>
        <w:t xml:space="preserve">a few </w:t>
      </w:r>
      <w:r w:rsidR="00AF3802" w:rsidRPr="00E822E3">
        <w:rPr>
          <w:rFonts w:ascii="Arial" w:hAnsi="Arial" w:cs="Arial"/>
          <w:lang w:val="en-ZA"/>
        </w:rPr>
        <w:t>day</w:t>
      </w:r>
      <w:r w:rsidR="00E11827" w:rsidRPr="00E822E3">
        <w:rPr>
          <w:rFonts w:ascii="Arial" w:hAnsi="Arial" w:cs="Arial"/>
          <w:lang w:val="en-ZA"/>
        </w:rPr>
        <w:t>s</w:t>
      </w:r>
      <w:r w:rsidR="00AF3802" w:rsidRPr="00E822E3">
        <w:rPr>
          <w:rFonts w:ascii="Arial" w:hAnsi="Arial" w:cs="Arial"/>
          <w:lang w:val="en-ZA"/>
        </w:rPr>
        <w:t xml:space="preserve"> before the reasons for the judgment were released.</w:t>
      </w:r>
    </w:p>
    <w:p w14:paraId="63CE0395" w14:textId="77777777" w:rsidR="00E6690F" w:rsidRPr="004B3A13" w:rsidRDefault="00E6690F" w:rsidP="00966268">
      <w:pPr>
        <w:pStyle w:val="ListParagraph"/>
        <w:spacing w:line="480" w:lineRule="auto"/>
        <w:ind w:left="0"/>
        <w:jc w:val="both"/>
        <w:rPr>
          <w:rFonts w:ascii="Arial" w:hAnsi="Arial" w:cs="Arial"/>
          <w:lang w:val="en-ZA"/>
        </w:rPr>
      </w:pPr>
    </w:p>
    <w:p w14:paraId="222A5157" w14:textId="47255BD4" w:rsidR="0000222C" w:rsidRPr="00E822E3" w:rsidRDefault="00E822E3" w:rsidP="00E822E3">
      <w:pPr>
        <w:spacing w:line="480" w:lineRule="auto"/>
        <w:ind w:left="0"/>
        <w:jc w:val="both"/>
        <w:rPr>
          <w:rFonts w:ascii="Arial" w:hAnsi="Arial" w:cs="Arial"/>
          <w:lang w:val="en-ZA"/>
        </w:rPr>
      </w:pPr>
      <w:r w:rsidRPr="004B3A13">
        <w:rPr>
          <w:rFonts w:ascii="Arial" w:hAnsi="Arial" w:cs="Arial"/>
          <w:lang w:val="en-ZA"/>
        </w:rPr>
        <w:t>[2]</w:t>
      </w:r>
      <w:r w:rsidRPr="004B3A13">
        <w:rPr>
          <w:rFonts w:ascii="Arial" w:hAnsi="Arial" w:cs="Arial"/>
          <w:lang w:val="en-ZA"/>
        </w:rPr>
        <w:tab/>
      </w:r>
      <w:r w:rsidR="00095955" w:rsidRPr="00E822E3">
        <w:rPr>
          <w:rFonts w:ascii="Arial" w:hAnsi="Arial" w:cs="Arial"/>
          <w:lang w:val="en-US"/>
        </w:rPr>
        <w:t xml:space="preserve">The arrest occurred in Swakopmund </w:t>
      </w:r>
      <w:r w:rsidR="00995A57" w:rsidRPr="00E822E3">
        <w:rPr>
          <w:rFonts w:ascii="Arial" w:hAnsi="Arial" w:cs="Arial"/>
          <w:lang w:val="en-US"/>
        </w:rPr>
        <w:t xml:space="preserve">against the </w:t>
      </w:r>
      <w:r w:rsidR="00095955" w:rsidRPr="00E822E3">
        <w:rPr>
          <w:rFonts w:ascii="Arial" w:hAnsi="Arial" w:cs="Arial"/>
          <w:lang w:val="en-US"/>
        </w:rPr>
        <w:t xml:space="preserve">following </w:t>
      </w:r>
      <w:r w:rsidR="00995A57" w:rsidRPr="00E822E3">
        <w:rPr>
          <w:rFonts w:ascii="Arial" w:hAnsi="Arial" w:cs="Arial"/>
          <w:lang w:val="en-US"/>
        </w:rPr>
        <w:t>backgr</w:t>
      </w:r>
      <w:r w:rsidR="008603D3" w:rsidRPr="00E822E3">
        <w:rPr>
          <w:rFonts w:ascii="Arial" w:hAnsi="Arial" w:cs="Arial"/>
          <w:lang w:val="en-US"/>
        </w:rPr>
        <w:t>o</w:t>
      </w:r>
      <w:r w:rsidR="00995A57" w:rsidRPr="00E822E3">
        <w:rPr>
          <w:rFonts w:ascii="Arial" w:hAnsi="Arial" w:cs="Arial"/>
          <w:lang w:val="en-US"/>
        </w:rPr>
        <w:t>und</w:t>
      </w:r>
      <w:r w:rsidR="00095955" w:rsidRPr="00E822E3">
        <w:rPr>
          <w:rFonts w:ascii="Arial" w:hAnsi="Arial" w:cs="Arial"/>
          <w:lang w:val="en-US"/>
        </w:rPr>
        <w:t xml:space="preserve">. A certain </w:t>
      </w:r>
      <w:r w:rsidR="0000222C" w:rsidRPr="00E822E3">
        <w:rPr>
          <w:rFonts w:ascii="Arial" w:hAnsi="Arial" w:cs="Arial"/>
          <w:lang w:val="en-US"/>
        </w:rPr>
        <w:t>Mr</w:t>
      </w:r>
      <w:r w:rsidR="0000222C" w:rsidRPr="00E822E3">
        <w:rPr>
          <w:rFonts w:ascii="Arial" w:hAnsi="Arial" w:cs="Arial"/>
          <w:b/>
          <w:bCs/>
          <w:lang w:val="en-US"/>
        </w:rPr>
        <w:t xml:space="preserve"> </w:t>
      </w:r>
      <w:r w:rsidR="0000222C" w:rsidRPr="00E822E3">
        <w:rPr>
          <w:rFonts w:ascii="Arial" w:hAnsi="Arial" w:cs="Arial"/>
          <w:lang w:val="en-US"/>
        </w:rPr>
        <w:t xml:space="preserve">Haasbroek reported to the police that he </w:t>
      </w:r>
      <w:r w:rsidR="008603D3" w:rsidRPr="00E822E3">
        <w:rPr>
          <w:rFonts w:ascii="Arial" w:hAnsi="Arial" w:cs="Arial"/>
          <w:lang w:val="en-US"/>
        </w:rPr>
        <w:t xml:space="preserve">had </w:t>
      </w:r>
      <w:r w:rsidR="0000222C" w:rsidRPr="00E822E3">
        <w:rPr>
          <w:rFonts w:ascii="Arial" w:hAnsi="Arial" w:cs="Arial"/>
          <w:lang w:val="en-US"/>
        </w:rPr>
        <w:t xml:space="preserve">caught a suspect, the respondent, who he alleged had climbed over </w:t>
      </w:r>
      <w:r w:rsidR="009C6F1F" w:rsidRPr="00E822E3">
        <w:rPr>
          <w:rFonts w:ascii="Arial" w:hAnsi="Arial" w:cs="Arial"/>
          <w:lang w:val="en-US"/>
        </w:rPr>
        <w:t xml:space="preserve">his </w:t>
      </w:r>
      <w:r w:rsidR="0000222C" w:rsidRPr="00E822E3">
        <w:rPr>
          <w:rFonts w:ascii="Arial" w:hAnsi="Arial" w:cs="Arial"/>
          <w:lang w:val="en-US"/>
        </w:rPr>
        <w:t xml:space="preserve">fence </w:t>
      </w:r>
      <w:r w:rsidR="009C6F1F" w:rsidRPr="00E822E3">
        <w:rPr>
          <w:rFonts w:ascii="Arial" w:hAnsi="Arial" w:cs="Arial"/>
          <w:lang w:val="en-US"/>
        </w:rPr>
        <w:t xml:space="preserve">the previous day </w:t>
      </w:r>
      <w:r w:rsidR="0000222C" w:rsidRPr="00E822E3">
        <w:rPr>
          <w:rFonts w:ascii="Arial" w:hAnsi="Arial" w:cs="Arial"/>
          <w:lang w:val="en-US"/>
        </w:rPr>
        <w:t xml:space="preserve">and damaged </w:t>
      </w:r>
      <w:r w:rsidR="00095955" w:rsidRPr="00E822E3">
        <w:rPr>
          <w:rFonts w:ascii="Arial" w:hAnsi="Arial" w:cs="Arial"/>
          <w:lang w:val="en-US"/>
        </w:rPr>
        <w:t>his gate</w:t>
      </w:r>
      <w:r w:rsidR="008603D3" w:rsidRPr="00E822E3">
        <w:rPr>
          <w:rFonts w:ascii="Arial" w:hAnsi="Arial" w:cs="Arial"/>
          <w:lang w:val="en-US"/>
        </w:rPr>
        <w:t xml:space="preserve"> motor</w:t>
      </w:r>
      <w:r w:rsidR="0000222C" w:rsidRPr="00E822E3">
        <w:rPr>
          <w:rFonts w:ascii="Arial" w:hAnsi="Arial" w:cs="Arial"/>
          <w:lang w:val="en-US"/>
        </w:rPr>
        <w:t xml:space="preserve">. Inspector Anton </w:t>
      </w:r>
      <w:r w:rsidR="000A6670" w:rsidRPr="00E822E3">
        <w:rPr>
          <w:rFonts w:ascii="Arial" w:hAnsi="Arial" w:cs="Arial"/>
          <w:lang w:val="en-US"/>
        </w:rPr>
        <w:t xml:space="preserve">of the Namibian Police </w:t>
      </w:r>
      <w:r w:rsidR="0000222C" w:rsidRPr="00E822E3">
        <w:rPr>
          <w:rFonts w:ascii="Arial" w:hAnsi="Arial" w:cs="Arial"/>
          <w:lang w:val="en-US"/>
        </w:rPr>
        <w:t xml:space="preserve">arrived at Mr. Haasbroek’s residence. Mr Haasbroek showed him the CCTV footage of the incident and Inspector Anton testified that he could ‘clearly identify’ the respondent from the footage. </w:t>
      </w:r>
    </w:p>
    <w:p w14:paraId="6284A56B" w14:textId="77777777" w:rsidR="00E6690F" w:rsidRPr="004B3A13" w:rsidRDefault="00E6690F" w:rsidP="00966268">
      <w:pPr>
        <w:pStyle w:val="ListParagraph"/>
        <w:spacing w:line="480" w:lineRule="auto"/>
        <w:ind w:left="0"/>
        <w:jc w:val="both"/>
        <w:rPr>
          <w:rFonts w:ascii="Arial" w:hAnsi="Arial" w:cs="Arial"/>
          <w:lang w:val="en-ZA"/>
        </w:rPr>
      </w:pPr>
    </w:p>
    <w:p w14:paraId="03DE63F6" w14:textId="646A711F" w:rsidR="00C54161" w:rsidRPr="00E822E3" w:rsidRDefault="00E822E3" w:rsidP="00E822E3">
      <w:pPr>
        <w:spacing w:line="480" w:lineRule="auto"/>
        <w:ind w:left="0"/>
        <w:jc w:val="both"/>
        <w:rPr>
          <w:rFonts w:ascii="Arial" w:hAnsi="Arial" w:cs="Arial"/>
        </w:rPr>
      </w:pPr>
      <w:r w:rsidRPr="004B3A13">
        <w:rPr>
          <w:rFonts w:ascii="Arial" w:hAnsi="Arial" w:cs="Arial"/>
        </w:rPr>
        <w:t>[3]</w:t>
      </w:r>
      <w:r w:rsidRPr="004B3A13">
        <w:rPr>
          <w:rFonts w:ascii="Arial" w:hAnsi="Arial" w:cs="Arial"/>
        </w:rPr>
        <w:tab/>
      </w:r>
      <w:r w:rsidR="0000222C" w:rsidRPr="00E822E3">
        <w:rPr>
          <w:rFonts w:ascii="Arial" w:hAnsi="Arial" w:cs="Arial"/>
          <w:lang w:val="en-US"/>
        </w:rPr>
        <w:t xml:space="preserve">The respondent </w:t>
      </w:r>
      <w:r w:rsidR="000A6670" w:rsidRPr="00E822E3">
        <w:rPr>
          <w:rFonts w:ascii="Arial" w:hAnsi="Arial" w:cs="Arial"/>
          <w:lang w:val="en-US"/>
        </w:rPr>
        <w:t xml:space="preserve">pleaded </w:t>
      </w:r>
      <w:r w:rsidR="0000222C" w:rsidRPr="00E822E3">
        <w:rPr>
          <w:rFonts w:ascii="Arial" w:hAnsi="Arial" w:cs="Arial"/>
          <w:lang w:val="en-US"/>
        </w:rPr>
        <w:t>that he was arrested</w:t>
      </w:r>
      <w:r w:rsidR="00853C02" w:rsidRPr="00E822E3">
        <w:rPr>
          <w:rFonts w:ascii="Arial" w:hAnsi="Arial" w:cs="Arial"/>
          <w:lang w:val="en-US"/>
        </w:rPr>
        <w:t xml:space="preserve"> at Mr Haasbroek’s house, </w:t>
      </w:r>
      <w:r w:rsidR="0000222C" w:rsidRPr="00E822E3">
        <w:rPr>
          <w:rFonts w:ascii="Arial" w:hAnsi="Arial" w:cs="Arial"/>
          <w:lang w:val="en-US"/>
        </w:rPr>
        <w:t>taken to the Swakopmund Police Station</w:t>
      </w:r>
      <w:r w:rsidR="00853C02" w:rsidRPr="00E822E3">
        <w:rPr>
          <w:rFonts w:ascii="Arial" w:hAnsi="Arial" w:cs="Arial"/>
          <w:lang w:val="en-US"/>
        </w:rPr>
        <w:t>,</w:t>
      </w:r>
      <w:r w:rsidR="0000222C" w:rsidRPr="00E822E3">
        <w:rPr>
          <w:rFonts w:ascii="Arial" w:hAnsi="Arial" w:cs="Arial"/>
          <w:lang w:val="en-US"/>
        </w:rPr>
        <w:t xml:space="preserve"> </w:t>
      </w:r>
      <w:r w:rsidR="00853C02" w:rsidRPr="00E822E3">
        <w:rPr>
          <w:rFonts w:ascii="Arial" w:hAnsi="Arial" w:cs="Arial"/>
          <w:lang w:val="en-US"/>
        </w:rPr>
        <w:t xml:space="preserve">and </w:t>
      </w:r>
      <w:r w:rsidR="0000222C" w:rsidRPr="00E822E3">
        <w:rPr>
          <w:rFonts w:ascii="Arial" w:hAnsi="Arial" w:cs="Arial"/>
        </w:rPr>
        <w:t xml:space="preserve">detained for a duration of 50 </w:t>
      </w:r>
      <w:r w:rsidR="009C6F1F" w:rsidRPr="00E822E3">
        <w:rPr>
          <w:rFonts w:ascii="Arial" w:hAnsi="Arial" w:cs="Arial"/>
        </w:rPr>
        <w:t xml:space="preserve">hours </w:t>
      </w:r>
      <w:r w:rsidR="0000222C" w:rsidRPr="00E822E3">
        <w:rPr>
          <w:rFonts w:ascii="Arial" w:hAnsi="Arial" w:cs="Arial"/>
        </w:rPr>
        <w:t xml:space="preserve">in </w:t>
      </w:r>
      <w:r w:rsidR="0000222C" w:rsidRPr="00E822E3">
        <w:rPr>
          <w:rFonts w:ascii="Arial" w:hAnsi="Arial" w:cs="Arial"/>
          <w:lang w:val="en-US"/>
        </w:rPr>
        <w:t xml:space="preserve">filthy conditions with hardened criminals and given inedible food. He also alleged that he was forced to wash motor vehicles by the police. </w:t>
      </w:r>
    </w:p>
    <w:p w14:paraId="05AD9209" w14:textId="77777777" w:rsidR="00C54161" w:rsidRPr="004B3A13" w:rsidRDefault="00C54161" w:rsidP="00966268">
      <w:pPr>
        <w:pStyle w:val="ListParagraph"/>
        <w:spacing w:line="480" w:lineRule="auto"/>
        <w:rPr>
          <w:rFonts w:ascii="Arial" w:hAnsi="Arial" w:cs="Arial"/>
          <w:lang w:val="en-US"/>
        </w:rPr>
      </w:pPr>
    </w:p>
    <w:p w14:paraId="3BD66680" w14:textId="0FC5852D" w:rsidR="00E6690F" w:rsidRPr="00E822E3" w:rsidRDefault="00E822E3" w:rsidP="00E822E3">
      <w:pPr>
        <w:spacing w:line="480" w:lineRule="auto"/>
        <w:ind w:left="0"/>
        <w:jc w:val="both"/>
        <w:rPr>
          <w:rFonts w:ascii="Arial" w:hAnsi="Arial" w:cs="Arial"/>
        </w:rPr>
      </w:pPr>
      <w:r w:rsidRPr="004B3A13">
        <w:rPr>
          <w:rFonts w:ascii="Arial" w:hAnsi="Arial" w:cs="Arial"/>
        </w:rPr>
        <w:t>[4]</w:t>
      </w:r>
      <w:r w:rsidRPr="004B3A13">
        <w:rPr>
          <w:rFonts w:ascii="Arial" w:hAnsi="Arial" w:cs="Arial"/>
        </w:rPr>
        <w:tab/>
      </w:r>
      <w:r w:rsidR="000A6670" w:rsidRPr="00E822E3">
        <w:rPr>
          <w:rFonts w:ascii="Arial" w:hAnsi="Arial" w:cs="Arial"/>
          <w:lang w:val="en-US"/>
        </w:rPr>
        <w:t>The a</w:t>
      </w:r>
      <w:r w:rsidR="0000222C" w:rsidRPr="00E822E3">
        <w:rPr>
          <w:rFonts w:ascii="Arial" w:hAnsi="Arial" w:cs="Arial"/>
          <w:lang w:val="en-US"/>
        </w:rPr>
        <w:t xml:space="preserve">ppellant </w:t>
      </w:r>
      <w:r w:rsidR="000A6670" w:rsidRPr="00E822E3">
        <w:rPr>
          <w:rFonts w:ascii="Arial" w:hAnsi="Arial" w:cs="Arial"/>
          <w:lang w:val="en-US"/>
        </w:rPr>
        <w:t>pleaded</w:t>
      </w:r>
      <w:r w:rsidR="00C54161" w:rsidRPr="00E822E3">
        <w:rPr>
          <w:rFonts w:ascii="Arial" w:hAnsi="Arial" w:cs="Arial"/>
          <w:lang w:val="en-US"/>
        </w:rPr>
        <w:t xml:space="preserve"> </w:t>
      </w:r>
      <w:r w:rsidR="0000222C" w:rsidRPr="00E822E3">
        <w:rPr>
          <w:rFonts w:ascii="Arial" w:hAnsi="Arial" w:cs="Arial"/>
          <w:lang w:val="en-US"/>
        </w:rPr>
        <w:t xml:space="preserve">that the respondent voluntarily </w:t>
      </w:r>
      <w:r w:rsidR="00853C02" w:rsidRPr="00E822E3">
        <w:rPr>
          <w:rFonts w:ascii="Arial" w:hAnsi="Arial" w:cs="Arial"/>
          <w:lang w:val="en-US"/>
        </w:rPr>
        <w:t xml:space="preserve">accompanied the police </w:t>
      </w:r>
      <w:r w:rsidR="0000222C" w:rsidRPr="00E822E3">
        <w:rPr>
          <w:rFonts w:ascii="Arial" w:hAnsi="Arial" w:cs="Arial"/>
          <w:lang w:val="en-US"/>
        </w:rPr>
        <w:t xml:space="preserve">to the station where he was arrested by Warrant Officer </w:t>
      </w:r>
      <w:r w:rsidR="00853C02" w:rsidRPr="00E822E3">
        <w:rPr>
          <w:rFonts w:ascii="Arial" w:hAnsi="Arial" w:cs="Arial"/>
          <w:lang w:val="en-US"/>
        </w:rPr>
        <w:t xml:space="preserve">(W/O) </w:t>
      </w:r>
      <w:r w:rsidR="0000222C" w:rsidRPr="00E822E3">
        <w:rPr>
          <w:rFonts w:ascii="Arial" w:hAnsi="Arial" w:cs="Arial"/>
          <w:lang w:val="en-US"/>
        </w:rPr>
        <w:t xml:space="preserve">Machado. </w:t>
      </w:r>
      <w:r w:rsidR="000A6670" w:rsidRPr="00E822E3">
        <w:rPr>
          <w:rFonts w:ascii="Arial" w:hAnsi="Arial" w:cs="Arial"/>
          <w:lang w:val="en-US"/>
        </w:rPr>
        <w:t>The a</w:t>
      </w:r>
      <w:r w:rsidR="00C54161" w:rsidRPr="00E822E3">
        <w:rPr>
          <w:rFonts w:ascii="Arial" w:hAnsi="Arial" w:cs="Arial"/>
          <w:lang w:val="en-US"/>
        </w:rPr>
        <w:t xml:space="preserve">ppellant </w:t>
      </w:r>
      <w:r w:rsidR="00812504" w:rsidRPr="00E822E3">
        <w:rPr>
          <w:rFonts w:ascii="Arial" w:hAnsi="Arial" w:cs="Arial"/>
          <w:lang w:val="en-US"/>
        </w:rPr>
        <w:t xml:space="preserve">further </w:t>
      </w:r>
      <w:r w:rsidR="000A6670" w:rsidRPr="00E822E3">
        <w:rPr>
          <w:rFonts w:ascii="Arial" w:hAnsi="Arial" w:cs="Arial"/>
          <w:lang w:val="en-US"/>
        </w:rPr>
        <w:t xml:space="preserve">pleaded </w:t>
      </w:r>
      <w:r w:rsidR="00C54161" w:rsidRPr="00E822E3">
        <w:rPr>
          <w:rFonts w:ascii="Arial" w:hAnsi="Arial" w:cs="Arial"/>
          <w:lang w:val="en-US"/>
        </w:rPr>
        <w:t>that the arrest was lawful</w:t>
      </w:r>
      <w:r w:rsidR="00853C02" w:rsidRPr="00E822E3">
        <w:rPr>
          <w:rFonts w:ascii="Arial" w:hAnsi="Arial" w:cs="Arial"/>
          <w:lang w:val="en-US"/>
        </w:rPr>
        <w:t xml:space="preserve"> and</w:t>
      </w:r>
      <w:r w:rsidR="00C54161" w:rsidRPr="00E822E3">
        <w:rPr>
          <w:rFonts w:ascii="Arial" w:hAnsi="Arial" w:cs="Arial"/>
          <w:lang w:val="en-US"/>
        </w:rPr>
        <w:t xml:space="preserve"> based on a reasonable suspicion</w:t>
      </w:r>
      <w:r w:rsidR="000A6670" w:rsidRPr="00E822E3">
        <w:rPr>
          <w:rFonts w:ascii="Arial" w:hAnsi="Arial" w:cs="Arial"/>
          <w:lang w:val="en-US"/>
        </w:rPr>
        <w:t xml:space="preserve"> and denied </w:t>
      </w:r>
      <w:r w:rsidR="00C54161" w:rsidRPr="00E822E3">
        <w:rPr>
          <w:rFonts w:ascii="Arial" w:hAnsi="Arial" w:cs="Arial"/>
          <w:lang w:val="en-US"/>
        </w:rPr>
        <w:t>that the plaintiff suffered damages.</w:t>
      </w:r>
    </w:p>
    <w:p w14:paraId="2B270290" w14:textId="77777777" w:rsidR="00E6690F" w:rsidRPr="004B3A13" w:rsidRDefault="00E6690F" w:rsidP="00966268">
      <w:pPr>
        <w:pStyle w:val="ListParagraph"/>
        <w:spacing w:line="480" w:lineRule="auto"/>
        <w:rPr>
          <w:rFonts w:ascii="Arial" w:hAnsi="Arial" w:cs="Arial"/>
        </w:rPr>
      </w:pPr>
    </w:p>
    <w:p w14:paraId="1150626D" w14:textId="12F5A1D9" w:rsidR="00853C02" w:rsidRPr="00E822E3" w:rsidRDefault="00E822E3" w:rsidP="00E822E3">
      <w:pPr>
        <w:spacing w:line="480" w:lineRule="auto"/>
        <w:ind w:left="0"/>
        <w:jc w:val="both"/>
        <w:rPr>
          <w:rFonts w:ascii="Arial" w:hAnsi="Arial" w:cs="Arial"/>
        </w:rPr>
      </w:pPr>
      <w:r w:rsidRPr="004B3A13">
        <w:rPr>
          <w:rFonts w:ascii="Arial" w:hAnsi="Arial" w:cs="Arial"/>
        </w:rPr>
        <w:t>[5]</w:t>
      </w:r>
      <w:r w:rsidRPr="004B3A13">
        <w:rPr>
          <w:rFonts w:ascii="Arial" w:hAnsi="Arial" w:cs="Arial"/>
        </w:rPr>
        <w:tab/>
      </w:r>
      <w:r w:rsidR="009C6F1F" w:rsidRPr="00E822E3">
        <w:rPr>
          <w:rFonts w:ascii="Arial" w:hAnsi="Arial" w:cs="Arial"/>
        </w:rPr>
        <w:t xml:space="preserve">During the investigation, the police failed to </w:t>
      </w:r>
      <w:r w:rsidR="000A6670" w:rsidRPr="00E822E3">
        <w:rPr>
          <w:rFonts w:ascii="Arial" w:hAnsi="Arial" w:cs="Arial"/>
        </w:rPr>
        <w:t xml:space="preserve">identify the respondent on the CCTV footage </w:t>
      </w:r>
      <w:r w:rsidR="009C6F1F" w:rsidRPr="00E822E3">
        <w:rPr>
          <w:rFonts w:ascii="Arial" w:hAnsi="Arial" w:cs="Arial"/>
        </w:rPr>
        <w:t xml:space="preserve">and </w:t>
      </w:r>
      <w:r w:rsidR="000A6670" w:rsidRPr="00E822E3">
        <w:rPr>
          <w:rFonts w:ascii="Arial" w:hAnsi="Arial" w:cs="Arial"/>
        </w:rPr>
        <w:t xml:space="preserve">so they </w:t>
      </w:r>
      <w:r w:rsidR="009C6F1F" w:rsidRPr="00E822E3">
        <w:rPr>
          <w:rFonts w:ascii="Arial" w:hAnsi="Arial" w:cs="Arial"/>
        </w:rPr>
        <w:t xml:space="preserve">subsequently released him. </w:t>
      </w:r>
      <w:r w:rsidR="005C337B" w:rsidRPr="00E822E3">
        <w:rPr>
          <w:rFonts w:ascii="Arial" w:hAnsi="Arial" w:cs="Arial"/>
        </w:rPr>
        <w:t>The r</w:t>
      </w:r>
      <w:r w:rsidR="009C6F1F" w:rsidRPr="00E822E3">
        <w:rPr>
          <w:rFonts w:ascii="Arial" w:hAnsi="Arial" w:cs="Arial"/>
        </w:rPr>
        <w:t>espondent thereafter instituted</w:t>
      </w:r>
      <w:r w:rsidR="000A6670" w:rsidRPr="00E822E3">
        <w:rPr>
          <w:rFonts w:ascii="Arial" w:hAnsi="Arial" w:cs="Arial"/>
        </w:rPr>
        <w:t xml:space="preserve"> the</w:t>
      </w:r>
      <w:r w:rsidR="009C6F1F" w:rsidRPr="00E822E3">
        <w:rPr>
          <w:rFonts w:ascii="Arial" w:hAnsi="Arial" w:cs="Arial"/>
        </w:rPr>
        <w:t xml:space="preserve"> claim against the appellant. </w:t>
      </w:r>
      <w:r w:rsidR="005C337B" w:rsidRPr="00E822E3">
        <w:rPr>
          <w:rFonts w:ascii="Arial" w:hAnsi="Arial" w:cs="Arial"/>
        </w:rPr>
        <w:t>A</w:t>
      </w:r>
      <w:r w:rsidR="009C6F1F" w:rsidRPr="00E822E3">
        <w:rPr>
          <w:rFonts w:ascii="Arial" w:hAnsi="Arial" w:cs="Arial"/>
        </w:rPr>
        <w:t xml:space="preserve">fter </w:t>
      </w:r>
      <w:r w:rsidR="008603D3" w:rsidRPr="00E822E3">
        <w:rPr>
          <w:rFonts w:ascii="Arial" w:hAnsi="Arial" w:cs="Arial"/>
        </w:rPr>
        <w:t xml:space="preserve">a trial, </w:t>
      </w:r>
      <w:r w:rsidR="005C337B" w:rsidRPr="00E822E3">
        <w:rPr>
          <w:rFonts w:ascii="Arial" w:hAnsi="Arial" w:cs="Arial"/>
        </w:rPr>
        <w:t xml:space="preserve">the court a quo </w:t>
      </w:r>
      <w:r w:rsidR="009C6F1F" w:rsidRPr="00E822E3">
        <w:rPr>
          <w:rFonts w:ascii="Arial" w:hAnsi="Arial" w:cs="Arial"/>
        </w:rPr>
        <w:t>held that the arresting officer did not have a reasonable suspicion</w:t>
      </w:r>
      <w:r w:rsidR="005C337B" w:rsidRPr="00E822E3">
        <w:rPr>
          <w:rFonts w:ascii="Arial" w:hAnsi="Arial" w:cs="Arial"/>
        </w:rPr>
        <w:t xml:space="preserve"> to effect the arrest</w:t>
      </w:r>
      <w:r w:rsidR="00860559" w:rsidRPr="00E822E3">
        <w:rPr>
          <w:rFonts w:ascii="Arial" w:hAnsi="Arial" w:cs="Arial"/>
        </w:rPr>
        <w:t>, and therefore</w:t>
      </w:r>
      <w:r w:rsidR="009C6F1F" w:rsidRPr="00E822E3">
        <w:rPr>
          <w:rFonts w:ascii="Arial" w:hAnsi="Arial" w:cs="Arial"/>
        </w:rPr>
        <w:t xml:space="preserve"> concluded that the respondent </w:t>
      </w:r>
      <w:r w:rsidR="008603D3" w:rsidRPr="00E822E3">
        <w:rPr>
          <w:rFonts w:ascii="Arial" w:hAnsi="Arial" w:cs="Arial"/>
        </w:rPr>
        <w:t xml:space="preserve">had been </w:t>
      </w:r>
      <w:r w:rsidR="009C6F1F" w:rsidRPr="00E822E3">
        <w:rPr>
          <w:rFonts w:ascii="Arial" w:hAnsi="Arial" w:cs="Arial"/>
        </w:rPr>
        <w:t>unlawfully arrested and detained.</w:t>
      </w:r>
    </w:p>
    <w:p w14:paraId="13192841" w14:textId="09620B19" w:rsidR="009C6F1F" w:rsidRPr="004B3A13" w:rsidRDefault="009C6F1F" w:rsidP="00966268">
      <w:pPr>
        <w:pStyle w:val="ListParagraph"/>
        <w:spacing w:line="480" w:lineRule="auto"/>
        <w:ind w:left="0"/>
        <w:jc w:val="both"/>
        <w:rPr>
          <w:rFonts w:ascii="Arial" w:hAnsi="Arial" w:cs="Arial"/>
        </w:rPr>
      </w:pPr>
      <w:r w:rsidRPr="004B3A13">
        <w:rPr>
          <w:rFonts w:ascii="Arial" w:hAnsi="Arial" w:cs="Arial"/>
        </w:rPr>
        <w:t xml:space="preserve"> </w:t>
      </w:r>
    </w:p>
    <w:p w14:paraId="7CD21278" w14:textId="2D9B152B" w:rsidR="003D5D1F" w:rsidRPr="004B3A13" w:rsidRDefault="000E131C" w:rsidP="00966268">
      <w:pPr>
        <w:widowControl w:val="0"/>
        <w:autoSpaceDE w:val="0"/>
        <w:autoSpaceDN w:val="0"/>
        <w:adjustRightInd w:val="0"/>
        <w:spacing w:line="480" w:lineRule="auto"/>
        <w:ind w:left="0"/>
        <w:jc w:val="both"/>
        <w:rPr>
          <w:rFonts w:ascii="Arial" w:eastAsia="Arial" w:hAnsi="Arial" w:cs="Arial"/>
          <w:u w:val="single"/>
          <w:lang w:val="en-US"/>
        </w:rPr>
      </w:pPr>
      <w:r w:rsidRPr="004B3A13">
        <w:rPr>
          <w:rFonts w:ascii="Arial" w:eastAsia="Arial" w:hAnsi="Arial" w:cs="Arial"/>
          <w:u w:val="single"/>
          <w:lang w:val="en-US"/>
        </w:rPr>
        <w:t xml:space="preserve">Condonation </w:t>
      </w:r>
      <w:r w:rsidR="005C337B" w:rsidRPr="004B3A13">
        <w:rPr>
          <w:rFonts w:ascii="Arial" w:eastAsia="Arial" w:hAnsi="Arial" w:cs="Arial"/>
          <w:u w:val="single"/>
          <w:lang w:val="en-US"/>
        </w:rPr>
        <w:t>a</w:t>
      </w:r>
      <w:r w:rsidRPr="004B3A13">
        <w:rPr>
          <w:rFonts w:ascii="Arial" w:eastAsia="Arial" w:hAnsi="Arial" w:cs="Arial"/>
          <w:u w:val="single"/>
          <w:lang w:val="en-US"/>
        </w:rPr>
        <w:t>pplication</w:t>
      </w:r>
    </w:p>
    <w:p w14:paraId="178B18C0" w14:textId="781934DE" w:rsidR="00A2352F" w:rsidRPr="00E822E3" w:rsidRDefault="00E822E3" w:rsidP="00E822E3">
      <w:pPr>
        <w:widowControl w:val="0"/>
        <w:tabs>
          <w:tab w:val="left" w:pos="709"/>
          <w:tab w:val="left" w:pos="851"/>
        </w:tabs>
        <w:autoSpaceDE w:val="0"/>
        <w:autoSpaceDN w:val="0"/>
        <w:adjustRightInd w:val="0"/>
        <w:spacing w:line="480" w:lineRule="auto"/>
        <w:ind w:left="0"/>
        <w:jc w:val="both"/>
        <w:rPr>
          <w:rFonts w:ascii="Arial" w:eastAsia="Arial" w:hAnsi="Arial" w:cs="Arial"/>
          <w:lang w:val="en-US"/>
        </w:rPr>
      </w:pPr>
      <w:r w:rsidRPr="004B3A13">
        <w:rPr>
          <w:rFonts w:ascii="Arial" w:eastAsia="Arial" w:hAnsi="Arial" w:cs="Arial"/>
          <w:lang w:val="en-US"/>
        </w:rPr>
        <w:t>[6]</w:t>
      </w:r>
      <w:r w:rsidRPr="004B3A13">
        <w:rPr>
          <w:rFonts w:ascii="Arial" w:eastAsia="Arial" w:hAnsi="Arial" w:cs="Arial"/>
          <w:lang w:val="en-US"/>
        </w:rPr>
        <w:tab/>
      </w:r>
      <w:r w:rsidR="003D5D1F" w:rsidRPr="00E822E3">
        <w:rPr>
          <w:rFonts w:ascii="Arial" w:hAnsi="Arial" w:cs="Arial"/>
        </w:rPr>
        <w:t xml:space="preserve">The </w:t>
      </w:r>
      <w:r w:rsidR="005C337B" w:rsidRPr="00E822E3">
        <w:rPr>
          <w:rFonts w:ascii="Arial" w:hAnsi="Arial" w:cs="Arial"/>
        </w:rPr>
        <w:t>j</w:t>
      </w:r>
      <w:r w:rsidR="003D5D1F" w:rsidRPr="00E822E3">
        <w:rPr>
          <w:rFonts w:ascii="Arial" w:hAnsi="Arial" w:cs="Arial"/>
        </w:rPr>
        <w:t xml:space="preserve">udgment of the court a quo was delivered with reasons on 31 March 2022. </w:t>
      </w:r>
      <w:r w:rsidR="009D6F37" w:rsidRPr="00E822E3">
        <w:rPr>
          <w:rFonts w:ascii="Arial" w:hAnsi="Arial" w:cs="Arial"/>
        </w:rPr>
        <w:t xml:space="preserve">An </w:t>
      </w:r>
      <w:r w:rsidR="005C337B" w:rsidRPr="00E822E3">
        <w:rPr>
          <w:rFonts w:ascii="Arial" w:hAnsi="Arial" w:cs="Arial"/>
        </w:rPr>
        <w:t>a</w:t>
      </w:r>
      <w:r w:rsidR="003D5D1F" w:rsidRPr="00E822E3">
        <w:rPr>
          <w:rFonts w:ascii="Arial" w:eastAsia="Arial" w:hAnsi="Arial" w:cs="Arial"/>
          <w:lang w:val="en-US"/>
        </w:rPr>
        <w:t>p</w:t>
      </w:r>
      <w:r w:rsidR="009D6F37" w:rsidRPr="00E822E3">
        <w:rPr>
          <w:rFonts w:ascii="Arial" w:eastAsia="Arial" w:hAnsi="Arial" w:cs="Arial"/>
          <w:lang w:val="en-US"/>
        </w:rPr>
        <w:t>p</w:t>
      </w:r>
      <w:r w:rsidR="003D5D1F" w:rsidRPr="00E822E3">
        <w:rPr>
          <w:rFonts w:ascii="Arial" w:eastAsia="Arial" w:hAnsi="Arial" w:cs="Arial"/>
          <w:lang w:val="en-US"/>
        </w:rPr>
        <w:t xml:space="preserve">eal against the judgment was noted on 20 April 2022. As </w:t>
      </w:r>
      <w:r w:rsidR="005C337B" w:rsidRPr="00E822E3">
        <w:rPr>
          <w:rFonts w:ascii="Arial" w:eastAsia="Arial" w:hAnsi="Arial" w:cs="Arial"/>
          <w:lang w:val="en-US"/>
        </w:rPr>
        <w:t>required by</w:t>
      </w:r>
      <w:r w:rsidR="003D5D1F" w:rsidRPr="00E822E3">
        <w:rPr>
          <w:rFonts w:ascii="Arial" w:eastAsia="Arial" w:hAnsi="Arial" w:cs="Arial"/>
          <w:lang w:val="en-US"/>
        </w:rPr>
        <w:t xml:space="preserve"> </w:t>
      </w:r>
      <w:r w:rsidR="005C337B" w:rsidRPr="00E822E3">
        <w:rPr>
          <w:rFonts w:ascii="Arial" w:eastAsia="Arial" w:hAnsi="Arial" w:cs="Arial"/>
          <w:lang w:val="en-US"/>
        </w:rPr>
        <w:t>r</w:t>
      </w:r>
      <w:r w:rsidR="003D5D1F" w:rsidRPr="00E822E3">
        <w:rPr>
          <w:rFonts w:ascii="Arial" w:eastAsia="Arial" w:hAnsi="Arial" w:cs="Arial"/>
          <w:lang w:val="en-US"/>
        </w:rPr>
        <w:t>ule 8(2)(b) of the Rules of</w:t>
      </w:r>
      <w:r w:rsidR="005C337B" w:rsidRPr="00E822E3">
        <w:rPr>
          <w:rFonts w:ascii="Arial" w:eastAsia="Arial" w:hAnsi="Arial" w:cs="Arial"/>
          <w:lang w:val="en-US"/>
        </w:rPr>
        <w:t xml:space="preserve"> </w:t>
      </w:r>
      <w:r w:rsidR="003D5D1F" w:rsidRPr="00E822E3">
        <w:rPr>
          <w:rFonts w:ascii="Arial" w:eastAsia="Arial" w:hAnsi="Arial" w:cs="Arial"/>
          <w:lang w:val="en-US"/>
        </w:rPr>
        <w:t xml:space="preserve">Court, the appellant was expected to file the appeal record within three months of the judgment, </w:t>
      </w:r>
      <w:r w:rsidR="009D6F37" w:rsidRPr="00E822E3">
        <w:rPr>
          <w:rFonts w:ascii="Arial" w:eastAsia="Arial" w:hAnsi="Arial" w:cs="Arial"/>
          <w:lang w:val="en-US"/>
        </w:rPr>
        <w:t>ie</w:t>
      </w:r>
      <w:r w:rsidR="008603D3" w:rsidRPr="00E822E3">
        <w:rPr>
          <w:rFonts w:ascii="Arial" w:eastAsia="Arial" w:hAnsi="Arial" w:cs="Arial"/>
          <w:lang w:val="en-US"/>
        </w:rPr>
        <w:t xml:space="preserve"> </w:t>
      </w:r>
      <w:r w:rsidR="003D5D1F" w:rsidRPr="00E822E3">
        <w:rPr>
          <w:rFonts w:ascii="Arial" w:eastAsia="Arial" w:hAnsi="Arial" w:cs="Arial"/>
          <w:lang w:val="en-US"/>
        </w:rPr>
        <w:t xml:space="preserve">on 30 June 2022. </w:t>
      </w:r>
      <w:r w:rsidR="00812504" w:rsidRPr="00E822E3">
        <w:rPr>
          <w:rFonts w:ascii="Arial" w:eastAsia="Arial" w:hAnsi="Arial" w:cs="Arial"/>
          <w:lang w:val="en-US"/>
        </w:rPr>
        <w:t xml:space="preserve">The appeal record was filed on </w:t>
      </w:r>
      <w:r w:rsidR="003D5D1F" w:rsidRPr="00E822E3">
        <w:rPr>
          <w:rFonts w:ascii="Arial" w:eastAsia="Arial" w:hAnsi="Arial" w:cs="Arial"/>
          <w:lang w:val="en-US"/>
        </w:rPr>
        <w:t xml:space="preserve">8 July 2022. The appeal lapsed as a result of </w:t>
      </w:r>
      <w:r w:rsidR="00A1512C" w:rsidRPr="00E822E3">
        <w:rPr>
          <w:rFonts w:ascii="Arial" w:eastAsia="Arial" w:hAnsi="Arial" w:cs="Arial"/>
          <w:lang w:val="en-US"/>
        </w:rPr>
        <w:t xml:space="preserve">the failure to file the record timeously in accordance </w:t>
      </w:r>
      <w:r w:rsidR="003D5D1F" w:rsidRPr="00E822E3">
        <w:rPr>
          <w:rFonts w:ascii="Arial" w:eastAsia="Arial" w:hAnsi="Arial" w:cs="Arial"/>
          <w:lang w:val="en-US"/>
        </w:rPr>
        <w:t xml:space="preserve">with </w:t>
      </w:r>
      <w:r w:rsidR="005C337B" w:rsidRPr="00E822E3">
        <w:rPr>
          <w:rFonts w:ascii="Arial" w:eastAsia="Arial" w:hAnsi="Arial" w:cs="Arial"/>
          <w:lang w:val="en-US"/>
        </w:rPr>
        <w:t>r</w:t>
      </w:r>
      <w:r w:rsidR="003D5D1F" w:rsidRPr="00E822E3">
        <w:rPr>
          <w:rFonts w:ascii="Arial" w:eastAsia="Arial" w:hAnsi="Arial" w:cs="Arial"/>
          <w:lang w:val="en-US"/>
        </w:rPr>
        <w:t>ule 8(2)(b).</w:t>
      </w:r>
    </w:p>
    <w:p w14:paraId="00FD07C9" w14:textId="2C85794C" w:rsidR="003D5D1F" w:rsidRPr="004B3A13" w:rsidRDefault="003D5D1F" w:rsidP="00966268">
      <w:pPr>
        <w:pStyle w:val="ListParagraph"/>
        <w:widowControl w:val="0"/>
        <w:tabs>
          <w:tab w:val="left" w:pos="709"/>
          <w:tab w:val="left" w:pos="851"/>
        </w:tabs>
        <w:autoSpaceDE w:val="0"/>
        <w:autoSpaceDN w:val="0"/>
        <w:adjustRightInd w:val="0"/>
        <w:spacing w:line="480" w:lineRule="auto"/>
        <w:ind w:left="0"/>
        <w:jc w:val="both"/>
        <w:rPr>
          <w:rFonts w:ascii="Arial" w:eastAsia="Arial" w:hAnsi="Arial" w:cs="Arial"/>
          <w:lang w:val="en-US"/>
        </w:rPr>
      </w:pPr>
      <w:r w:rsidRPr="004B3A13">
        <w:rPr>
          <w:rFonts w:ascii="Arial" w:eastAsia="Arial" w:hAnsi="Arial" w:cs="Arial"/>
          <w:lang w:val="en-US"/>
        </w:rPr>
        <w:t xml:space="preserve"> </w:t>
      </w:r>
    </w:p>
    <w:p w14:paraId="05AEDD9D" w14:textId="6F3B10A2" w:rsidR="003D5D1F" w:rsidRPr="00E822E3" w:rsidRDefault="00E822E3" w:rsidP="00E822E3">
      <w:pPr>
        <w:widowControl w:val="0"/>
        <w:tabs>
          <w:tab w:val="left" w:pos="709"/>
          <w:tab w:val="left" w:pos="851"/>
        </w:tabs>
        <w:autoSpaceDE w:val="0"/>
        <w:autoSpaceDN w:val="0"/>
        <w:adjustRightInd w:val="0"/>
        <w:spacing w:line="480" w:lineRule="auto"/>
        <w:ind w:left="0"/>
        <w:jc w:val="both"/>
        <w:rPr>
          <w:rFonts w:ascii="Arial" w:eastAsia="Arial" w:hAnsi="Arial" w:cs="Arial"/>
          <w:lang w:val="en-US"/>
        </w:rPr>
      </w:pPr>
      <w:r w:rsidRPr="004B3A13">
        <w:rPr>
          <w:rFonts w:ascii="Arial" w:eastAsia="Arial" w:hAnsi="Arial" w:cs="Arial"/>
          <w:lang w:val="en-US"/>
        </w:rPr>
        <w:lastRenderedPageBreak/>
        <w:t>[7]</w:t>
      </w:r>
      <w:r w:rsidRPr="004B3A13">
        <w:rPr>
          <w:rFonts w:ascii="Arial" w:eastAsia="Arial" w:hAnsi="Arial" w:cs="Arial"/>
          <w:lang w:val="en-US"/>
        </w:rPr>
        <w:tab/>
      </w:r>
      <w:r w:rsidR="003D5D1F" w:rsidRPr="00E822E3">
        <w:rPr>
          <w:rFonts w:ascii="Arial" w:eastAsia="Arial" w:hAnsi="Arial" w:cs="Arial"/>
          <w:lang w:val="en-US"/>
        </w:rPr>
        <w:t>The appellant filed an application for condonation f</w:t>
      </w:r>
      <w:r w:rsidR="004367DA" w:rsidRPr="00E822E3">
        <w:rPr>
          <w:rFonts w:ascii="Arial" w:eastAsia="Arial" w:hAnsi="Arial" w:cs="Arial"/>
          <w:lang w:val="en-US"/>
        </w:rPr>
        <w:t xml:space="preserve">or the late filing of the record </w:t>
      </w:r>
      <w:r w:rsidR="003D5D1F" w:rsidRPr="00E822E3">
        <w:rPr>
          <w:rFonts w:ascii="Arial" w:eastAsia="Arial" w:hAnsi="Arial" w:cs="Arial"/>
          <w:lang w:val="en-US"/>
        </w:rPr>
        <w:t xml:space="preserve">and </w:t>
      </w:r>
      <w:r w:rsidR="004367DA" w:rsidRPr="00E822E3">
        <w:rPr>
          <w:rFonts w:ascii="Arial" w:eastAsia="Arial" w:hAnsi="Arial" w:cs="Arial"/>
          <w:lang w:val="en-US"/>
        </w:rPr>
        <w:t xml:space="preserve">the </w:t>
      </w:r>
      <w:r w:rsidR="003D5D1F" w:rsidRPr="00E822E3">
        <w:rPr>
          <w:rFonts w:ascii="Arial" w:eastAsia="Arial" w:hAnsi="Arial" w:cs="Arial"/>
          <w:lang w:val="en-US"/>
        </w:rPr>
        <w:t xml:space="preserve">reinstatement of </w:t>
      </w:r>
      <w:r w:rsidR="008603D3" w:rsidRPr="00E822E3">
        <w:rPr>
          <w:rFonts w:ascii="Arial" w:eastAsia="Arial" w:hAnsi="Arial" w:cs="Arial"/>
          <w:lang w:val="en-US"/>
        </w:rPr>
        <w:t xml:space="preserve">the </w:t>
      </w:r>
      <w:r w:rsidR="003D5D1F" w:rsidRPr="00E822E3">
        <w:rPr>
          <w:rFonts w:ascii="Arial" w:eastAsia="Arial" w:hAnsi="Arial" w:cs="Arial"/>
          <w:lang w:val="en-US"/>
        </w:rPr>
        <w:t xml:space="preserve">appeal on 10 August 2022. The application </w:t>
      </w:r>
      <w:r w:rsidR="00E11827" w:rsidRPr="00E822E3">
        <w:rPr>
          <w:rFonts w:ascii="Arial" w:eastAsia="Arial" w:hAnsi="Arial" w:cs="Arial"/>
          <w:lang w:val="en-US"/>
        </w:rPr>
        <w:t>wa</w:t>
      </w:r>
      <w:r w:rsidR="004367DA" w:rsidRPr="00E822E3">
        <w:rPr>
          <w:rFonts w:ascii="Arial" w:eastAsia="Arial" w:hAnsi="Arial" w:cs="Arial"/>
          <w:lang w:val="en-US"/>
        </w:rPr>
        <w:t>s opposed</w:t>
      </w:r>
      <w:r w:rsidR="003D5D1F" w:rsidRPr="00E822E3">
        <w:rPr>
          <w:rFonts w:ascii="Arial" w:eastAsia="Arial" w:hAnsi="Arial" w:cs="Arial"/>
          <w:lang w:val="en-US"/>
        </w:rPr>
        <w:t xml:space="preserve">. The </w:t>
      </w:r>
      <w:r w:rsidR="00A1512C" w:rsidRPr="00E822E3">
        <w:rPr>
          <w:rFonts w:ascii="Arial" w:eastAsia="Arial" w:hAnsi="Arial" w:cs="Arial"/>
          <w:lang w:val="en-US"/>
        </w:rPr>
        <w:t xml:space="preserve">application </w:t>
      </w:r>
      <w:r w:rsidR="003D5D1F" w:rsidRPr="00E822E3">
        <w:rPr>
          <w:rFonts w:ascii="Arial" w:eastAsia="Arial" w:hAnsi="Arial" w:cs="Arial"/>
          <w:lang w:val="en-US"/>
        </w:rPr>
        <w:t>for condonation and reinstatement w</w:t>
      </w:r>
      <w:r w:rsidR="00A1512C" w:rsidRPr="00E822E3">
        <w:rPr>
          <w:rFonts w:ascii="Arial" w:eastAsia="Arial" w:hAnsi="Arial" w:cs="Arial"/>
          <w:lang w:val="en-US"/>
        </w:rPr>
        <w:t xml:space="preserve">as </w:t>
      </w:r>
      <w:r w:rsidR="003D5D1F" w:rsidRPr="00E822E3">
        <w:rPr>
          <w:rFonts w:ascii="Arial" w:eastAsia="Arial" w:hAnsi="Arial" w:cs="Arial"/>
          <w:lang w:val="en-US"/>
        </w:rPr>
        <w:t xml:space="preserve">heard together with the merits of the appeal as part of </w:t>
      </w:r>
      <w:r w:rsidR="004C2628" w:rsidRPr="00E822E3">
        <w:rPr>
          <w:rFonts w:ascii="Arial" w:eastAsia="Arial" w:hAnsi="Arial" w:cs="Arial"/>
          <w:lang w:val="en-US"/>
        </w:rPr>
        <w:t xml:space="preserve">determining </w:t>
      </w:r>
      <w:r w:rsidR="003D5D1F" w:rsidRPr="00E822E3">
        <w:rPr>
          <w:rFonts w:ascii="Arial" w:eastAsia="Arial" w:hAnsi="Arial" w:cs="Arial"/>
          <w:lang w:val="en-US"/>
        </w:rPr>
        <w:t>the prospects of success of the appeal.</w:t>
      </w:r>
    </w:p>
    <w:p w14:paraId="1B3F47B2" w14:textId="77777777" w:rsidR="003D5D1F" w:rsidRPr="004B3A13" w:rsidRDefault="003D5D1F" w:rsidP="00966268">
      <w:pPr>
        <w:pStyle w:val="ListParagraph"/>
        <w:widowControl w:val="0"/>
        <w:tabs>
          <w:tab w:val="left" w:pos="709"/>
          <w:tab w:val="left" w:pos="851"/>
        </w:tabs>
        <w:autoSpaceDE w:val="0"/>
        <w:autoSpaceDN w:val="0"/>
        <w:adjustRightInd w:val="0"/>
        <w:spacing w:line="480" w:lineRule="auto"/>
        <w:ind w:left="0"/>
        <w:jc w:val="both"/>
        <w:rPr>
          <w:rFonts w:ascii="Arial" w:eastAsia="Arial" w:hAnsi="Arial" w:cs="Arial"/>
          <w:lang w:val="en-US"/>
        </w:rPr>
      </w:pPr>
    </w:p>
    <w:p w14:paraId="57A656B2" w14:textId="77777777" w:rsidR="00AF1F67" w:rsidRPr="004B3A13" w:rsidRDefault="00AF1F67" w:rsidP="00966268">
      <w:pPr>
        <w:spacing w:line="480" w:lineRule="auto"/>
        <w:ind w:left="0"/>
        <w:jc w:val="both"/>
        <w:rPr>
          <w:rFonts w:ascii="Arial" w:eastAsia="Calibri" w:hAnsi="Arial" w:cs="Arial"/>
          <w:i/>
          <w:lang w:val="en-ZA"/>
        </w:rPr>
      </w:pPr>
      <w:r w:rsidRPr="004B3A13">
        <w:rPr>
          <w:rFonts w:ascii="Arial" w:eastAsia="Calibri" w:hAnsi="Arial" w:cs="Arial"/>
          <w:i/>
          <w:lang w:val="en-ZA"/>
        </w:rPr>
        <w:t xml:space="preserve">Principles governing condonation applications </w:t>
      </w:r>
    </w:p>
    <w:p w14:paraId="21739BF2" w14:textId="65C6BBD1" w:rsidR="006F5131" w:rsidRPr="00E822E3" w:rsidRDefault="00E822E3" w:rsidP="00E822E3">
      <w:pPr>
        <w:spacing w:line="480" w:lineRule="auto"/>
        <w:ind w:left="0"/>
        <w:jc w:val="both"/>
        <w:rPr>
          <w:rFonts w:ascii="Arial" w:eastAsia="Calibri" w:hAnsi="Arial" w:cs="Arial"/>
          <w:lang w:val="en-ZA"/>
        </w:rPr>
      </w:pPr>
      <w:r w:rsidRPr="004B3A13">
        <w:rPr>
          <w:rFonts w:ascii="Arial" w:eastAsia="Calibri" w:hAnsi="Arial" w:cs="Arial"/>
          <w:lang w:val="en-ZA"/>
        </w:rPr>
        <w:t>[8]</w:t>
      </w:r>
      <w:r w:rsidRPr="004B3A13">
        <w:rPr>
          <w:rFonts w:ascii="Arial" w:eastAsia="Calibri" w:hAnsi="Arial" w:cs="Arial"/>
          <w:lang w:val="en-ZA"/>
        </w:rPr>
        <w:tab/>
      </w:r>
      <w:r w:rsidR="00AF1F67" w:rsidRPr="00E822E3">
        <w:rPr>
          <w:rFonts w:ascii="Arial" w:eastAsia="Calibri" w:hAnsi="Arial" w:cs="Arial"/>
          <w:lang w:val="en-ZA"/>
        </w:rPr>
        <w:t>The general principles applied in the determination of applications for condonation are well-established. They have been comprehensively discussed in numerous judgments of this Court</w:t>
      </w:r>
      <w:r w:rsidR="004C2628" w:rsidRPr="004B3A13">
        <w:rPr>
          <w:rStyle w:val="FootnoteReference"/>
          <w:rFonts w:ascii="Arial" w:eastAsia="Calibri" w:hAnsi="Arial" w:cs="Arial"/>
          <w:lang w:val="en-ZA"/>
        </w:rPr>
        <w:footnoteReference w:id="2"/>
      </w:r>
      <w:r w:rsidR="00AF1F67" w:rsidRPr="00E822E3">
        <w:rPr>
          <w:rFonts w:ascii="Arial" w:eastAsia="Calibri" w:hAnsi="Arial" w:cs="Arial"/>
          <w:lang w:val="en-ZA"/>
        </w:rPr>
        <w:t xml:space="preserve"> and it is not required to restate them in any detail here.</w:t>
      </w:r>
      <w:r w:rsidR="00A1512C" w:rsidRPr="00E822E3">
        <w:rPr>
          <w:rFonts w:ascii="Arial" w:eastAsia="Calibri" w:hAnsi="Arial" w:cs="Arial"/>
          <w:lang w:val="en-ZA"/>
        </w:rPr>
        <w:t xml:space="preserve"> Suffice it to say that</w:t>
      </w:r>
      <w:r w:rsidR="00A1512C" w:rsidRPr="00E822E3">
        <w:rPr>
          <w:rFonts w:ascii="Arial" w:eastAsia="Calibri" w:hAnsi="Arial" w:cs="Arial"/>
          <w:color w:val="000000"/>
          <w:lang w:val="en-ZA"/>
        </w:rPr>
        <w:t xml:space="preserve"> c</w:t>
      </w:r>
      <w:r w:rsidR="00AF1F67" w:rsidRPr="00E822E3">
        <w:rPr>
          <w:rFonts w:ascii="Arial" w:eastAsia="Calibri" w:hAnsi="Arial" w:cs="Arial"/>
          <w:color w:val="000000"/>
          <w:lang w:val="en-ZA"/>
        </w:rPr>
        <w:t xml:space="preserve">ondonation for non-compliance with a </w:t>
      </w:r>
      <w:r w:rsidR="00A1512C" w:rsidRPr="00E822E3">
        <w:rPr>
          <w:rFonts w:ascii="Arial" w:eastAsia="Calibri" w:hAnsi="Arial" w:cs="Arial"/>
          <w:color w:val="000000"/>
          <w:lang w:val="en-ZA"/>
        </w:rPr>
        <w:t>r</w:t>
      </w:r>
      <w:r w:rsidR="00AF1F67" w:rsidRPr="00E822E3">
        <w:rPr>
          <w:rFonts w:ascii="Arial" w:eastAsia="Calibri" w:hAnsi="Arial" w:cs="Arial"/>
          <w:color w:val="000000"/>
          <w:lang w:val="en-ZA"/>
        </w:rPr>
        <w:t>ule of</w:t>
      </w:r>
      <w:r w:rsidR="00BA29C0" w:rsidRPr="00E822E3">
        <w:rPr>
          <w:rFonts w:ascii="Arial" w:eastAsia="Calibri" w:hAnsi="Arial" w:cs="Arial"/>
          <w:color w:val="000000"/>
          <w:lang w:val="en-ZA"/>
        </w:rPr>
        <w:t xml:space="preserve"> </w:t>
      </w:r>
      <w:r w:rsidR="00881EDA" w:rsidRPr="00E822E3">
        <w:rPr>
          <w:rFonts w:ascii="Arial" w:eastAsia="Calibri" w:hAnsi="Arial" w:cs="Arial"/>
          <w:color w:val="000000"/>
          <w:lang w:val="en-ZA"/>
        </w:rPr>
        <w:t xml:space="preserve">the </w:t>
      </w:r>
      <w:r w:rsidR="00AF1F67" w:rsidRPr="00E822E3">
        <w:rPr>
          <w:rFonts w:ascii="Arial" w:eastAsia="Calibri" w:hAnsi="Arial" w:cs="Arial"/>
          <w:color w:val="000000"/>
          <w:lang w:val="en-ZA"/>
        </w:rPr>
        <w:t xml:space="preserve">Court </w:t>
      </w:r>
      <w:r w:rsidR="00A1512C" w:rsidRPr="00E822E3">
        <w:rPr>
          <w:rFonts w:ascii="Arial" w:eastAsia="Calibri" w:hAnsi="Arial" w:cs="Arial"/>
          <w:color w:val="000000"/>
          <w:lang w:val="en-ZA"/>
        </w:rPr>
        <w:t xml:space="preserve">Rules </w:t>
      </w:r>
      <w:r w:rsidR="00AF1F67" w:rsidRPr="00E822E3">
        <w:rPr>
          <w:rFonts w:ascii="Arial" w:eastAsia="Calibri" w:hAnsi="Arial" w:cs="Arial"/>
          <w:color w:val="000000"/>
          <w:lang w:val="en-ZA"/>
        </w:rPr>
        <w:t>is by no means a mere formality</w:t>
      </w:r>
      <w:r w:rsidR="00716180" w:rsidRPr="00E822E3">
        <w:rPr>
          <w:rFonts w:ascii="Arial" w:eastAsia="Calibri" w:hAnsi="Arial" w:cs="Arial"/>
          <w:color w:val="000000"/>
          <w:lang w:val="en-ZA"/>
        </w:rPr>
        <w:t>.</w:t>
      </w:r>
      <w:r w:rsidR="00AF1F67" w:rsidRPr="00E822E3">
        <w:rPr>
          <w:rFonts w:ascii="Arial" w:eastAsia="Calibri" w:hAnsi="Arial" w:cs="Arial"/>
          <w:color w:val="000000"/>
          <w:lang w:val="en-ZA"/>
        </w:rPr>
        <w:t xml:space="preserve"> The applicant is required, </w:t>
      </w:r>
      <w:r w:rsidR="00853C02" w:rsidRPr="00E822E3">
        <w:rPr>
          <w:rFonts w:ascii="Arial" w:eastAsia="Calibri" w:hAnsi="Arial" w:cs="Arial"/>
          <w:color w:val="000000"/>
          <w:lang w:val="en-ZA"/>
        </w:rPr>
        <w:t>firstly</w:t>
      </w:r>
      <w:r w:rsidR="00AF1F67" w:rsidRPr="00E822E3">
        <w:rPr>
          <w:rFonts w:ascii="Arial" w:eastAsia="Calibri" w:hAnsi="Arial" w:cs="Arial"/>
          <w:color w:val="000000"/>
          <w:lang w:val="en-ZA"/>
        </w:rPr>
        <w:t>, to provide a reasonable and acceptable explanation for the non-compliance and secondly, to satisfy the Court that there are reasonable prospects of success on appeal.</w:t>
      </w:r>
      <w:r w:rsidR="004C2628" w:rsidRPr="004B3A13">
        <w:rPr>
          <w:rStyle w:val="FootnoteReference"/>
          <w:rFonts w:ascii="Arial" w:eastAsia="Calibri" w:hAnsi="Arial" w:cs="Arial"/>
          <w:color w:val="000000"/>
          <w:lang w:val="en-ZA"/>
        </w:rPr>
        <w:footnoteReference w:id="3"/>
      </w:r>
    </w:p>
    <w:p w14:paraId="50F1B49F" w14:textId="77777777" w:rsidR="00BA29C0" w:rsidRPr="004B3A13" w:rsidRDefault="00BA29C0" w:rsidP="00966268">
      <w:pPr>
        <w:pStyle w:val="ListParagraph"/>
        <w:spacing w:line="480" w:lineRule="auto"/>
        <w:ind w:left="0"/>
        <w:jc w:val="both"/>
        <w:rPr>
          <w:rFonts w:ascii="Arial" w:eastAsia="Calibri" w:hAnsi="Arial" w:cs="Arial"/>
          <w:lang w:val="en-ZA"/>
        </w:rPr>
      </w:pPr>
    </w:p>
    <w:p w14:paraId="57619C14" w14:textId="49722D03" w:rsidR="006F5131" w:rsidRPr="00E822E3" w:rsidRDefault="00E822E3" w:rsidP="00E822E3">
      <w:pPr>
        <w:spacing w:line="480" w:lineRule="auto"/>
        <w:ind w:left="0"/>
        <w:jc w:val="both"/>
        <w:rPr>
          <w:rFonts w:ascii="Arial" w:eastAsia="Calibri" w:hAnsi="Arial" w:cs="Arial"/>
          <w:lang w:val="en-ZA"/>
        </w:rPr>
      </w:pPr>
      <w:r w:rsidRPr="004B3A13">
        <w:rPr>
          <w:rFonts w:ascii="Arial" w:eastAsia="Calibri" w:hAnsi="Arial" w:cs="Arial"/>
          <w:lang w:val="en-ZA"/>
        </w:rPr>
        <w:t>[9]</w:t>
      </w:r>
      <w:r w:rsidRPr="004B3A13">
        <w:rPr>
          <w:rFonts w:ascii="Arial" w:eastAsia="Calibri" w:hAnsi="Arial" w:cs="Arial"/>
          <w:lang w:val="en-ZA"/>
        </w:rPr>
        <w:tab/>
      </w:r>
      <w:r w:rsidR="00AF1F67" w:rsidRPr="00E822E3">
        <w:rPr>
          <w:rFonts w:ascii="Arial" w:eastAsia="Calibri" w:hAnsi="Arial" w:cs="Arial"/>
          <w:color w:val="000000"/>
          <w:lang w:val="en-ZA"/>
        </w:rPr>
        <w:t xml:space="preserve">Further, </w:t>
      </w:r>
      <w:r w:rsidR="00AF1F67" w:rsidRPr="00E822E3">
        <w:rPr>
          <w:rFonts w:ascii="Arial" w:hAnsi="Arial" w:cs="Arial"/>
          <w:color w:val="000000" w:themeColor="text1"/>
          <w:lang w:val="en-US"/>
        </w:rPr>
        <w:t xml:space="preserve">as </w:t>
      </w:r>
      <w:r w:rsidR="00495FC1" w:rsidRPr="00E822E3">
        <w:rPr>
          <w:rFonts w:ascii="Arial" w:hAnsi="Arial" w:cs="Arial"/>
          <w:color w:val="000000" w:themeColor="text1"/>
          <w:lang w:val="en-US"/>
        </w:rPr>
        <w:t>was stated</w:t>
      </w:r>
      <w:r w:rsidR="008603D3" w:rsidRPr="00E822E3">
        <w:rPr>
          <w:rFonts w:ascii="Arial" w:hAnsi="Arial" w:cs="Arial"/>
          <w:color w:val="000000" w:themeColor="text1"/>
          <w:lang w:val="en-US"/>
        </w:rPr>
        <w:t>, amongst others,</w:t>
      </w:r>
      <w:r w:rsidR="00495FC1" w:rsidRPr="00E822E3">
        <w:rPr>
          <w:rFonts w:ascii="Arial" w:hAnsi="Arial" w:cs="Arial"/>
          <w:color w:val="000000" w:themeColor="text1"/>
          <w:lang w:val="en-US"/>
        </w:rPr>
        <w:t xml:space="preserve"> </w:t>
      </w:r>
      <w:r w:rsidR="00AF1F67" w:rsidRPr="00E822E3">
        <w:rPr>
          <w:rFonts w:ascii="Arial" w:hAnsi="Arial" w:cs="Arial"/>
          <w:color w:val="000000" w:themeColor="text1"/>
          <w:lang w:val="en-US"/>
        </w:rPr>
        <w:t xml:space="preserve">in </w:t>
      </w:r>
      <w:r w:rsidR="00AF1F67" w:rsidRPr="00E822E3">
        <w:rPr>
          <w:rFonts w:ascii="Arial" w:hAnsi="Arial" w:cs="Arial"/>
          <w:i/>
          <w:iCs/>
          <w:color w:val="000000" w:themeColor="text1"/>
          <w:lang w:val="en-US"/>
        </w:rPr>
        <w:t>De Klerk v Penderis</w:t>
      </w:r>
      <w:r w:rsidR="00BA29C0" w:rsidRPr="00E822E3">
        <w:rPr>
          <w:rFonts w:ascii="Arial" w:hAnsi="Arial" w:cs="Arial"/>
          <w:color w:val="000000" w:themeColor="text1"/>
          <w:lang w:val="en-US"/>
        </w:rPr>
        <w:t>,</w:t>
      </w:r>
      <w:r w:rsidR="00BA29C0" w:rsidRPr="004B3A13">
        <w:rPr>
          <w:rStyle w:val="FootnoteReference"/>
          <w:rFonts w:ascii="Arial" w:hAnsi="Arial" w:cs="Arial"/>
          <w:color w:val="000000" w:themeColor="text1"/>
          <w:lang w:val="en-US"/>
        </w:rPr>
        <w:footnoteReference w:id="4"/>
      </w:r>
      <w:r w:rsidR="00AF1F67" w:rsidRPr="00E822E3">
        <w:rPr>
          <w:rFonts w:ascii="Arial" w:hAnsi="Arial" w:cs="Arial"/>
          <w:color w:val="000000" w:themeColor="text1"/>
          <w:lang w:val="en-US"/>
        </w:rPr>
        <w:t xml:space="preserve"> there is a strong interplay between the obligation to provide a reasonable explanation for non-compliance with the </w:t>
      </w:r>
      <w:r w:rsidR="00495FC1" w:rsidRPr="00E822E3">
        <w:rPr>
          <w:rFonts w:ascii="Arial" w:hAnsi="Arial" w:cs="Arial"/>
          <w:color w:val="000000" w:themeColor="text1"/>
          <w:lang w:val="en-US"/>
        </w:rPr>
        <w:t xml:space="preserve">Rules of </w:t>
      </w:r>
      <w:r w:rsidR="00AF1F67" w:rsidRPr="00E822E3">
        <w:rPr>
          <w:rFonts w:ascii="Arial" w:hAnsi="Arial" w:cs="Arial"/>
          <w:color w:val="000000" w:themeColor="text1"/>
          <w:lang w:val="en-US"/>
        </w:rPr>
        <w:t>Court and the prospects of success on appeal.</w:t>
      </w:r>
      <w:r w:rsidR="00A2352F" w:rsidRPr="004B3A13">
        <w:rPr>
          <w:rStyle w:val="FootnoteReference"/>
          <w:rFonts w:ascii="Arial" w:hAnsi="Arial" w:cs="Arial"/>
          <w:color w:val="000000" w:themeColor="text1"/>
          <w:lang w:val="en-US"/>
        </w:rPr>
        <w:footnoteReference w:id="5"/>
      </w:r>
    </w:p>
    <w:p w14:paraId="2BE0CF4F" w14:textId="77777777" w:rsidR="00E22E32" w:rsidRDefault="00E22E32" w:rsidP="00966268">
      <w:pPr>
        <w:pStyle w:val="Heading2"/>
        <w:spacing w:line="480" w:lineRule="auto"/>
        <w:ind w:left="0"/>
        <w:rPr>
          <w:b w:val="0"/>
          <w:bCs w:val="0"/>
          <w:i/>
          <w:u w:val="none"/>
        </w:rPr>
      </w:pPr>
    </w:p>
    <w:p w14:paraId="6A7DE5C9" w14:textId="77777777" w:rsidR="00E22E32" w:rsidRDefault="00E22E32" w:rsidP="00966268">
      <w:pPr>
        <w:pStyle w:val="Heading2"/>
        <w:spacing w:line="480" w:lineRule="auto"/>
        <w:ind w:left="0"/>
        <w:rPr>
          <w:b w:val="0"/>
          <w:bCs w:val="0"/>
          <w:i/>
          <w:u w:val="none"/>
        </w:rPr>
      </w:pPr>
    </w:p>
    <w:p w14:paraId="7AE532EC" w14:textId="77777777" w:rsidR="00E22E32" w:rsidRDefault="00E22E32" w:rsidP="00966268">
      <w:pPr>
        <w:pStyle w:val="Heading2"/>
        <w:spacing w:line="480" w:lineRule="auto"/>
        <w:ind w:left="0"/>
        <w:rPr>
          <w:b w:val="0"/>
          <w:bCs w:val="0"/>
          <w:i/>
          <w:u w:val="none"/>
        </w:rPr>
      </w:pPr>
    </w:p>
    <w:p w14:paraId="7E3DA4BD" w14:textId="2EC4D557" w:rsidR="00AF1F67" w:rsidRPr="004B3A13" w:rsidRDefault="00AF1F67" w:rsidP="00966268">
      <w:pPr>
        <w:pStyle w:val="Heading2"/>
        <w:spacing w:line="480" w:lineRule="auto"/>
        <w:ind w:left="0"/>
        <w:rPr>
          <w:b w:val="0"/>
          <w:bCs w:val="0"/>
          <w:i/>
          <w:u w:val="none"/>
        </w:rPr>
      </w:pPr>
      <w:r w:rsidRPr="004B3A13">
        <w:rPr>
          <w:b w:val="0"/>
          <w:bCs w:val="0"/>
          <w:i/>
          <w:u w:val="none"/>
        </w:rPr>
        <w:lastRenderedPageBreak/>
        <w:t xml:space="preserve">Incomplete </w:t>
      </w:r>
      <w:r w:rsidR="008603D3" w:rsidRPr="004B3A13">
        <w:rPr>
          <w:b w:val="0"/>
          <w:bCs w:val="0"/>
          <w:i/>
          <w:u w:val="none"/>
        </w:rPr>
        <w:t xml:space="preserve">appeal </w:t>
      </w:r>
      <w:r w:rsidR="00495FC1" w:rsidRPr="004B3A13">
        <w:rPr>
          <w:b w:val="0"/>
          <w:bCs w:val="0"/>
          <w:i/>
          <w:u w:val="none"/>
        </w:rPr>
        <w:t>r</w:t>
      </w:r>
      <w:r w:rsidRPr="004B3A13">
        <w:rPr>
          <w:b w:val="0"/>
          <w:bCs w:val="0"/>
          <w:i/>
          <w:u w:val="none"/>
        </w:rPr>
        <w:t>ecord</w:t>
      </w:r>
      <w:r w:rsidR="00495FC1" w:rsidRPr="004B3A13">
        <w:rPr>
          <w:b w:val="0"/>
          <w:bCs w:val="0"/>
          <w:i/>
          <w:u w:val="none"/>
        </w:rPr>
        <w:t xml:space="preserve"> </w:t>
      </w:r>
    </w:p>
    <w:p w14:paraId="0B502FC7" w14:textId="7A0E4B86" w:rsidR="00A2352F" w:rsidRPr="00E822E3" w:rsidRDefault="00E822E3" w:rsidP="00E822E3">
      <w:pPr>
        <w:spacing w:line="480" w:lineRule="auto"/>
        <w:ind w:left="0"/>
        <w:jc w:val="both"/>
        <w:rPr>
          <w:rFonts w:ascii="Arial" w:hAnsi="Arial" w:cs="Arial"/>
          <w:lang w:val="en-US" w:eastAsia="en-GB"/>
        </w:rPr>
      </w:pPr>
      <w:r w:rsidRPr="004B3A13">
        <w:rPr>
          <w:rFonts w:ascii="Arial" w:hAnsi="Arial" w:cs="Arial"/>
          <w:lang w:val="en-US" w:eastAsia="en-GB"/>
        </w:rPr>
        <w:t>[10]</w:t>
      </w:r>
      <w:r w:rsidRPr="004B3A13">
        <w:rPr>
          <w:rFonts w:ascii="Arial" w:hAnsi="Arial" w:cs="Arial"/>
          <w:lang w:val="en-US" w:eastAsia="en-GB"/>
        </w:rPr>
        <w:tab/>
      </w:r>
      <w:r w:rsidR="00495FC1" w:rsidRPr="00E822E3">
        <w:rPr>
          <w:rFonts w:ascii="Arial" w:hAnsi="Arial" w:cs="Arial"/>
          <w:lang w:val="en-US" w:eastAsia="en-GB"/>
        </w:rPr>
        <w:t>A</w:t>
      </w:r>
      <w:r w:rsidR="00AF1F67" w:rsidRPr="00E822E3">
        <w:rPr>
          <w:rFonts w:ascii="Arial" w:hAnsi="Arial" w:cs="Arial"/>
          <w:lang w:val="en-US" w:eastAsia="en-GB"/>
        </w:rPr>
        <w:t>ddition</w:t>
      </w:r>
      <w:r w:rsidR="00495FC1" w:rsidRPr="00E822E3">
        <w:rPr>
          <w:rFonts w:ascii="Arial" w:hAnsi="Arial" w:cs="Arial"/>
          <w:lang w:val="en-US" w:eastAsia="en-GB"/>
        </w:rPr>
        <w:t>al</w:t>
      </w:r>
      <w:r w:rsidR="00AF1F67" w:rsidRPr="00E822E3">
        <w:rPr>
          <w:rFonts w:ascii="Arial" w:hAnsi="Arial" w:cs="Arial"/>
          <w:lang w:val="en-US" w:eastAsia="en-GB"/>
        </w:rPr>
        <w:t xml:space="preserve"> to the delay</w:t>
      </w:r>
      <w:r w:rsidR="00A2352F" w:rsidRPr="00E822E3">
        <w:rPr>
          <w:rFonts w:ascii="Arial" w:hAnsi="Arial" w:cs="Arial"/>
          <w:lang w:val="en-US" w:eastAsia="en-GB"/>
        </w:rPr>
        <w:t xml:space="preserve"> in filing the record</w:t>
      </w:r>
      <w:r w:rsidR="006E22EF" w:rsidRPr="00E822E3">
        <w:rPr>
          <w:rFonts w:ascii="Arial" w:hAnsi="Arial" w:cs="Arial"/>
          <w:lang w:val="en-US" w:eastAsia="en-GB"/>
        </w:rPr>
        <w:t xml:space="preserve"> and non-compliance with </w:t>
      </w:r>
      <w:r w:rsidR="00545FEF" w:rsidRPr="00E822E3">
        <w:rPr>
          <w:rFonts w:ascii="Arial" w:hAnsi="Arial" w:cs="Arial"/>
          <w:lang w:val="en-US" w:eastAsia="en-GB"/>
        </w:rPr>
        <w:t>r</w:t>
      </w:r>
      <w:r w:rsidR="006E22EF" w:rsidRPr="00E822E3">
        <w:rPr>
          <w:rFonts w:ascii="Arial" w:hAnsi="Arial" w:cs="Arial"/>
          <w:lang w:val="en-US" w:eastAsia="en-GB"/>
        </w:rPr>
        <w:t>ule 8(2)(b)</w:t>
      </w:r>
      <w:r w:rsidR="00AF1F67" w:rsidRPr="00E822E3">
        <w:rPr>
          <w:rFonts w:ascii="Arial" w:hAnsi="Arial" w:cs="Arial"/>
          <w:lang w:val="en-US" w:eastAsia="en-GB"/>
        </w:rPr>
        <w:t xml:space="preserve">, the appellant </w:t>
      </w:r>
      <w:r w:rsidR="006E22EF" w:rsidRPr="00E822E3">
        <w:rPr>
          <w:rFonts w:ascii="Arial" w:hAnsi="Arial" w:cs="Arial"/>
          <w:lang w:val="en-US" w:eastAsia="en-GB"/>
        </w:rPr>
        <w:t xml:space="preserve">also </w:t>
      </w:r>
      <w:r w:rsidR="00AF1F67" w:rsidRPr="00E822E3">
        <w:rPr>
          <w:rFonts w:ascii="Arial" w:hAnsi="Arial" w:cs="Arial"/>
          <w:lang w:val="en-US" w:eastAsia="en-GB"/>
        </w:rPr>
        <w:t xml:space="preserve">failed to comply with </w:t>
      </w:r>
      <w:r w:rsidR="00545FEF" w:rsidRPr="00E822E3">
        <w:rPr>
          <w:rFonts w:ascii="Arial" w:hAnsi="Arial" w:cs="Arial"/>
          <w:lang w:val="en-US" w:eastAsia="en-GB"/>
        </w:rPr>
        <w:t>r</w:t>
      </w:r>
      <w:r w:rsidR="00AF1F67" w:rsidRPr="00E822E3">
        <w:rPr>
          <w:rFonts w:ascii="Arial" w:hAnsi="Arial" w:cs="Arial"/>
          <w:lang w:val="en-US" w:eastAsia="en-GB"/>
        </w:rPr>
        <w:t xml:space="preserve">ule 11(4)(b) which requires that the  record must </w:t>
      </w:r>
      <w:r w:rsidR="00853C02" w:rsidRPr="00E822E3">
        <w:rPr>
          <w:rFonts w:ascii="Arial" w:hAnsi="Arial" w:cs="Arial"/>
          <w:lang w:val="en-US" w:eastAsia="en-GB"/>
        </w:rPr>
        <w:t>be correct</w:t>
      </w:r>
      <w:r w:rsidR="008603D3" w:rsidRPr="00E822E3">
        <w:rPr>
          <w:rFonts w:ascii="Arial" w:hAnsi="Arial" w:cs="Arial"/>
          <w:lang w:val="en-US" w:eastAsia="en-GB"/>
        </w:rPr>
        <w:t>,</w:t>
      </w:r>
      <w:r w:rsidR="00853C02" w:rsidRPr="00E822E3">
        <w:rPr>
          <w:rFonts w:ascii="Arial" w:hAnsi="Arial" w:cs="Arial"/>
          <w:lang w:val="en-US" w:eastAsia="en-GB"/>
        </w:rPr>
        <w:t xml:space="preserve"> complete</w:t>
      </w:r>
      <w:r w:rsidR="008603D3" w:rsidRPr="00E822E3">
        <w:rPr>
          <w:rFonts w:ascii="Arial" w:hAnsi="Arial" w:cs="Arial"/>
          <w:lang w:val="en-US" w:eastAsia="en-GB"/>
        </w:rPr>
        <w:t>, and</w:t>
      </w:r>
      <w:r w:rsidR="00853C02" w:rsidRPr="00E822E3">
        <w:rPr>
          <w:rFonts w:ascii="Arial" w:hAnsi="Arial" w:cs="Arial"/>
          <w:lang w:val="en-US" w:eastAsia="en-GB"/>
        </w:rPr>
        <w:t xml:space="preserve"> comprising all the relevant evidence, documents and exhibits in the case. </w:t>
      </w:r>
      <w:r w:rsidR="00716180" w:rsidRPr="00E822E3">
        <w:rPr>
          <w:rFonts w:ascii="Arial" w:hAnsi="Arial" w:cs="Arial"/>
          <w:lang w:val="en-US" w:eastAsia="en-GB"/>
        </w:rPr>
        <w:t xml:space="preserve">Lodging a defective record amounts to non-compliance with </w:t>
      </w:r>
      <w:r w:rsidR="00545FEF" w:rsidRPr="00E822E3">
        <w:rPr>
          <w:rFonts w:ascii="Arial" w:hAnsi="Arial" w:cs="Arial"/>
          <w:lang w:val="en-US" w:eastAsia="en-GB"/>
        </w:rPr>
        <w:t>r</w:t>
      </w:r>
      <w:r w:rsidR="00716180" w:rsidRPr="00E822E3">
        <w:rPr>
          <w:rFonts w:ascii="Arial" w:hAnsi="Arial" w:cs="Arial"/>
          <w:lang w:val="en-US" w:eastAsia="en-GB"/>
        </w:rPr>
        <w:t>ule 11(4)(b).</w:t>
      </w:r>
    </w:p>
    <w:p w14:paraId="772594C9" w14:textId="77777777" w:rsidR="00A2352F" w:rsidRPr="004B3A13" w:rsidRDefault="00A2352F" w:rsidP="00966268">
      <w:pPr>
        <w:pStyle w:val="ListParagraph"/>
        <w:spacing w:line="480" w:lineRule="auto"/>
        <w:ind w:left="0"/>
        <w:jc w:val="both"/>
        <w:rPr>
          <w:rFonts w:ascii="Arial" w:hAnsi="Arial" w:cs="Arial"/>
          <w:lang w:val="en-US" w:eastAsia="en-GB"/>
        </w:rPr>
      </w:pPr>
    </w:p>
    <w:p w14:paraId="701FF893" w14:textId="66311F33" w:rsidR="00A2352F" w:rsidRPr="00E822E3" w:rsidRDefault="00E822E3" w:rsidP="00E822E3">
      <w:pPr>
        <w:spacing w:line="480" w:lineRule="auto"/>
        <w:ind w:left="0"/>
        <w:jc w:val="both"/>
        <w:rPr>
          <w:rFonts w:ascii="Arial" w:hAnsi="Arial" w:cs="Arial"/>
          <w:lang w:val="en-US" w:eastAsia="en-GB"/>
        </w:rPr>
      </w:pPr>
      <w:r w:rsidRPr="004B3A13">
        <w:rPr>
          <w:rFonts w:ascii="Arial" w:hAnsi="Arial" w:cs="Arial"/>
          <w:lang w:val="en-US" w:eastAsia="en-GB"/>
        </w:rPr>
        <w:t>[11]</w:t>
      </w:r>
      <w:r w:rsidRPr="004B3A13">
        <w:rPr>
          <w:rFonts w:ascii="Arial" w:hAnsi="Arial" w:cs="Arial"/>
          <w:lang w:val="en-US" w:eastAsia="en-GB"/>
        </w:rPr>
        <w:tab/>
      </w:r>
      <w:r w:rsidR="00AF1F67" w:rsidRPr="00E822E3">
        <w:rPr>
          <w:rFonts w:ascii="Arial" w:hAnsi="Arial" w:cs="Arial"/>
          <w:lang w:val="en-US" w:eastAsia="en-GB"/>
        </w:rPr>
        <w:t xml:space="preserve">The record filed is woefully inadequate for its exclusion of significant exhibits and inclusion of irrelevant material. The appellant’s </w:t>
      </w:r>
      <w:r w:rsidR="00545FEF" w:rsidRPr="00E822E3">
        <w:rPr>
          <w:rFonts w:ascii="Arial" w:hAnsi="Arial" w:cs="Arial"/>
          <w:lang w:val="en-US" w:eastAsia="en-GB"/>
        </w:rPr>
        <w:t xml:space="preserve">legal practitioner elected </w:t>
      </w:r>
      <w:r w:rsidR="00AF1F67" w:rsidRPr="00E822E3">
        <w:rPr>
          <w:rFonts w:ascii="Arial" w:hAnsi="Arial" w:cs="Arial"/>
          <w:lang w:val="en-US" w:eastAsia="en-GB"/>
        </w:rPr>
        <w:t>to</w:t>
      </w:r>
      <w:r w:rsidR="00545FEF" w:rsidRPr="00E822E3">
        <w:rPr>
          <w:rFonts w:ascii="Arial" w:hAnsi="Arial" w:cs="Arial"/>
          <w:lang w:val="en-US" w:eastAsia="en-GB"/>
        </w:rPr>
        <w:t xml:space="preserve"> argue the matter</w:t>
      </w:r>
      <w:r w:rsidR="00AF1F67" w:rsidRPr="00E822E3">
        <w:rPr>
          <w:rFonts w:ascii="Arial" w:hAnsi="Arial" w:cs="Arial"/>
          <w:lang w:val="en-US" w:eastAsia="en-GB"/>
        </w:rPr>
        <w:t xml:space="preserve"> </w:t>
      </w:r>
      <w:r w:rsidR="00545FEF" w:rsidRPr="00E822E3">
        <w:rPr>
          <w:rFonts w:ascii="Arial" w:hAnsi="Arial" w:cs="Arial"/>
          <w:lang w:val="en-US" w:eastAsia="en-GB"/>
        </w:rPr>
        <w:t xml:space="preserve">on the </w:t>
      </w:r>
      <w:r w:rsidR="00AF1F67" w:rsidRPr="00E822E3">
        <w:rPr>
          <w:rFonts w:ascii="Arial" w:hAnsi="Arial" w:cs="Arial"/>
          <w:lang w:val="en-US" w:eastAsia="en-GB"/>
        </w:rPr>
        <w:t xml:space="preserve">basis </w:t>
      </w:r>
      <w:r w:rsidR="00545FEF" w:rsidRPr="00E822E3">
        <w:rPr>
          <w:rFonts w:ascii="Arial" w:hAnsi="Arial" w:cs="Arial"/>
          <w:lang w:val="en-US" w:eastAsia="en-GB"/>
        </w:rPr>
        <w:t xml:space="preserve">of </w:t>
      </w:r>
      <w:r w:rsidR="00AF1F67" w:rsidRPr="00E822E3">
        <w:rPr>
          <w:rFonts w:ascii="Arial" w:hAnsi="Arial" w:cs="Arial"/>
          <w:lang w:val="en-US" w:eastAsia="en-GB"/>
        </w:rPr>
        <w:t xml:space="preserve">the record </w:t>
      </w:r>
      <w:r w:rsidR="00A2352F" w:rsidRPr="00E822E3">
        <w:rPr>
          <w:rFonts w:ascii="Arial" w:hAnsi="Arial" w:cs="Arial"/>
          <w:lang w:val="en-US" w:eastAsia="en-GB"/>
        </w:rPr>
        <w:t>‘</w:t>
      </w:r>
      <w:r w:rsidR="00AF1F67" w:rsidRPr="00E822E3">
        <w:rPr>
          <w:rFonts w:ascii="Arial" w:hAnsi="Arial" w:cs="Arial"/>
          <w:lang w:val="en-US" w:eastAsia="en-GB"/>
        </w:rPr>
        <w:t xml:space="preserve">as it exists and is filed before the </w:t>
      </w:r>
      <w:r w:rsidR="00545FEF" w:rsidRPr="00E822E3">
        <w:rPr>
          <w:rFonts w:ascii="Arial" w:hAnsi="Arial" w:cs="Arial"/>
          <w:lang w:val="en-US" w:eastAsia="en-GB"/>
        </w:rPr>
        <w:t>c</w:t>
      </w:r>
      <w:r w:rsidR="00AF1F67" w:rsidRPr="00E822E3">
        <w:rPr>
          <w:rFonts w:ascii="Arial" w:hAnsi="Arial" w:cs="Arial"/>
          <w:lang w:val="en-US" w:eastAsia="en-GB"/>
        </w:rPr>
        <w:t>ourt</w:t>
      </w:r>
      <w:r w:rsidR="00A2352F" w:rsidRPr="00E822E3">
        <w:rPr>
          <w:rFonts w:ascii="Arial" w:hAnsi="Arial" w:cs="Arial"/>
          <w:lang w:val="en-US" w:eastAsia="en-GB"/>
        </w:rPr>
        <w:t>’</w:t>
      </w:r>
      <w:r w:rsidR="00631D36" w:rsidRPr="00E822E3">
        <w:rPr>
          <w:rFonts w:ascii="Arial" w:hAnsi="Arial" w:cs="Arial"/>
          <w:lang w:val="en-US" w:eastAsia="en-GB"/>
        </w:rPr>
        <w:t xml:space="preserve"> </w:t>
      </w:r>
      <w:r w:rsidR="007F39EB" w:rsidRPr="00E822E3">
        <w:rPr>
          <w:rFonts w:ascii="Arial" w:hAnsi="Arial" w:cs="Arial"/>
          <w:lang w:val="en-US" w:eastAsia="en-GB"/>
        </w:rPr>
        <w:t xml:space="preserve">in the absence of </w:t>
      </w:r>
      <w:r w:rsidR="00AF1F67" w:rsidRPr="00E822E3">
        <w:rPr>
          <w:rFonts w:ascii="Arial" w:hAnsi="Arial" w:cs="Arial"/>
          <w:lang w:val="en-US" w:eastAsia="en-GB"/>
        </w:rPr>
        <w:t xml:space="preserve">any explanation for the failure to file a </w:t>
      </w:r>
      <w:r w:rsidR="00A2352F" w:rsidRPr="00E822E3">
        <w:rPr>
          <w:rFonts w:ascii="Arial" w:hAnsi="Arial" w:cs="Arial"/>
          <w:lang w:val="en-US" w:eastAsia="en-GB"/>
        </w:rPr>
        <w:t xml:space="preserve">complete </w:t>
      </w:r>
      <w:r w:rsidR="00AF1F67" w:rsidRPr="00E822E3">
        <w:rPr>
          <w:rFonts w:ascii="Arial" w:hAnsi="Arial" w:cs="Arial"/>
          <w:lang w:val="en-US" w:eastAsia="en-GB"/>
        </w:rPr>
        <w:t xml:space="preserve">record. </w:t>
      </w:r>
    </w:p>
    <w:p w14:paraId="64068B03" w14:textId="77777777" w:rsidR="00966268" w:rsidRPr="004B3A13" w:rsidRDefault="00966268" w:rsidP="00966268">
      <w:pPr>
        <w:spacing w:line="480" w:lineRule="auto"/>
        <w:ind w:left="0"/>
        <w:rPr>
          <w:rFonts w:ascii="Arial" w:hAnsi="Arial" w:cs="Arial"/>
          <w:lang w:val="en-US" w:eastAsia="en-GB"/>
        </w:rPr>
      </w:pPr>
    </w:p>
    <w:p w14:paraId="518B4ABC" w14:textId="016E4AB6" w:rsidR="00A2352F" w:rsidRPr="00E822E3" w:rsidRDefault="00E822E3" w:rsidP="00E822E3">
      <w:pPr>
        <w:spacing w:line="480" w:lineRule="auto"/>
        <w:ind w:left="0"/>
        <w:jc w:val="both"/>
        <w:rPr>
          <w:rFonts w:ascii="Arial" w:hAnsi="Arial" w:cs="Arial"/>
          <w:lang w:val="en-US" w:eastAsia="en-GB"/>
        </w:rPr>
      </w:pPr>
      <w:r w:rsidRPr="004B3A13">
        <w:rPr>
          <w:rFonts w:ascii="Arial" w:hAnsi="Arial" w:cs="Arial"/>
          <w:lang w:val="en-US" w:eastAsia="en-GB"/>
        </w:rPr>
        <w:t>[12]</w:t>
      </w:r>
      <w:r w:rsidRPr="004B3A13">
        <w:rPr>
          <w:rFonts w:ascii="Arial" w:hAnsi="Arial" w:cs="Arial"/>
          <w:lang w:val="en-US" w:eastAsia="en-GB"/>
        </w:rPr>
        <w:tab/>
      </w:r>
      <w:r w:rsidR="00AF1F67" w:rsidRPr="00E822E3">
        <w:rPr>
          <w:rFonts w:ascii="Arial" w:hAnsi="Arial" w:cs="Arial"/>
          <w:lang w:val="en-US" w:eastAsia="en-GB"/>
        </w:rPr>
        <w:t>The record does not contain the</w:t>
      </w:r>
      <w:r w:rsidR="00860559" w:rsidRPr="00E822E3">
        <w:rPr>
          <w:rFonts w:ascii="Arial" w:hAnsi="Arial" w:cs="Arial"/>
          <w:lang w:val="en-US" w:eastAsia="en-GB"/>
        </w:rPr>
        <w:t xml:space="preserve"> bundle of</w:t>
      </w:r>
      <w:r w:rsidR="00AF1F67" w:rsidRPr="00E822E3">
        <w:rPr>
          <w:rFonts w:ascii="Arial" w:hAnsi="Arial" w:cs="Arial"/>
          <w:lang w:val="en-US" w:eastAsia="en-GB"/>
        </w:rPr>
        <w:t xml:space="preserve"> </w:t>
      </w:r>
      <w:r w:rsidR="00545FEF" w:rsidRPr="00E822E3">
        <w:rPr>
          <w:rFonts w:ascii="Arial" w:hAnsi="Arial" w:cs="Arial"/>
          <w:lang w:val="en-US" w:eastAsia="en-GB"/>
        </w:rPr>
        <w:t>d</w:t>
      </w:r>
      <w:r w:rsidR="00860559" w:rsidRPr="00E822E3">
        <w:rPr>
          <w:rFonts w:ascii="Arial" w:hAnsi="Arial" w:cs="Arial"/>
          <w:lang w:val="en-US" w:eastAsia="en-GB"/>
        </w:rPr>
        <w:t>iscovered documents, handed in as exhibit A in the trial</w:t>
      </w:r>
      <w:r w:rsidR="00AF1F67" w:rsidRPr="00E822E3">
        <w:rPr>
          <w:rFonts w:ascii="Arial" w:hAnsi="Arial" w:cs="Arial"/>
          <w:lang w:val="en-US" w:eastAsia="en-GB"/>
        </w:rPr>
        <w:t xml:space="preserve"> comprising the original statements of the </w:t>
      </w:r>
      <w:r w:rsidR="00631D36" w:rsidRPr="00E822E3">
        <w:rPr>
          <w:rFonts w:ascii="Arial" w:hAnsi="Arial" w:cs="Arial"/>
          <w:lang w:val="en-US" w:eastAsia="en-GB"/>
        </w:rPr>
        <w:t xml:space="preserve">witness </w:t>
      </w:r>
      <w:r w:rsidR="00AF1F67" w:rsidRPr="00E822E3">
        <w:rPr>
          <w:rFonts w:ascii="Arial" w:hAnsi="Arial" w:cs="Arial"/>
          <w:lang w:val="en-US" w:eastAsia="en-GB"/>
        </w:rPr>
        <w:t xml:space="preserve">police officers, including </w:t>
      </w:r>
      <w:r w:rsidR="00BA29C0" w:rsidRPr="00E822E3">
        <w:rPr>
          <w:rFonts w:ascii="Arial" w:hAnsi="Arial" w:cs="Arial"/>
          <w:lang w:val="en-US" w:eastAsia="en-GB"/>
        </w:rPr>
        <w:t xml:space="preserve">Inspector </w:t>
      </w:r>
      <w:r w:rsidR="00AF1F67" w:rsidRPr="00E822E3">
        <w:rPr>
          <w:rFonts w:ascii="Arial" w:hAnsi="Arial" w:cs="Arial"/>
          <w:lang w:val="en-US" w:eastAsia="en-GB"/>
        </w:rPr>
        <w:t>Anton</w:t>
      </w:r>
      <w:r w:rsidR="00BA29C0" w:rsidRPr="00E822E3">
        <w:rPr>
          <w:rFonts w:ascii="Arial" w:hAnsi="Arial" w:cs="Arial"/>
          <w:lang w:val="en-US" w:eastAsia="en-GB"/>
        </w:rPr>
        <w:t xml:space="preserve"> and</w:t>
      </w:r>
      <w:r w:rsidR="00853C02" w:rsidRPr="00E822E3">
        <w:rPr>
          <w:rFonts w:ascii="Arial" w:hAnsi="Arial" w:cs="Arial"/>
          <w:lang w:val="en-US" w:eastAsia="en-GB"/>
        </w:rPr>
        <w:t xml:space="preserve"> </w:t>
      </w:r>
      <w:r w:rsidR="00BA29C0" w:rsidRPr="00E822E3">
        <w:rPr>
          <w:rFonts w:ascii="Arial" w:hAnsi="Arial" w:cs="Arial"/>
          <w:lang w:val="en-US" w:eastAsia="en-GB"/>
        </w:rPr>
        <w:t>W/O Machado,</w:t>
      </w:r>
      <w:r w:rsidR="00AF1F67" w:rsidRPr="00E822E3">
        <w:rPr>
          <w:rFonts w:ascii="Arial" w:hAnsi="Arial" w:cs="Arial"/>
          <w:lang w:val="en-US" w:eastAsia="en-GB"/>
        </w:rPr>
        <w:t xml:space="preserve"> and the Occurrence Book entry recording the time of arrest. The exhibits absent from the record are essential for fully evaluating the merits of the appeal. The omitted statements of the police officers are important for assessing </w:t>
      </w:r>
      <w:r w:rsidR="00545FEF" w:rsidRPr="00E822E3">
        <w:rPr>
          <w:rFonts w:ascii="Arial" w:hAnsi="Arial" w:cs="Arial"/>
          <w:lang w:val="en-US" w:eastAsia="en-GB"/>
        </w:rPr>
        <w:t xml:space="preserve">the court </w:t>
      </w:r>
      <w:r w:rsidR="00545FEF" w:rsidRPr="00E822E3">
        <w:rPr>
          <w:rFonts w:ascii="Arial" w:hAnsi="Arial" w:cs="Arial"/>
          <w:lang w:val="en-US"/>
        </w:rPr>
        <w:t>a quo</w:t>
      </w:r>
      <w:r w:rsidR="00545FEF" w:rsidRPr="00E822E3">
        <w:rPr>
          <w:rFonts w:ascii="Arial" w:hAnsi="Arial" w:cs="Arial"/>
          <w:lang w:val="en-US" w:eastAsia="en-GB"/>
        </w:rPr>
        <w:t xml:space="preserve">’s findings of </w:t>
      </w:r>
      <w:r w:rsidR="00AF1F67" w:rsidRPr="00E822E3">
        <w:rPr>
          <w:rFonts w:ascii="Arial" w:hAnsi="Arial" w:cs="Arial"/>
          <w:lang w:val="en-US" w:eastAsia="en-GB"/>
        </w:rPr>
        <w:t xml:space="preserve">credibility as well as the lawfulness </w:t>
      </w:r>
      <w:r w:rsidR="00545FEF" w:rsidRPr="00E822E3">
        <w:rPr>
          <w:rFonts w:ascii="Arial" w:hAnsi="Arial" w:cs="Arial"/>
          <w:lang w:val="en-US" w:eastAsia="en-GB"/>
        </w:rPr>
        <w:t xml:space="preserve">or otherwise </w:t>
      </w:r>
      <w:r w:rsidR="00AF1F67" w:rsidRPr="00E822E3">
        <w:rPr>
          <w:rFonts w:ascii="Arial" w:hAnsi="Arial" w:cs="Arial"/>
          <w:lang w:val="en-US" w:eastAsia="en-GB"/>
        </w:rPr>
        <w:t xml:space="preserve">of the arrest. The time of the arrest is crucial for assessing the duration of arrest, and consequently, the quantum of damages to be awarded. </w:t>
      </w:r>
    </w:p>
    <w:p w14:paraId="67BEE5A9" w14:textId="77777777" w:rsidR="00A2352F" w:rsidRPr="004B3A13" w:rsidRDefault="00A2352F" w:rsidP="00966268">
      <w:pPr>
        <w:pStyle w:val="ListParagraph"/>
        <w:spacing w:line="480" w:lineRule="auto"/>
        <w:rPr>
          <w:rFonts w:ascii="Arial" w:hAnsi="Arial" w:cs="Arial"/>
          <w:lang w:val="en-US" w:eastAsia="en-GB"/>
        </w:rPr>
      </w:pPr>
    </w:p>
    <w:p w14:paraId="40F7BFC1" w14:textId="5685CF78" w:rsidR="005239B9" w:rsidRPr="00E822E3" w:rsidRDefault="00E822E3" w:rsidP="00E822E3">
      <w:pPr>
        <w:spacing w:line="480" w:lineRule="auto"/>
        <w:ind w:left="0"/>
        <w:jc w:val="both"/>
        <w:rPr>
          <w:rFonts w:ascii="Arial" w:hAnsi="Arial" w:cs="Arial"/>
          <w:color w:val="000000"/>
        </w:rPr>
      </w:pPr>
      <w:r w:rsidRPr="004B3A13">
        <w:rPr>
          <w:rFonts w:ascii="Arial" w:hAnsi="Arial" w:cs="Arial"/>
          <w:color w:val="000000"/>
        </w:rPr>
        <w:lastRenderedPageBreak/>
        <w:t>[13]</w:t>
      </w:r>
      <w:r w:rsidRPr="004B3A13">
        <w:rPr>
          <w:rFonts w:ascii="Arial" w:hAnsi="Arial" w:cs="Arial"/>
          <w:color w:val="000000"/>
        </w:rPr>
        <w:tab/>
      </w:r>
      <w:r w:rsidR="00AF1F67" w:rsidRPr="00E822E3">
        <w:rPr>
          <w:rFonts w:ascii="Arial" w:hAnsi="Arial" w:cs="Arial"/>
          <w:lang w:val="en-US" w:eastAsia="en-GB"/>
        </w:rPr>
        <w:t xml:space="preserve">The </w:t>
      </w:r>
      <w:r w:rsidR="00A2352F" w:rsidRPr="00E822E3">
        <w:rPr>
          <w:rFonts w:ascii="Arial" w:hAnsi="Arial" w:cs="Arial"/>
          <w:lang w:val="en-US" w:eastAsia="en-GB"/>
        </w:rPr>
        <w:t xml:space="preserve">incompleteness </w:t>
      </w:r>
      <w:r w:rsidR="00AF1F67" w:rsidRPr="00E822E3">
        <w:rPr>
          <w:rFonts w:ascii="Arial" w:hAnsi="Arial" w:cs="Arial"/>
          <w:lang w:val="en-US" w:eastAsia="en-GB"/>
        </w:rPr>
        <w:t>of the record without any satisfactory explanation is detrimental to th</w:t>
      </w:r>
      <w:r w:rsidR="00470D06" w:rsidRPr="00E822E3">
        <w:rPr>
          <w:rFonts w:ascii="Arial" w:hAnsi="Arial" w:cs="Arial"/>
          <w:lang w:val="en-US" w:eastAsia="en-GB"/>
        </w:rPr>
        <w:t>e</w:t>
      </w:r>
      <w:r w:rsidR="00AF1F67" w:rsidRPr="00E822E3">
        <w:rPr>
          <w:rFonts w:ascii="Arial" w:hAnsi="Arial" w:cs="Arial"/>
          <w:lang w:val="en-US" w:eastAsia="en-GB"/>
        </w:rPr>
        <w:t xml:space="preserve"> application for </w:t>
      </w:r>
      <w:r w:rsidR="00470D06" w:rsidRPr="00E822E3">
        <w:rPr>
          <w:rFonts w:ascii="Arial" w:hAnsi="Arial" w:cs="Arial"/>
          <w:lang w:val="en-US" w:eastAsia="en-GB"/>
        </w:rPr>
        <w:t xml:space="preserve">the </w:t>
      </w:r>
      <w:r w:rsidR="00AF1F67" w:rsidRPr="00E822E3">
        <w:rPr>
          <w:rFonts w:ascii="Arial" w:hAnsi="Arial" w:cs="Arial"/>
          <w:lang w:val="en-US" w:eastAsia="en-GB"/>
        </w:rPr>
        <w:t xml:space="preserve">reinstatement of the appeal. </w:t>
      </w:r>
      <w:r w:rsidR="00AF1F67" w:rsidRPr="00E822E3">
        <w:rPr>
          <w:rFonts w:ascii="Arial" w:hAnsi="Arial" w:cs="Arial"/>
          <w:lang w:eastAsia="en-GB"/>
        </w:rPr>
        <w:t xml:space="preserve">This Court in </w:t>
      </w:r>
      <w:r w:rsidR="00AF1F67" w:rsidRPr="00E822E3">
        <w:rPr>
          <w:rFonts w:ascii="Arial" w:hAnsi="Arial" w:cs="Arial"/>
          <w:i/>
          <w:iCs/>
          <w:color w:val="000000"/>
        </w:rPr>
        <w:t>Teek</w:t>
      </w:r>
      <w:r w:rsidR="00D47FA7" w:rsidRPr="004B3A13">
        <w:rPr>
          <w:rStyle w:val="FootnoteReference"/>
          <w:rFonts w:ascii="Arial" w:hAnsi="Arial" w:cs="Arial"/>
          <w:color w:val="000000"/>
        </w:rPr>
        <w:footnoteReference w:id="6"/>
      </w:r>
      <w:r w:rsidR="00D47FA7" w:rsidRPr="00E822E3">
        <w:rPr>
          <w:rFonts w:ascii="Arial" w:hAnsi="Arial" w:cs="Arial"/>
          <w:color w:val="000000"/>
        </w:rPr>
        <w:t xml:space="preserve"> </w:t>
      </w:r>
      <w:r w:rsidR="009840A9" w:rsidRPr="00E822E3">
        <w:rPr>
          <w:rFonts w:ascii="Arial" w:hAnsi="Arial" w:cs="Arial"/>
          <w:color w:val="000000"/>
        </w:rPr>
        <w:t xml:space="preserve">admonished </w:t>
      </w:r>
      <w:r w:rsidR="00AF1F67" w:rsidRPr="00E822E3">
        <w:rPr>
          <w:rFonts w:ascii="Arial" w:hAnsi="Arial" w:cs="Arial"/>
          <w:color w:val="000000"/>
        </w:rPr>
        <w:t xml:space="preserve">the appellants </w:t>
      </w:r>
      <w:r w:rsidR="00853C02" w:rsidRPr="00E822E3">
        <w:rPr>
          <w:rFonts w:ascii="Arial" w:hAnsi="Arial" w:cs="Arial"/>
          <w:color w:val="000000"/>
        </w:rPr>
        <w:t xml:space="preserve">for </w:t>
      </w:r>
      <w:r w:rsidR="009840A9" w:rsidRPr="00E822E3">
        <w:rPr>
          <w:rFonts w:ascii="Arial" w:hAnsi="Arial" w:cs="Arial"/>
          <w:color w:val="000000"/>
        </w:rPr>
        <w:t>their</w:t>
      </w:r>
      <w:r w:rsidR="00AF1F67" w:rsidRPr="00E822E3">
        <w:rPr>
          <w:rFonts w:ascii="Arial" w:hAnsi="Arial" w:cs="Arial"/>
          <w:color w:val="000000"/>
        </w:rPr>
        <w:t xml:space="preserve"> </w:t>
      </w:r>
      <w:r w:rsidR="009840A9" w:rsidRPr="00E822E3">
        <w:rPr>
          <w:rFonts w:ascii="Arial" w:hAnsi="Arial" w:cs="Arial"/>
          <w:color w:val="000000"/>
        </w:rPr>
        <w:t xml:space="preserve">failure to comply with the Rules of Court </w:t>
      </w:r>
      <w:r w:rsidR="009B569A" w:rsidRPr="00E822E3">
        <w:rPr>
          <w:rFonts w:ascii="Arial" w:hAnsi="Arial" w:cs="Arial"/>
          <w:color w:val="000000"/>
        </w:rPr>
        <w:t xml:space="preserve">despite having </w:t>
      </w:r>
      <w:r w:rsidR="009840A9" w:rsidRPr="00E822E3">
        <w:rPr>
          <w:rFonts w:ascii="Arial" w:hAnsi="Arial" w:cs="Arial"/>
          <w:color w:val="000000"/>
        </w:rPr>
        <w:t xml:space="preserve">been alerted </w:t>
      </w:r>
      <w:r w:rsidR="00631D36" w:rsidRPr="00E822E3">
        <w:rPr>
          <w:rFonts w:ascii="Arial" w:hAnsi="Arial" w:cs="Arial"/>
          <w:color w:val="000000"/>
        </w:rPr>
        <w:t xml:space="preserve">about </w:t>
      </w:r>
      <w:r w:rsidR="009840A9" w:rsidRPr="00E822E3">
        <w:rPr>
          <w:rFonts w:ascii="Arial" w:hAnsi="Arial" w:cs="Arial"/>
          <w:color w:val="000000"/>
        </w:rPr>
        <w:t xml:space="preserve">it </w:t>
      </w:r>
      <w:r w:rsidR="00631D36" w:rsidRPr="00E822E3">
        <w:rPr>
          <w:rFonts w:ascii="Arial" w:hAnsi="Arial" w:cs="Arial"/>
          <w:color w:val="000000"/>
        </w:rPr>
        <w:t xml:space="preserve">in </w:t>
      </w:r>
      <w:r w:rsidR="009840A9" w:rsidRPr="00E822E3">
        <w:rPr>
          <w:rFonts w:ascii="Arial" w:hAnsi="Arial" w:cs="Arial"/>
          <w:color w:val="000000"/>
        </w:rPr>
        <w:t>the respondents’ heads of argument two w</w:t>
      </w:r>
      <w:r w:rsidR="00E22E32" w:rsidRPr="00E822E3">
        <w:rPr>
          <w:rFonts w:ascii="Arial" w:hAnsi="Arial" w:cs="Arial"/>
          <w:color w:val="000000"/>
        </w:rPr>
        <w:t>eeks prior to the hearing. The c</w:t>
      </w:r>
      <w:r w:rsidR="009840A9" w:rsidRPr="00E822E3">
        <w:rPr>
          <w:rFonts w:ascii="Arial" w:hAnsi="Arial" w:cs="Arial"/>
          <w:color w:val="000000"/>
        </w:rPr>
        <w:t>ourt criticised the appellants</w:t>
      </w:r>
      <w:r w:rsidR="009B569A" w:rsidRPr="00E822E3">
        <w:rPr>
          <w:rFonts w:ascii="Arial" w:hAnsi="Arial" w:cs="Arial"/>
          <w:color w:val="000000"/>
        </w:rPr>
        <w:t>’</w:t>
      </w:r>
      <w:r w:rsidR="009840A9" w:rsidRPr="00E822E3">
        <w:rPr>
          <w:rFonts w:ascii="Arial" w:hAnsi="Arial" w:cs="Arial"/>
          <w:color w:val="000000"/>
        </w:rPr>
        <w:t xml:space="preserve"> absence of effort in addressing their non-compliance even on the date of </w:t>
      </w:r>
      <w:r w:rsidR="00470D06" w:rsidRPr="00E822E3">
        <w:rPr>
          <w:rFonts w:ascii="Arial" w:hAnsi="Arial" w:cs="Arial"/>
          <w:color w:val="000000"/>
        </w:rPr>
        <w:t xml:space="preserve">the </w:t>
      </w:r>
      <w:r w:rsidR="009840A9" w:rsidRPr="00E822E3">
        <w:rPr>
          <w:rFonts w:ascii="Arial" w:hAnsi="Arial" w:cs="Arial"/>
          <w:color w:val="000000"/>
        </w:rPr>
        <w:t xml:space="preserve">hearing </w:t>
      </w:r>
      <w:r w:rsidR="00470D06" w:rsidRPr="00E822E3">
        <w:rPr>
          <w:rFonts w:ascii="Arial" w:hAnsi="Arial" w:cs="Arial"/>
          <w:color w:val="000000"/>
        </w:rPr>
        <w:t xml:space="preserve">of </w:t>
      </w:r>
      <w:r w:rsidR="009840A9" w:rsidRPr="00E822E3">
        <w:rPr>
          <w:rFonts w:ascii="Arial" w:hAnsi="Arial" w:cs="Arial"/>
          <w:color w:val="000000"/>
        </w:rPr>
        <w:t>the matter.</w:t>
      </w:r>
      <w:r w:rsidR="009B569A" w:rsidRPr="004B3A13">
        <w:rPr>
          <w:rStyle w:val="FootnoteReference"/>
          <w:rFonts w:ascii="Arial" w:hAnsi="Arial" w:cs="Arial"/>
          <w:color w:val="000000"/>
        </w:rPr>
        <w:footnoteReference w:id="7"/>
      </w:r>
      <w:r w:rsidR="009840A9" w:rsidRPr="00E822E3">
        <w:rPr>
          <w:rFonts w:ascii="Arial" w:hAnsi="Arial" w:cs="Arial"/>
          <w:color w:val="000000"/>
        </w:rPr>
        <w:t xml:space="preserve"> </w:t>
      </w:r>
      <w:r w:rsidR="00AF1F67" w:rsidRPr="00E822E3">
        <w:rPr>
          <w:rFonts w:ascii="Arial" w:hAnsi="Arial" w:cs="Arial"/>
          <w:color w:val="000000"/>
        </w:rPr>
        <w:t xml:space="preserve">Similarly, in the present case, the respondent’s heads of argument pointed out that the appellant had filed an incomplete record, which conveniently excluded </w:t>
      </w:r>
      <w:r w:rsidR="00470D06" w:rsidRPr="00E822E3">
        <w:rPr>
          <w:rFonts w:ascii="Arial" w:hAnsi="Arial" w:cs="Arial"/>
          <w:color w:val="000000"/>
        </w:rPr>
        <w:t xml:space="preserve">the </w:t>
      </w:r>
      <w:r w:rsidR="00AF1F67" w:rsidRPr="00E822E3">
        <w:rPr>
          <w:rFonts w:ascii="Arial" w:hAnsi="Arial" w:cs="Arial"/>
          <w:color w:val="000000"/>
        </w:rPr>
        <w:t xml:space="preserve">relevant exhibits relied on by the court </w:t>
      </w:r>
      <w:r w:rsidR="00AF1F67" w:rsidRPr="00E822E3">
        <w:rPr>
          <w:rFonts w:ascii="Arial" w:hAnsi="Arial" w:cs="Arial"/>
          <w:iCs/>
          <w:color w:val="000000"/>
        </w:rPr>
        <w:t>a quo</w:t>
      </w:r>
      <w:r w:rsidR="00AF1F67" w:rsidRPr="00E822E3">
        <w:rPr>
          <w:rFonts w:ascii="Arial" w:hAnsi="Arial" w:cs="Arial"/>
          <w:color w:val="000000"/>
        </w:rPr>
        <w:t xml:space="preserve">, and constituted non-compliance with </w:t>
      </w:r>
      <w:r w:rsidR="00470D06" w:rsidRPr="00E822E3">
        <w:rPr>
          <w:rFonts w:ascii="Arial" w:hAnsi="Arial" w:cs="Arial"/>
          <w:color w:val="000000"/>
        </w:rPr>
        <w:t>r</w:t>
      </w:r>
      <w:r w:rsidR="00AF1F67" w:rsidRPr="00E822E3">
        <w:rPr>
          <w:rFonts w:ascii="Arial" w:hAnsi="Arial" w:cs="Arial"/>
          <w:color w:val="000000"/>
        </w:rPr>
        <w:t xml:space="preserve">ule 11(4)(b). However, despite this being pointed out to the appellant more than a week prior to the hearing, no attempt </w:t>
      </w:r>
      <w:r w:rsidR="007F39EB" w:rsidRPr="00E822E3">
        <w:rPr>
          <w:rFonts w:ascii="Arial" w:hAnsi="Arial" w:cs="Arial"/>
          <w:color w:val="000000"/>
        </w:rPr>
        <w:t xml:space="preserve">whatsoever </w:t>
      </w:r>
      <w:r w:rsidR="00470D06" w:rsidRPr="00E822E3">
        <w:rPr>
          <w:rFonts w:ascii="Arial" w:hAnsi="Arial" w:cs="Arial"/>
          <w:color w:val="000000"/>
        </w:rPr>
        <w:t xml:space="preserve">was </w:t>
      </w:r>
      <w:r w:rsidR="00D47FA7" w:rsidRPr="00E822E3">
        <w:rPr>
          <w:rFonts w:ascii="Arial" w:hAnsi="Arial" w:cs="Arial"/>
          <w:color w:val="000000"/>
        </w:rPr>
        <w:t xml:space="preserve">made </w:t>
      </w:r>
      <w:r w:rsidR="00AF1F67" w:rsidRPr="00E822E3">
        <w:rPr>
          <w:rFonts w:ascii="Arial" w:hAnsi="Arial" w:cs="Arial"/>
          <w:color w:val="000000"/>
        </w:rPr>
        <w:t>to remedy th</w:t>
      </w:r>
      <w:r w:rsidR="00470D06" w:rsidRPr="00E822E3">
        <w:rPr>
          <w:rFonts w:ascii="Arial" w:hAnsi="Arial" w:cs="Arial"/>
          <w:color w:val="000000"/>
        </w:rPr>
        <w:t>e</w:t>
      </w:r>
      <w:r w:rsidR="00AF1F67" w:rsidRPr="00E822E3">
        <w:rPr>
          <w:rFonts w:ascii="Arial" w:hAnsi="Arial" w:cs="Arial"/>
          <w:color w:val="000000"/>
        </w:rPr>
        <w:t xml:space="preserve"> failure.</w:t>
      </w:r>
    </w:p>
    <w:p w14:paraId="35879081" w14:textId="77777777" w:rsidR="009B569A" w:rsidRPr="004B3A13" w:rsidRDefault="009B569A" w:rsidP="00966268">
      <w:pPr>
        <w:spacing w:line="480" w:lineRule="auto"/>
        <w:rPr>
          <w:rFonts w:ascii="Arial" w:hAnsi="Arial" w:cs="Arial"/>
        </w:rPr>
      </w:pPr>
    </w:p>
    <w:p w14:paraId="770CF762" w14:textId="7751E80B" w:rsidR="00C553F7" w:rsidRPr="00E822E3" w:rsidRDefault="00E822E3" w:rsidP="00E822E3">
      <w:pPr>
        <w:widowControl w:val="0"/>
        <w:autoSpaceDE w:val="0"/>
        <w:autoSpaceDN w:val="0"/>
        <w:adjustRightInd w:val="0"/>
        <w:spacing w:line="480" w:lineRule="auto"/>
        <w:ind w:left="0"/>
        <w:jc w:val="both"/>
        <w:rPr>
          <w:rFonts w:ascii="Arial" w:eastAsia="Arial" w:hAnsi="Arial" w:cs="Arial"/>
          <w:lang w:val="en-US"/>
        </w:rPr>
      </w:pPr>
      <w:r w:rsidRPr="004B3A13">
        <w:rPr>
          <w:rFonts w:ascii="Arial" w:eastAsia="Arial" w:hAnsi="Arial" w:cs="Arial"/>
          <w:lang w:val="en-US"/>
        </w:rPr>
        <w:t>[14]</w:t>
      </w:r>
      <w:r w:rsidRPr="004B3A13">
        <w:rPr>
          <w:rFonts w:ascii="Arial" w:eastAsia="Arial" w:hAnsi="Arial" w:cs="Arial"/>
          <w:lang w:val="en-US"/>
        </w:rPr>
        <w:tab/>
      </w:r>
      <w:r w:rsidR="00DA1DC9" w:rsidRPr="00E822E3">
        <w:rPr>
          <w:rFonts w:ascii="Arial" w:hAnsi="Arial" w:cs="Arial"/>
        </w:rPr>
        <w:t>W</w:t>
      </w:r>
      <w:r w:rsidR="009B569A" w:rsidRPr="00E822E3">
        <w:rPr>
          <w:rFonts w:ascii="Arial" w:hAnsi="Arial" w:cs="Arial"/>
        </w:rPr>
        <w:t>here the appeal record has not been filed within the time periods prescribed by the Rules of Court or where the record is incomplete, an application seeking condonation for the non-compliance is</w:t>
      </w:r>
      <w:r w:rsidR="00DA1DC9" w:rsidRPr="00E822E3">
        <w:rPr>
          <w:rFonts w:ascii="Arial" w:hAnsi="Arial" w:cs="Arial"/>
        </w:rPr>
        <w:t xml:space="preserve"> necessary</w:t>
      </w:r>
      <w:r w:rsidR="009B569A" w:rsidRPr="00E822E3">
        <w:rPr>
          <w:rFonts w:ascii="Arial" w:hAnsi="Arial" w:cs="Arial"/>
        </w:rPr>
        <w:t>.</w:t>
      </w:r>
      <w:r w:rsidR="009B569A" w:rsidRPr="004B3A13">
        <w:rPr>
          <w:rStyle w:val="FootnoteReference"/>
          <w:rFonts w:ascii="Arial" w:hAnsi="Arial" w:cs="Arial"/>
        </w:rPr>
        <w:footnoteReference w:id="8"/>
      </w:r>
      <w:r w:rsidR="009B569A" w:rsidRPr="00E822E3">
        <w:rPr>
          <w:rFonts w:ascii="Arial" w:hAnsi="Arial" w:cs="Arial"/>
        </w:rPr>
        <w:t xml:space="preserve"> </w:t>
      </w:r>
      <w:r w:rsidR="00C553F7" w:rsidRPr="00E822E3">
        <w:rPr>
          <w:rFonts w:ascii="Arial" w:hAnsi="Arial" w:cs="Arial"/>
        </w:rPr>
        <w:t xml:space="preserve">In this case, the appeal record was filed </w:t>
      </w:r>
      <w:r w:rsidR="0056189A" w:rsidRPr="00E822E3">
        <w:rPr>
          <w:rFonts w:ascii="Arial" w:hAnsi="Arial" w:cs="Arial"/>
        </w:rPr>
        <w:t>late,</w:t>
      </w:r>
      <w:r w:rsidR="00C553F7" w:rsidRPr="00E822E3">
        <w:rPr>
          <w:rFonts w:ascii="Arial" w:hAnsi="Arial" w:cs="Arial"/>
        </w:rPr>
        <w:t xml:space="preserve"> and it is still incomplete.</w:t>
      </w:r>
      <w:r w:rsidR="0056189A" w:rsidRPr="00E822E3">
        <w:rPr>
          <w:rFonts w:ascii="Arial" w:hAnsi="Arial" w:cs="Arial"/>
        </w:rPr>
        <w:t xml:space="preserve"> </w:t>
      </w:r>
      <w:r w:rsidR="00C553F7" w:rsidRPr="00E822E3">
        <w:rPr>
          <w:rFonts w:ascii="Arial" w:hAnsi="Arial" w:cs="Arial"/>
        </w:rPr>
        <w:t xml:space="preserve">Condonation has been sought only with respect to the former and not the latter. This reflects a glaring disregard for the Rules of Court. </w:t>
      </w:r>
      <w:r w:rsidR="00501902" w:rsidRPr="00E822E3">
        <w:rPr>
          <w:rFonts w:ascii="Arial" w:hAnsi="Arial" w:cs="Arial"/>
        </w:rPr>
        <w:t xml:space="preserve">The absence of the </w:t>
      </w:r>
      <w:r w:rsidR="009B569A" w:rsidRPr="00E822E3">
        <w:rPr>
          <w:rFonts w:ascii="Arial" w:hAnsi="Arial" w:cs="Arial"/>
        </w:rPr>
        <w:t xml:space="preserve">complete </w:t>
      </w:r>
      <w:r w:rsidR="00501902" w:rsidRPr="00E822E3">
        <w:rPr>
          <w:rFonts w:ascii="Arial" w:hAnsi="Arial" w:cs="Arial"/>
        </w:rPr>
        <w:t xml:space="preserve">record also impedes the administration of justice by hindering the court’s ability </w:t>
      </w:r>
      <w:r w:rsidR="007F39EB" w:rsidRPr="00E822E3">
        <w:rPr>
          <w:rFonts w:ascii="Arial" w:hAnsi="Arial" w:cs="Arial"/>
        </w:rPr>
        <w:t xml:space="preserve">in some cases </w:t>
      </w:r>
      <w:r w:rsidR="00501902" w:rsidRPr="00E822E3">
        <w:rPr>
          <w:rFonts w:ascii="Arial" w:hAnsi="Arial" w:cs="Arial"/>
        </w:rPr>
        <w:t>to determine the prospects of success on appeal as the relevant evidence or material is not placed before it.</w:t>
      </w:r>
      <w:r w:rsidR="00501902" w:rsidRPr="004B3A13">
        <w:rPr>
          <w:rStyle w:val="FootnoteReference"/>
          <w:rFonts w:ascii="Arial" w:hAnsi="Arial" w:cs="Arial"/>
        </w:rPr>
        <w:footnoteReference w:id="9"/>
      </w:r>
    </w:p>
    <w:p w14:paraId="6F05B6E2" w14:textId="77777777" w:rsidR="00C553F7" w:rsidRPr="004B3A13" w:rsidRDefault="00C553F7" w:rsidP="00966268">
      <w:pPr>
        <w:widowControl w:val="0"/>
        <w:autoSpaceDE w:val="0"/>
        <w:autoSpaceDN w:val="0"/>
        <w:adjustRightInd w:val="0"/>
        <w:spacing w:line="480" w:lineRule="auto"/>
        <w:ind w:left="0"/>
        <w:jc w:val="both"/>
        <w:rPr>
          <w:rFonts w:ascii="Arial" w:hAnsi="Arial" w:cs="Arial"/>
        </w:rPr>
      </w:pPr>
    </w:p>
    <w:p w14:paraId="121273C9" w14:textId="77777777" w:rsidR="004C72E3" w:rsidRDefault="004C72E3" w:rsidP="00966268">
      <w:pPr>
        <w:widowControl w:val="0"/>
        <w:autoSpaceDE w:val="0"/>
        <w:autoSpaceDN w:val="0"/>
        <w:adjustRightInd w:val="0"/>
        <w:spacing w:line="480" w:lineRule="auto"/>
        <w:ind w:left="0"/>
        <w:jc w:val="both"/>
        <w:rPr>
          <w:rFonts w:ascii="Arial" w:eastAsia="Arial" w:hAnsi="Arial" w:cs="Arial"/>
          <w:i/>
          <w:lang w:val="en-US"/>
        </w:rPr>
      </w:pPr>
    </w:p>
    <w:p w14:paraId="30BAF200" w14:textId="0BADCF2C" w:rsidR="00AF1F67" w:rsidRPr="004B3A13" w:rsidRDefault="008A610C" w:rsidP="00966268">
      <w:pPr>
        <w:widowControl w:val="0"/>
        <w:autoSpaceDE w:val="0"/>
        <w:autoSpaceDN w:val="0"/>
        <w:adjustRightInd w:val="0"/>
        <w:spacing w:line="480" w:lineRule="auto"/>
        <w:ind w:left="0"/>
        <w:jc w:val="both"/>
        <w:rPr>
          <w:rFonts w:ascii="Arial" w:hAnsi="Arial" w:cs="Arial"/>
          <w:lang w:val="en-US"/>
        </w:rPr>
      </w:pPr>
      <w:r w:rsidRPr="004B3A13">
        <w:rPr>
          <w:rFonts w:ascii="Arial" w:eastAsia="Arial" w:hAnsi="Arial" w:cs="Arial"/>
          <w:i/>
          <w:lang w:val="en-US"/>
        </w:rPr>
        <w:lastRenderedPageBreak/>
        <w:t>Respondent’s a</w:t>
      </w:r>
      <w:r w:rsidR="006E22EF" w:rsidRPr="004B3A13">
        <w:rPr>
          <w:rFonts w:ascii="Arial" w:eastAsia="Arial" w:hAnsi="Arial" w:cs="Arial"/>
          <w:i/>
          <w:lang w:val="en-US"/>
        </w:rPr>
        <w:t xml:space="preserve">ttitude towards </w:t>
      </w:r>
      <w:r w:rsidRPr="004B3A13">
        <w:rPr>
          <w:rFonts w:ascii="Arial" w:eastAsia="Arial" w:hAnsi="Arial" w:cs="Arial"/>
          <w:i/>
          <w:lang w:val="en-US"/>
        </w:rPr>
        <w:t>c</w:t>
      </w:r>
      <w:r w:rsidR="006E22EF" w:rsidRPr="004B3A13">
        <w:rPr>
          <w:rFonts w:ascii="Arial" w:eastAsia="Arial" w:hAnsi="Arial" w:cs="Arial"/>
          <w:i/>
          <w:lang w:val="en-US"/>
        </w:rPr>
        <w:t xml:space="preserve">ompliance </w:t>
      </w:r>
      <w:r w:rsidRPr="004B3A13">
        <w:rPr>
          <w:rFonts w:ascii="Arial" w:eastAsia="Arial" w:hAnsi="Arial" w:cs="Arial"/>
          <w:i/>
          <w:lang w:val="en-US"/>
        </w:rPr>
        <w:t xml:space="preserve">with a court </w:t>
      </w:r>
      <w:r w:rsidR="00470D06" w:rsidRPr="004B3A13">
        <w:rPr>
          <w:rFonts w:ascii="Arial" w:eastAsia="Arial" w:hAnsi="Arial" w:cs="Arial"/>
          <w:i/>
          <w:lang w:val="en-US"/>
        </w:rPr>
        <w:t>r</w:t>
      </w:r>
      <w:r w:rsidR="006E22EF" w:rsidRPr="004B3A13">
        <w:rPr>
          <w:rFonts w:ascii="Arial" w:eastAsia="Arial" w:hAnsi="Arial" w:cs="Arial"/>
          <w:i/>
          <w:lang w:val="en-US"/>
        </w:rPr>
        <w:t xml:space="preserve">ule </w:t>
      </w:r>
    </w:p>
    <w:p w14:paraId="7A7694B4" w14:textId="2939F93E" w:rsidR="0056189A"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[15]</w:t>
      </w:r>
      <w:r w:rsidRPr="004B3A13">
        <w:rPr>
          <w:rFonts w:ascii="Arial" w:eastAsia="Arial" w:hAnsi="Arial" w:cs="Arial"/>
          <w:sz w:val="24"/>
          <w:szCs w:val="24"/>
          <w:lang w:val="en-US"/>
        </w:rPr>
        <w:tab/>
      </w:r>
      <w:r w:rsidR="00AF1F67" w:rsidRPr="004B3A13">
        <w:rPr>
          <w:rFonts w:ascii="Arial" w:eastAsia="Arial" w:hAnsi="Arial" w:cs="Arial"/>
          <w:sz w:val="24"/>
          <w:szCs w:val="24"/>
          <w:lang w:val="en-US"/>
        </w:rPr>
        <w:t xml:space="preserve">Rule 11(10)(a) obligates both parties to an appeal to meet within 20 days of noting the appeal with the view to eliminating portions of the record which are not relevant for the determination of issues on appeal. The 20-day period, from the date of </w:t>
      </w:r>
      <w:r w:rsidR="007F39EB" w:rsidRPr="004B3A13">
        <w:rPr>
          <w:rFonts w:ascii="Arial" w:eastAsia="Arial" w:hAnsi="Arial" w:cs="Arial"/>
          <w:sz w:val="24"/>
          <w:szCs w:val="24"/>
          <w:lang w:val="en-US"/>
        </w:rPr>
        <w:t xml:space="preserve">the </w:t>
      </w:r>
      <w:r w:rsidR="00AF1F67" w:rsidRPr="004B3A13">
        <w:rPr>
          <w:rFonts w:ascii="Arial" w:eastAsia="Arial" w:hAnsi="Arial" w:cs="Arial"/>
          <w:sz w:val="24"/>
          <w:szCs w:val="24"/>
          <w:lang w:val="en-US"/>
        </w:rPr>
        <w:t xml:space="preserve">noting </w:t>
      </w:r>
      <w:r w:rsidR="007F39EB" w:rsidRPr="004B3A13">
        <w:rPr>
          <w:rFonts w:ascii="Arial" w:eastAsia="Arial" w:hAnsi="Arial" w:cs="Arial"/>
          <w:sz w:val="24"/>
          <w:szCs w:val="24"/>
          <w:lang w:val="en-US"/>
        </w:rPr>
        <w:t xml:space="preserve">of the </w:t>
      </w:r>
      <w:r w:rsidR="00AF1F67" w:rsidRPr="004B3A13">
        <w:rPr>
          <w:rFonts w:ascii="Arial" w:eastAsia="Arial" w:hAnsi="Arial" w:cs="Arial"/>
          <w:sz w:val="24"/>
          <w:szCs w:val="24"/>
          <w:lang w:val="en-US"/>
        </w:rPr>
        <w:t>appeal</w:t>
      </w:r>
      <w:r w:rsidR="007870D1" w:rsidRPr="004B3A13">
        <w:rPr>
          <w:rFonts w:ascii="Arial" w:eastAsia="Arial" w:hAnsi="Arial" w:cs="Arial"/>
          <w:sz w:val="24"/>
          <w:szCs w:val="24"/>
          <w:lang w:val="en-US"/>
        </w:rPr>
        <w:t>,</w:t>
      </w:r>
      <w:r w:rsidR="00AF1F67" w:rsidRPr="004B3A13">
        <w:rPr>
          <w:rFonts w:ascii="Arial" w:eastAsia="Arial" w:hAnsi="Arial" w:cs="Arial"/>
          <w:sz w:val="24"/>
          <w:szCs w:val="24"/>
          <w:lang w:val="en-US"/>
        </w:rPr>
        <w:t xml:space="preserve"> </w:t>
      </w:r>
      <w:r w:rsidR="009D6F37" w:rsidRPr="004B3A13">
        <w:rPr>
          <w:rFonts w:ascii="Arial" w:eastAsia="Arial" w:hAnsi="Arial" w:cs="Arial"/>
          <w:sz w:val="24"/>
          <w:szCs w:val="24"/>
          <w:lang w:val="en-US"/>
        </w:rPr>
        <w:t>ie</w:t>
      </w:r>
      <w:r w:rsidR="00AF1F67" w:rsidRPr="004B3A13">
        <w:rPr>
          <w:rFonts w:ascii="Arial" w:eastAsia="Arial" w:hAnsi="Arial" w:cs="Arial"/>
          <w:sz w:val="24"/>
          <w:szCs w:val="24"/>
          <w:lang w:val="en-US"/>
        </w:rPr>
        <w:t xml:space="preserve"> 20 April 2022, in terms of </w:t>
      </w:r>
      <w:r w:rsidR="00934EB2">
        <w:rPr>
          <w:rFonts w:ascii="Arial" w:eastAsia="Arial" w:hAnsi="Arial" w:cs="Arial"/>
          <w:sz w:val="24"/>
          <w:szCs w:val="24"/>
          <w:lang w:val="en-US"/>
        </w:rPr>
        <w:t>r</w:t>
      </w:r>
      <w:r w:rsidR="00AF1F67" w:rsidRPr="004B3A13">
        <w:rPr>
          <w:rFonts w:ascii="Arial" w:eastAsia="Arial" w:hAnsi="Arial" w:cs="Arial"/>
          <w:sz w:val="24"/>
          <w:szCs w:val="24"/>
          <w:lang w:val="en-US"/>
        </w:rPr>
        <w:t xml:space="preserve">ule 11(10)(a) expired in this case on </w:t>
      </w:r>
      <w:r w:rsidR="0056189A" w:rsidRPr="004B3A13">
        <w:rPr>
          <w:rFonts w:ascii="Arial" w:eastAsia="Arial" w:hAnsi="Arial" w:cs="Arial"/>
          <w:sz w:val="24"/>
          <w:szCs w:val="24"/>
          <w:lang w:val="en-US"/>
        </w:rPr>
        <w:t xml:space="preserve">19 </w:t>
      </w:r>
      <w:r w:rsidR="00AF1F67" w:rsidRPr="004B3A13">
        <w:rPr>
          <w:rFonts w:ascii="Arial" w:eastAsia="Arial" w:hAnsi="Arial" w:cs="Arial"/>
          <w:sz w:val="24"/>
          <w:szCs w:val="24"/>
          <w:lang w:val="en-US"/>
        </w:rPr>
        <w:t xml:space="preserve">May 2022. The </w:t>
      </w:r>
      <w:r w:rsidR="007870D1" w:rsidRPr="004B3A13">
        <w:rPr>
          <w:rFonts w:ascii="Arial" w:eastAsia="Arial" w:hAnsi="Arial" w:cs="Arial"/>
          <w:sz w:val="24"/>
          <w:szCs w:val="24"/>
          <w:lang w:val="en-US"/>
        </w:rPr>
        <w:t>r</w:t>
      </w:r>
      <w:r w:rsidR="00AF1F67" w:rsidRPr="004B3A13">
        <w:rPr>
          <w:rFonts w:ascii="Arial" w:eastAsia="Arial" w:hAnsi="Arial" w:cs="Arial"/>
          <w:sz w:val="24"/>
          <w:szCs w:val="24"/>
          <w:lang w:val="en-US"/>
        </w:rPr>
        <w:t>ule make</w:t>
      </w:r>
      <w:r w:rsidR="009E5B54">
        <w:rPr>
          <w:rFonts w:ascii="Arial" w:eastAsia="Arial" w:hAnsi="Arial" w:cs="Arial"/>
          <w:sz w:val="24"/>
          <w:szCs w:val="24"/>
          <w:lang w:val="en-US"/>
        </w:rPr>
        <w:t>s</w:t>
      </w:r>
      <w:r w:rsidR="00AF1F67" w:rsidRPr="004B3A13">
        <w:rPr>
          <w:rFonts w:ascii="Arial" w:eastAsia="Arial" w:hAnsi="Arial" w:cs="Arial"/>
          <w:sz w:val="24"/>
          <w:szCs w:val="24"/>
          <w:lang w:val="en-US"/>
        </w:rPr>
        <w:t xml:space="preserve"> it unequivocally clear that the meeting </w:t>
      </w:r>
      <w:r w:rsidR="0056189A" w:rsidRPr="004B3A13">
        <w:rPr>
          <w:rFonts w:ascii="Arial" w:eastAsia="Arial" w:hAnsi="Arial" w:cs="Arial"/>
          <w:sz w:val="24"/>
          <w:szCs w:val="24"/>
          <w:lang w:val="en-US"/>
        </w:rPr>
        <w:t xml:space="preserve">has </w:t>
      </w:r>
      <w:r w:rsidR="00AF1F67" w:rsidRPr="004B3A13">
        <w:rPr>
          <w:rFonts w:ascii="Arial" w:eastAsia="Arial" w:hAnsi="Arial" w:cs="Arial"/>
          <w:sz w:val="24"/>
          <w:szCs w:val="24"/>
          <w:lang w:val="en-US"/>
        </w:rPr>
        <w:t xml:space="preserve">to be held within 20 days </w:t>
      </w:r>
      <w:r w:rsidR="000B7DD2" w:rsidRPr="004B3A13">
        <w:rPr>
          <w:rFonts w:ascii="Arial" w:eastAsia="Arial" w:hAnsi="Arial" w:cs="Arial"/>
          <w:sz w:val="24"/>
          <w:szCs w:val="24"/>
          <w:lang w:val="en-US"/>
        </w:rPr>
        <w:t xml:space="preserve">of noting the appeal </w:t>
      </w:r>
      <w:r w:rsidR="00AF1F67" w:rsidRPr="004B3A13">
        <w:rPr>
          <w:rFonts w:ascii="Arial" w:eastAsia="Arial" w:hAnsi="Arial" w:cs="Arial"/>
          <w:sz w:val="24"/>
          <w:szCs w:val="24"/>
          <w:lang w:val="en-US"/>
        </w:rPr>
        <w:t>and not merely any time before the filing of the record.</w:t>
      </w:r>
    </w:p>
    <w:p w14:paraId="02570BED" w14:textId="77777777" w:rsidR="0056189A" w:rsidRPr="004B3A13" w:rsidRDefault="0056189A" w:rsidP="00966268">
      <w:pPr>
        <w:pStyle w:val="Body"/>
        <w:spacing w:after="0" w:line="480" w:lineRule="auto"/>
        <w:ind w:left="0"/>
        <w:jc w:val="both"/>
        <w:rPr>
          <w:rFonts w:ascii="Arial" w:eastAsia="Arial" w:hAnsi="Arial" w:cs="Arial"/>
          <w:sz w:val="24"/>
          <w:szCs w:val="24"/>
          <w:lang w:val="en-US"/>
        </w:rPr>
      </w:pPr>
    </w:p>
    <w:p w14:paraId="187F5E27" w14:textId="5F1E51EE" w:rsidR="008E2371"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[16]</w:t>
      </w:r>
      <w:r w:rsidRPr="004B3A13">
        <w:rPr>
          <w:rFonts w:ascii="Arial" w:eastAsia="Arial" w:hAnsi="Arial" w:cs="Arial"/>
          <w:sz w:val="24"/>
          <w:szCs w:val="24"/>
          <w:lang w:val="en-US"/>
        </w:rPr>
        <w:tab/>
      </w:r>
      <w:r w:rsidR="00AF1F67" w:rsidRPr="004B3A13">
        <w:rPr>
          <w:rFonts w:ascii="Arial" w:eastAsia="Arial" w:hAnsi="Arial" w:cs="Arial"/>
          <w:sz w:val="24"/>
          <w:szCs w:val="24"/>
          <w:lang w:val="en-US"/>
        </w:rPr>
        <w:t xml:space="preserve">Admittedly, the appellant acted much later than this and even </w:t>
      </w:r>
      <w:r w:rsidR="00CF32F8" w:rsidRPr="004B3A13">
        <w:rPr>
          <w:rFonts w:ascii="Arial" w:eastAsia="Arial" w:hAnsi="Arial" w:cs="Arial"/>
          <w:sz w:val="24"/>
          <w:szCs w:val="24"/>
          <w:lang w:val="en-US"/>
        </w:rPr>
        <w:t>his</w:t>
      </w:r>
      <w:r w:rsidR="00AF1F67" w:rsidRPr="004B3A13">
        <w:rPr>
          <w:rFonts w:ascii="Arial" w:eastAsia="Arial" w:hAnsi="Arial" w:cs="Arial"/>
          <w:sz w:val="24"/>
          <w:szCs w:val="24"/>
          <w:lang w:val="en-US"/>
        </w:rPr>
        <w:t xml:space="preserve"> </w:t>
      </w:r>
      <w:r w:rsidR="00860559">
        <w:rPr>
          <w:rFonts w:ascii="Arial" w:eastAsia="Arial" w:hAnsi="Arial" w:cs="Arial"/>
          <w:sz w:val="24"/>
          <w:szCs w:val="24"/>
          <w:lang w:val="en-US"/>
        </w:rPr>
        <w:t>legal practitioner’s</w:t>
      </w:r>
      <w:r w:rsidR="00C3606B">
        <w:rPr>
          <w:rFonts w:ascii="Arial" w:eastAsia="Arial" w:hAnsi="Arial" w:cs="Arial"/>
          <w:sz w:val="24"/>
          <w:szCs w:val="24"/>
          <w:lang w:val="en-US"/>
        </w:rPr>
        <w:t xml:space="preserve"> affidavit mentions </w:t>
      </w:r>
      <w:r w:rsidR="00AF1F67" w:rsidRPr="004B3A13">
        <w:rPr>
          <w:rFonts w:ascii="Arial" w:eastAsia="Arial" w:hAnsi="Arial" w:cs="Arial"/>
          <w:sz w:val="24"/>
          <w:szCs w:val="24"/>
          <w:lang w:val="en-US"/>
        </w:rPr>
        <w:t xml:space="preserve">6 June 2022 as the earliest date on which </w:t>
      </w:r>
      <w:r w:rsidR="00CF32F8" w:rsidRPr="004B3A13">
        <w:rPr>
          <w:rFonts w:ascii="Arial" w:eastAsia="Arial" w:hAnsi="Arial" w:cs="Arial"/>
          <w:sz w:val="24"/>
          <w:szCs w:val="24"/>
          <w:lang w:val="en-US"/>
        </w:rPr>
        <w:t>he</w:t>
      </w:r>
      <w:r w:rsidR="00AF1F67" w:rsidRPr="004B3A13">
        <w:rPr>
          <w:rFonts w:ascii="Arial" w:eastAsia="Arial" w:hAnsi="Arial" w:cs="Arial"/>
          <w:sz w:val="24"/>
          <w:szCs w:val="24"/>
          <w:lang w:val="en-US"/>
        </w:rPr>
        <w:t xml:space="preserve"> made </w:t>
      </w:r>
      <w:r w:rsidR="009D6F37" w:rsidRPr="004B3A13">
        <w:rPr>
          <w:rFonts w:ascii="Arial" w:eastAsia="Arial" w:hAnsi="Arial" w:cs="Arial"/>
          <w:sz w:val="24"/>
          <w:szCs w:val="24"/>
          <w:lang w:val="en-US"/>
        </w:rPr>
        <w:t xml:space="preserve">an </w:t>
      </w:r>
      <w:r w:rsidR="00AF1F67" w:rsidRPr="004B3A13">
        <w:rPr>
          <w:rFonts w:ascii="Arial" w:eastAsia="Arial" w:hAnsi="Arial" w:cs="Arial"/>
          <w:sz w:val="24"/>
          <w:szCs w:val="24"/>
          <w:lang w:val="en-US"/>
        </w:rPr>
        <w:t>effort to schedule a meeting with the respondent</w:t>
      </w:r>
      <w:r w:rsidR="008A610C" w:rsidRPr="004B3A13">
        <w:rPr>
          <w:rFonts w:ascii="Arial" w:eastAsia="Arial" w:hAnsi="Arial" w:cs="Arial"/>
          <w:sz w:val="24"/>
          <w:szCs w:val="24"/>
          <w:lang w:val="en-US"/>
        </w:rPr>
        <w:t>’s legal practitioners</w:t>
      </w:r>
      <w:r w:rsidR="00AF1F67" w:rsidRPr="004B3A13">
        <w:rPr>
          <w:rFonts w:ascii="Arial" w:eastAsia="Arial" w:hAnsi="Arial" w:cs="Arial"/>
          <w:sz w:val="24"/>
          <w:szCs w:val="24"/>
          <w:lang w:val="en-US"/>
        </w:rPr>
        <w:t xml:space="preserve"> </w:t>
      </w:r>
      <w:r w:rsidR="0056189A" w:rsidRPr="004B3A13">
        <w:rPr>
          <w:rFonts w:ascii="Arial" w:eastAsia="Arial" w:hAnsi="Arial" w:cs="Arial"/>
          <w:sz w:val="24"/>
          <w:szCs w:val="24"/>
          <w:lang w:val="en-US"/>
        </w:rPr>
        <w:t>in order to fulfil</w:t>
      </w:r>
      <w:r w:rsidR="009D6F37" w:rsidRPr="004B3A13">
        <w:rPr>
          <w:rFonts w:ascii="Arial" w:eastAsia="Arial" w:hAnsi="Arial" w:cs="Arial"/>
          <w:sz w:val="24"/>
          <w:szCs w:val="24"/>
          <w:lang w:val="en-US"/>
        </w:rPr>
        <w:t xml:space="preserve"> </w:t>
      </w:r>
      <w:r w:rsidR="0056189A" w:rsidRPr="004B3A13">
        <w:rPr>
          <w:rFonts w:ascii="Arial" w:eastAsia="Arial" w:hAnsi="Arial" w:cs="Arial"/>
          <w:sz w:val="24"/>
          <w:szCs w:val="24"/>
          <w:lang w:val="en-US"/>
        </w:rPr>
        <w:t xml:space="preserve">the requirements of </w:t>
      </w:r>
      <w:r w:rsidR="008A610C" w:rsidRPr="004B3A13">
        <w:rPr>
          <w:rFonts w:ascii="Arial" w:eastAsia="Arial" w:hAnsi="Arial" w:cs="Arial"/>
          <w:sz w:val="24"/>
          <w:szCs w:val="24"/>
          <w:lang w:val="en-US"/>
        </w:rPr>
        <w:t>r</w:t>
      </w:r>
      <w:r w:rsidR="00AF1F67" w:rsidRPr="004B3A13">
        <w:rPr>
          <w:rFonts w:ascii="Arial" w:eastAsia="Arial" w:hAnsi="Arial" w:cs="Arial"/>
          <w:sz w:val="24"/>
          <w:szCs w:val="24"/>
          <w:lang w:val="en-US"/>
        </w:rPr>
        <w:t xml:space="preserve">ule 11(10).  However, the duty to comply with </w:t>
      </w:r>
      <w:r w:rsidR="008A610C" w:rsidRPr="004B3A13">
        <w:rPr>
          <w:rFonts w:ascii="Arial" w:eastAsia="Arial" w:hAnsi="Arial" w:cs="Arial"/>
          <w:sz w:val="24"/>
          <w:szCs w:val="24"/>
          <w:lang w:val="en-US"/>
        </w:rPr>
        <w:t>r</w:t>
      </w:r>
      <w:r w:rsidR="00AF1F67" w:rsidRPr="004B3A13">
        <w:rPr>
          <w:rFonts w:ascii="Arial" w:eastAsia="Arial" w:hAnsi="Arial" w:cs="Arial"/>
          <w:sz w:val="24"/>
          <w:szCs w:val="24"/>
          <w:lang w:val="en-US"/>
        </w:rPr>
        <w:t xml:space="preserve">ule 11(10) is placed </w:t>
      </w:r>
      <w:r w:rsidR="008E2371" w:rsidRPr="004B3A13">
        <w:rPr>
          <w:rFonts w:ascii="Arial" w:eastAsia="Arial" w:hAnsi="Arial" w:cs="Arial"/>
          <w:sz w:val="24"/>
          <w:szCs w:val="24"/>
          <w:lang w:val="en-US"/>
        </w:rPr>
        <w:t xml:space="preserve">equally </w:t>
      </w:r>
      <w:r w:rsidR="00AF1F67" w:rsidRPr="004B3A13">
        <w:rPr>
          <w:rFonts w:ascii="Arial" w:eastAsia="Arial" w:hAnsi="Arial" w:cs="Arial"/>
          <w:sz w:val="24"/>
          <w:szCs w:val="24"/>
          <w:lang w:val="en-US"/>
        </w:rPr>
        <w:t xml:space="preserve">on both parties </w:t>
      </w:r>
      <w:r w:rsidR="008A610C" w:rsidRPr="004B3A13">
        <w:rPr>
          <w:rFonts w:ascii="Arial" w:eastAsia="Arial" w:hAnsi="Arial" w:cs="Arial"/>
          <w:sz w:val="24"/>
          <w:szCs w:val="24"/>
          <w:lang w:val="en-US"/>
        </w:rPr>
        <w:t>to</w:t>
      </w:r>
      <w:r w:rsidR="00AF1F67" w:rsidRPr="004B3A13">
        <w:rPr>
          <w:rFonts w:ascii="Arial" w:eastAsia="Arial" w:hAnsi="Arial" w:cs="Arial"/>
          <w:sz w:val="24"/>
          <w:szCs w:val="24"/>
          <w:lang w:val="en-US"/>
        </w:rPr>
        <w:t xml:space="preserve"> an appeal</w:t>
      </w:r>
      <w:r w:rsidR="008A610C" w:rsidRPr="004B3A13">
        <w:rPr>
          <w:rFonts w:ascii="Arial" w:eastAsia="Arial" w:hAnsi="Arial" w:cs="Arial"/>
          <w:sz w:val="24"/>
          <w:szCs w:val="24"/>
          <w:lang w:val="en-US"/>
        </w:rPr>
        <w:t>.</w:t>
      </w:r>
      <w:r w:rsidR="008E2371" w:rsidRPr="004B3A13">
        <w:rPr>
          <w:rFonts w:ascii="Arial" w:eastAsia="Arial" w:hAnsi="Arial" w:cs="Arial"/>
          <w:sz w:val="24"/>
          <w:szCs w:val="24"/>
          <w:lang w:val="en-US"/>
        </w:rPr>
        <w:t xml:space="preserve"> </w:t>
      </w:r>
      <w:r w:rsidR="008A610C" w:rsidRPr="004B3A13">
        <w:rPr>
          <w:rFonts w:ascii="Arial" w:eastAsia="Arial" w:hAnsi="Arial" w:cs="Arial"/>
          <w:sz w:val="24"/>
          <w:szCs w:val="24"/>
          <w:lang w:val="en-US"/>
        </w:rPr>
        <w:t>T</w:t>
      </w:r>
      <w:r w:rsidR="008E2371" w:rsidRPr="004B3A13">
        <w:rPr>
          <w:rFonts w:ascii="Arial" w:eastAsia="Arial" w:hAnsi="Arial" w:cs="Arial"/>
          <w:sz w:val="24"/>
          <w:szCs w:val="24"/>
          <w:lang w:val="en-US"/>
        </w:rPr>
        <w:t>he respondent</w:t>
      </w:r>
      <w:r w:rsidR="008A610C" w:rsidRPr="004B3A13">
        <w:rPr>
          <w:rFonts w:ascii="Arial" w:eastAsia="Arial" w:hAnsi="Arial" w:cs="Arial"/>
          <w:sz w:val="24"/>
          <w:szCs w:val="24"/>
          <w:lang w:val="en-US"/>
        </w:rPr>
        <w:t>’s legal practitioner</w:t>
      </w:r>
      <w:r w:rsidR="008E2371" w:rsidRPr="004B3A13">
        <w:rPr>
          <w:rFonts w:ascii="Arial" w:eastAsia="Arial" w:hAnsi="Arial" w:cs="Arial"/>
          <w:sz w:val="24"/>
          <w:szCs w:val="24"/>
          <w:lang w:val="en-US"/>
        </w:rPr>
        <w:t xml:space="preserve"> seemed to be labouring under the mis</w:t>
      </w:r>
      <w:r w:rsidR="008A610C" w:rsidRPr="004B3A13">
        <w:rPr>
          <w:rFonts w:ascii="Arial" w:eastAsia="Arial" w:hAnsi="Arial" w:cs="Arial"/>
          <w:sz w:val="24"/>
          <w:szCs w:val="24"/>
          <w:lang w:val="en-US"/>
        </w:rPr>
        <w:t>apprehens</w:t>
      </w:r>
      <w:r w:rsidR="008E2371" w:rsidRPr="004B3A13">
        <w:rPr>
          <w:rFonts w:ascii="Arial" w:eastAsia="Arial" w:hAnsi="Arial" w:cs="Arial"/>
          <w:sz w:val="24"/>
          <w:szCs w:val="24"/>
          <w:lang w:val="en-US"/>
        </w:rPr>
        <w:t xml:space="preserve">ion that only the appellant bore this duty. </w:t>
      </w:r>
    </w:p>
    <w:p w14:paraId="68DD15F1" w14:textId="77777777" w:rsidR="005A19A1" w:rsidRPr="004B3A13" w:rsidRDefault="005A19A1" w:rsidP="00966268">
      <w:pPr>
        <w:pStyle w:val="Body"/>
        <w:spacing w:after="0" w:line="480" w:lineRule="auto"/>
        <w:ind w:left="0"/>
        <w:jc w:val="both"/>
        <w:rPr>
          <w:rFonts w:ascii="Arial" w:eastAsia="Arial" w:hAnsi="Arial" w:cs="Arial"/>
          <w:sz w:val="24"/>
          <w:szCs w:val="24"/>
          <w:lang w:val="en-US"/>
        </w:rPr>
      </w:pPr>
    </w:p>
    <w:p w14:paraId="2830D2C0" w14:textId="42D421B7" w:rsidR="00A01986"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[17]</w:t>
      </w:r>
      <w:r w:rsidRPr="004B3A13">
        <w:rPr>
          <w:rFonts w:ascii="Arial" w:eastAsia="Arial" w:hAnsi="Arial" w:cs="Arial"/>
          <w:sz w:val="24"/>
          <w:szCs w:val="24"/>
          <w:lang w:val="en-US"/>
        </w:rPr>
        <w:tab/>
      </w:r>
      <w:r w:rsidR="00AF1F67" w:rsidRPr="004B3A13">
        <w:rPr>
          <w:rFonts w:ascii="Arial" w:eastAsia="Arial" w:hAnsi="Arial" w:cs="Arial"/>
          <w:sz w:val="24"/>
          <w:szCs w:val="24"/>
          <w:lang w:val="en-US"/>
        </w:rPr>
        <w:t xml:space="preserve">The </w:t>
      </w:r>
      <w:r w:rsidR="008A610C" w:rsidRPr="004B3A13">
        <w:rPr>
          <w:rFonts w:ascii="Arial" w:eastAsia="Arial" w:hAnsi="Arial" w:cs="Arial"/>
          <w:sz w:val="24"/>
          <w:szCs w:val="24"/>
          <w:lang w:val="en-US"/>
        </w:rPr>
        <w:t xml:space="preserve">uncooperative </w:t>
      </w:r>
      <w:r w:rsidR="005A19A1" w:rsidRPr="004B3A13">
        <w:rPr>
          <w:rFonts w:ascii="Arial" w:eastAsia="Arial" w:hAnsi="Arial" w:cs="Arial"/>
          <w:sz w:val="24"/>
          <w:szCs w:val="24"/>
          <w:lang w:val="en-US"/>
        </w:rPr>
        <w:t xml:space="preserve">conduct of the </w:t>
      </w:r>
      <w:r w:rsidR="00AF1F67" w:rsidRPr="004B3A13">
        <w:rPr>
          <w:rFonts w:ascii="Arial" w:eastAsia="Arial" w:hAnsi="Arial" w:cs="Arial"/>
          <w:sz w:val="24"/>
          <w:szCs w:val="24"/>
          <w:lang w:val="en-US"/>
        </w:rPr>
        <w:t xml:space="preserve">respondent’s </w:t>
      </w:r>
      <w:r w:rsidR="008A610C" w:rsidRPr="004B3A13">
        <w:rPr>
          <w:rFonts w:ascii="Arial" w:eastAsia="Arial" w:hAnsi="Arial" w:cs="Arial"/>
          <w:sz w:val="24"/>
          <w:szCs w:val="24"/>
          <w:lang w:val="en-US"/>
        </w:rPr>
        <w:t>legal practitioner</w:t>
      </w:r>
      <w:r w:rsidR="00AF1F67" w:rsidRPr="004B3A13">
        <w:rPr>
          <w:rFonts w:ascii="Arial" w:eastAsia="Arial" w:hAnsi="Arial" w:cs="Arial"/>
          <w:sz w:val="24"/>
          <w:szCs w:val="24"/>
          <w:lang w:val="en-US"/>
        </w:rPr>
        <w:t xml:space="preserve"> </w:t>
      </w:r>
      <w:r w:rsidR="00A60334" w:rsidRPr="004B3A13">
        <w:rPr>
          <w:rFonts w:ascii="Arial" w:eastAsia="Arial" w:hAnsi="Arial" w:cs="Arial"/>
          <w:sz w:val="24"/>
          <w:szCs w:val="24"/>
          <w:lang w:val="en-US"/>
        </w:rPr>
        <w:t xml:space="preserve">is </w:t>
      </w:r>
      <w:r w:rsidR="00AF1F67" w:rsidRPr="004B3A13">
        <w:rPr>
          <w:rFonts w:ascii="Arial" w:eastAsia="Arial" w:hAnsi="Arial" w:cs="Arial"/>
          <w:sz w:val="24"/>
          <w:szCs w:val="24"/>
          <w:lang w:val="en-US"/>
        </w:rPr>
        <w:t>evident from the</w:t>
      </w:r>
      <w:r w:rsidR="005A19A1" w:rsidRPr="004B3A13">
        <w:rPr>
          <w:rFonts w:ascii="Arial" w:eastAsia="Arial" w:hAnsi="Arial" w:cs="Arial"/>
          <w:sz w:val="24"/>
          <w:szCs w:val="24"/>
          <w:lang w:val="en-US"/>
        </w:rPr>
        <w:t xml:space="preserve"> </w:t>
      </w:r>
      <w:r w:rsidR="007870D1" w:rsidRPr="004B3A13">
        <w:rPr>
          <w:rFonts w:ascii="Arial" w:eastAsia="Arial" w:hAnsi="Arial" w:cs="Arial"/>
          <w:sz w:val="24"/>
          <w:szCs w:val="24"/>
          <w:lang w:val="en-US"/>
        </w:rPr>
        <w:t>pugnacious</w:t>
      </w:r>
      <w:r w:rsidR="005A19A1" w:rsidRPr="004B3A13">
        <w:rPr>
          <w:rFonts w:ascii="Arial" w:eastAsia="Arial" w:hAnsi="Arial" w:cs="Arial"/>
          <w:sz w:val="24"/>
          <w:szCs w:val="24"/>
          <w:lang w:val="en-US"/>
        </w:rPr>
        <w:t xml:space="preserve"> </w:t>
      </w:r>
      <w:r w:rsidR="00AF1F67" w:rsidRPr="004B3A13">
        <w:rPr>
          <w:rFonts w:ascii="Arial" w:eastAsia="Arial" w:hAnsi="Arial" w:cs="Arial"/>
          <w:sz w:val="24"/>
          <w:szCs w:val="24"/>
          <w:lang w:val="en-US"/>
        </w:rPr>
        <w:t>correspondence</w:t>
      </w:r>
      <w:r w:rsidR="005A19A1" w:rsidRPr="004B3A13">
        <w:rPr>
          <w:rFonts w:ascii="Arial" w:eastAsia="Arial" w:hAnsi="Arial" w:cs="Arial"/>
          <w:sz w:val="24"/>
          <w:szCs w:val="24"/>
          <w:lang w:val="en-US"/>
        </w:rPr>
        <w:t xml:space="preserve"> on the issue addressed to the appellant’s legal practitioner</w:t>
      </w:r>
      <w:r w:rsidR="00AF1F67" w:rsidRPr="004B3A13">
        <w:rPr>
          <w:rFonts w:ascii="Arial" w:eastAsia="Arial" w:hAnsi="Arial" w:cs="Arial"/>
          <w:sz w:val="24"/>
          <w:szCs w:val="24"/>
          <w:lang w:val="en-US"/>
        </w:rPr>
        <w:t xml:space="preserve">, </w:t>
      </w:r>
      <w:r w:rsidR="005A19A1" w:rsidRPr="004B3A13">
        <w:rPr>
          <w:rFonts w:ascii="Arial" w:eastAsia="Arial" w:hAnsi="Arial" w:cs="Arial"/>
          <w:sz w:val="24"/>
          <w:szCs w:val="24"/>
          <w:lang w:val="en-US"/>
        </w:rPr>
        <w:t xml:space="preserve">and </w:t>
      </w:r>
      <w:r w:rsidR="00AF1F67" w:rsidRPr="004B3A13">
        <w:rPr>
          <w:rFonts w:ascii="Arial" w:eastAsia="Arial" w:hAnsi="Arial" w:cs="Arial"/>
          <w:sz w:val="24"/>
          <w:szCs w:val="24"/>
          <w:lang w:val="en-US"/>
        </w:rPr>
        <w:t>especially</w:t>
      </w:r>
      <w:r w:rsidR="007870D1" w:rsidRPr="004B3A13">
        <w:rPr>
          <w:rFonts w:ascii="Arial" w:eastAsia="Arial" w:hAnsi="Arial" w:cs="Arial"/>
          <w:sz w:val="24"/>
          <w:szCs w:val="24"/>
          <w:lang w:val="en-US"/>
        </w:rPr>
        <w:t xml:space="preserve"> in</w:t>
      </w:r>
      <w:r w:rsidR="00AF1F67" w:rsidRPr="004B3A13">
        <w:rPr>
          <w:rFonts w:ascii="Arial" w:eastAsia="Arial" w:hAnsi="Arial" w:cs="Arial"/>
          <w:sz w:val="24"/>
          <w:szCs w:val="24"/>
          <w:lang w:val="en-US"/>
        </w:rPr>
        <w:t xml:space="preserve"> </w:t>
      </w:r>
      <w:r w:rsidR="005A19A1" w:rsidRPr="004B3A13">
        <w:rPr>
          <w:rFonts w:ascii="Arial" w:eastAsia="Arial" w:hAnsi="Arial" w:cs="Arial"/>
          <w:sz w:val="24"/>
          <w:szCs w:val="24"/>
          <w:lang w:val="en-US"/>
        </w:rPr>
        <w:t>t</w:t>
      </w:r>
      <w:r w:rsidR="00AF1F67" w:rsidRPr="004B3A13">
        <w:rPr>
          <w:rFonts w:ascii="Arial" w:eastAsia="Arial" w:hAnsi="Arial" w:cs="Arial"/>
          <w:sz w:val="24"/>
          <w:szCs w:val="24"/>
          <w:lang w:val="en-US"/>
        </w:rPr>
        <w:t>heir lack of timely initiative to schedule</w:t>
      </w:r>
      <w:r w:rsidR="00D04876" w:rsidRPr="004B3A13">
        <w:rPr>
          <w:rFonts w:ascii="Arial" w:eastAsia="Arial" w:hAnsi="Arial" w:cs="Arial"/>
          <w:sz w:val="24"/>
          <w:szCs w:val="24"/>
          <w:lang w:val="en-US"/>
        </w:rPr>
        <w:t xml:space="preserve"> or agree to a meeting</w:t>
      </w:r>
      <w:r w:rsidR="005A19A1" w:rsidRPr="004B3A13">
        <w:rPr>
          <w:rFonts w:ascii="Arial" w:eastAsia="Arial" w:hAnsi="Arial" w:cs="Arial"/>
          <w:sz w:val="24"/>
          <w:szCs w:val="24"/>
          <w:lang w:val="en-US"/>
        </w:rPr>
        <w:t xml:space="preserve"> for the reason that they were engaged in a trial at the time</w:t>
      </w:r>
      <w:r w:rsidR="00D04876" w:rsidRPr="004B3A13">
        <w:rPr>
          <w:rFonts w:ascii="Arial" w:eastAsia="Arial" w:hAnsi="Arial" w:cs="Arial"/>
          <w:sz w:val="24"/>
          <w:szCs w:val="24"/>
          <w:lang w:val="en-US"/>
        </w:rPr>
        <w:t xml:space="preserve">. </w:t>
      </w:r>
      <w:r w:rsidR="005A19A1" w:rsidRPr="004B3A13">
        <w:rPr>
          <w:rFonts w:ascii="Arial" w:eastAsia="Arial" w:hAnsi="Arial" w:cs="Arial"/>
          <w:sz w:val="24"/>
          <w:szCs w:val="24"/>
          <w:lang w:val="en-US"/>
        </w:rPr>
        <w:t>T</w:t>
      </w:r>
      <w:r w:rsidR="00D04876" w:rsidRPr="004B3A13">
        <w:rPr>
          <w:rFonts w:ascii="Arial" w:eastAsia="Arial" w:hAnsi="Arial" w:cs="Arial"/>
          <w:sz w:val="24"/>
          <w:szCs w:val="24"/>
          <w:lang w:val="en-US"/>
        </w:rPr>
        <w:t>heir</w:t>
      </w:r>
      <w:r w:rsidR="00AF1F67" w:rsidRPr="004B3A13">
        <w:rPr>
          <w:rFonts w:ascii="Arial" w:eastAsia="Arial" w:hAnsi="Arial" w:cs="Arial"/>
          <w:sz w:val="24"/>
          <w:szCs w:val="24"/>
          <w:lang w:val="en-US"/>
        </w:rPr>
        <w:t xml:space="preserve"> engagement in another trial d</w:t>
      </w:r>
      <w:r w:rsidR="005A19A1" w:rsidRPr="004B3A13">
        <w:rPr>
          <w:rFonts w:ascii="Arial" w:eastAsia="Arial" w:hAnsi="Arial" w:cs="Arial"/>
          <w:sz w:val="24"/>
          <w:szCs w:val="24"/>
          <w:lang w:val="en-US"/>
        </w:rPr>
        <w:t xml:space="preserve">id </w:t>
      </w:r>
      <w:r w:rsidR="00AF1F67" w:rsidRPr="004B3A13">
        <w:rPr>
          <w:rFonts w:ascii="Arial" w:eastAsia="Arial" w:hAnsi="Arial" w:cs="Arial"/>
          <w:sz w:val="24"/>
          <w:szCs w:val="24"/>
          <w:lang w:val="en-US"/>
        </w:rPr>
        <w:t xml:space="preserve">not absolve </w:t>
      </w:r>
      <w:r w:rsidR="007870D1" w:rsidRPr="004B3A13">
        <w:rPr>
          <w:rFonts w:ascii="Arial" w:eastAsia="Arial" w:hAnsi="Arial" w:cs="Arial"/>
          <w:sz w:val="24"/>
          <w:szCs w:val="24"/>
          <w:lang w:val="en-US"/>
        </w:rPr>
        <w:t xml:space="preserve">the legal practitioner </w:t>
      </w:r>
      <w:r w:rsidR="00AF1F67" w:rsidRPr="004B3A13">
        <w:rPr>
          <w:rFonts w:ascii="Arial" w:eastAsia="Arial" w:hAnsi="Arial" w:cs="Arial"/>
          <w:sz w:val="24"/>
          <w:szCs w:val="24"/>
          <w:lang w:val="en-US"/>
        </w:rPr>
        <w:t xml:space="preserve">from </w:t>
      </w:r>
      <w:r w:rsidR="00A02E66" w:rsidRPr="004B3A13">
        <w:rPr>
          <w:rFonts w:ascii="Arial" w:eastAsia="Arial" w:hAnsi="Arial" w:cs="Arial"/>
          <w:sz w:val="24"/>
          <w:szCs w:val="24"/>
          <w:lang w:val="en-US"/>
        </w:rPr>
        <w:t xml:space="preserve">meeting </w:t>
      </w:r>
      <w:r w:rsidR="00AF1F67" w:rsidRPr="004B3A13">
        <w:rPr>
          <w:rFonts w:ascii="Arial" w:eastAsia="Arial" w:hAnsi="Arial" w:cs="Arial"/>
          <w:sz w:val="24"/>
          <w:szCs w:val="24"/>
          <w:lang w:val="en-US"/>
        </w:rPr>
        <w:t xml:space="preserve">the duty </w:t>
      </w:r>
      <w:r w:rsidR="00A02E66" w:rsidRPr="004B3A13">
        <w:rPr>
          <w:rFonts w:ascii="Arial" w:eastAsia="Arial" w:hAnsi="Arial" w:cs="Arial"/>
          <w:sz w:val="24"/>
          <w:szCs w:val="24"/>
          <w:lang w:val="en-US"/>
        </w:rPr>
        <w:t xml:space="preserve">imposed on them </w:t>
      </w:r>
      <w:r w:rsidR="00AF1F67" w:rsidRPr="004B3A13">
        <w:rPr>
          <w:rFonts w:ascii="Arial" w:eastAsia="Arial" w:hAnsi="Arial" w:cs="Arial"/>
          <w:sz w:val="24"/>
          <w:szCs w:val="24"/>
          <w:lang w:val="en-US"/>
        </w:rPr>
        <w:t xml:space="preserve">under </w:t>
      </w:r>
      <w:r w:rsidR="00A02E66" w:rsidRPr="004B3A13">
        <w:rPr>
          <w:rFonts w:ascii="Arial" w:eastAsia="Arial" w:hAnsi="Arial" w:cs="Arial"/>
          <w:sz w:val="24"/>
          <w:szCs w:val="24"/>
          <w:lang w:val="en-US"/>
        </w:rPr>
        <w:t>r</w:t>
      </w:r>
      <w:r w:rsidR="00AF1F67" w:rsidRPr="004B3A13">
        <w:rPr>
          <w:rFonts w:ascii="Arial" w:eastAsia="Arial" w:hAnsi="Arial" w:cs="Arial"/>
          <w:sz w:val="24"/>
          <w:szCs w:val="24"/>
          <w:lang w:val="en-US"/>
        </w:rPr>
        <w:t>ule 11(10).</w:t>
      </w:r>
      <w:r w:rsidR="00822D56" w:rsidRPr="004B3A13">
        <w:rPr>
          <w:rFonts w:ascii="Arial" w:eastAsia="Arial" w:hAnsi="Arial" w:cs="Arial"/>
          <w:sz w:val="24"/>
          <w:szCs w:val="24"/>
          <w:lang w:val="en-US"/>
        </w:rPr>
        <w:t xml:space="preserve"> </w:t>
      </w:r>
    </w:p>
    <w:p w14:paraId="7411D967" w14:textId="77777777" w:rsidR="00A01986" w:rsidRPr="004B3A13" w:rsidRDefault="00A01986" w:rsidP="00966268">
      <w:pPr>
        <w:pStyle w:val="ListParagraph"/>
        <w:spacing w:line="480" w:lineRule="auto"/>
        <w:rPr>
          <w:rFonts w:ascii="Arial" w:eastAsia="Arial" w:hAnsi="Arial" w:cs="Arial"/>
          <w:lang w:val="en-US"/>
        </w:rPr>
      </w:pPr>
    </w:p>
    <w:p w14:paraId="74E6353F" w14:textId="2872452A" w:rsidR="000B7DD2"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lastRenderedPageBreak/>
        <w:t>[18]</w:t>
      </w:r>
      <w:r w:rsidRPr="004B3A13">
        <w:rPr>
          <w:rFonts w:ascii="Arial" w:eastAsia="Arial" w:hAnsi="Arial" w:cs="Arial"/>
          <w:sz w:val="24"/>
          <w:szCs w:val="24"/>
          <w:lang w:val="en-US"/>
        </w:rPr>
        <w:tab/>
      </w:r>
      <w:r w:rsidR="00A02E66" w:rsidRPr="004B3A13">
        <w:rPr>
          <w:rFonts w:ascii="Arial" w:eastAsia="Arial" w:hAnsi="Arial" w:cs="Arial"/>
          <w:sz w:val="24"/>
          <w:szCs w:val="24"/>
          <w:lang w:val="en-US"/>
        </w:rPr>
        <w:t>The</w:t>
      </w:r>
      <w:r w:rsidR="00AF1F67" w:rsidRPr="004B3A13">
        <w:rPr>
          <w:rFonts w:ascii="Arial" w:eastAsia="Arial" w:hAnsi="Arial" w:cs="Arial"/>
          <w:sz w:val="24"/>
          <w:szCs w:val="24"/>
          <w:lang w:val="en-US"/>
        </w:rPr>
        <w:t xml:space="preserve"> insistence on </w:t>
      </w:r>
      <w:r w:rsidR="00A02E66" w:rsidRPr="004B3A13">
        <w:rPr>
          <w:rFonts w:ascii="Arial" w:eastAsia="Arial" w:hAnsi="Arial" w:cs="Arial"/>
          <w:sz w:val="24"/>
          <w:szCs w:val="24"/>
          <w:lang w:val="en-US"/>
        </w:rPr>
        <w:t xml:space="preserve">being served with </w:t>
      </w:r>
      <w:r w:rsidR="00AF1F67" w:rsidRPr="004B3A13">
        <w:rPr>
          <w:rFonts w:ascii="Arial" w:eastAsia="Arial" w:hAnsi="Arial" w:cs="Arial"/>
          <w:sz w:val="24"/>
          <w:szCs w:val="24"/>
          <w:lang w:val="en-US"/>
        </w:rPr>
        <w:t>the discovery bundle</w:t>
      </w:r>
      <w:r w:rsidR="00A02E66" w:rsidRPr="004B3A13">
        <w:rPr>
          <w:rFonts w:ascii="Arial" w:eastAsia="Arial" w:hAnsi="Arial" w:cs="Arial"/>
          <w:sz w:val="24"/>
          <w:szCs w:val="24"/>
          <w:lang w:val="en-US"/>
        </w:rPr>
        <w:t xml:space="preserve"> as a precondition </w:t>
      </w:r>
      <w:r w:rsidR="00DA70F7" w:rsidRPr="004B3A13">
        <w:rPr>
          <w:rFonts w:ascii="Arial" w:eastAsia="Arial" w:hAnsi="Arial" w:cs="Arial"/>
          <w:sz w:val="24"/>
          <w:szCs w:val="24"/>
          <w:lang w:val="en-US"/>
        </w:rPr>
        <w:t xml:space="preserve">to holding the </w:t>
      </w:r>
      <w:r w:rsidR="00A02E66" w:rsidRPr="004B3A13">
        <w:rPr>
          <w:rFonts w:ascii="Arial" w:eastAsia="Arial" w:hAnsi="Arial" w:cs="Arial"/>
          <w:sz w:val="24"/>
          <w:szCs w:val="24"/>
          <w:lang w:val="en-US"/>
        </w:rPr>
        <w:t xml:space="preserve">meeting </w:t>
      </w:r>
      <w:r w:rsidR="00DA70F7" w:rsidRPr="004B3A13">
        <w:rPr>
          <w:rFonts w:ascii="Arial" w:eastAsia="Arial" w:hAnsi="Arial" w:cs="Arial"/>
          <w:sz w:val="24"/>
          <w:szCs w:val="24"/>
          <w:lang w:val="en-US"/>
        </w:rPr>
        <w:t xml:space="preserve">contemplated </w:t>
      </w:r>
      <w:r w:rsidR="00A02E66" w:rsidRPr="004B3A13">
        <w:rPr>
          <w:rFonts w:ascii="Arial" w:eastAsia="Arial" w:hAnsi="Arial" w:cs="Arial"/>
          <w:sz w:val="24"/>
          <w:szCs w:val="24"/>
          <w:lang w:val="en-US"/>
        </w:rPr>
        <w:t xml:space="preserve">under rule 11(10), </w:t>
      </w:r>
      <w:r w:rsidR="00AF1F67" w:rsidRPr="004B3A13">
        <w:rPr>
          <w:rFonts w:ascii="Arial" w:eastAsia="Arial" w:hAnsi="Arial" w:cs="Arial"/>
          <w:sz w:val="24"/>
          <w:szCs w:val="24"/>
          <w:lang w:val="en-US"/>
        </w:rPr>
        <w:t xml:space="preserve">was </w:t>
      </w:r>
      <w:r w:rsidR="00822D56" w:rsidRPr="004B3A13">
        <w:rPr>
          <w:rFonts w:ascii="Arial" w:eastAsia="Arial" w:hAnsi="Arial" w:cs="Arial"/>
          <w:sz w:val="24"/>
          <w:szCs w:val="24"/>
          <w:lang w:val="en-US"/>
        </w:rPr>
        <w:t xml:space="preserve">also </w:t>
      </w:r>
      <w:r w:rsidR="00AF1F67" w:rsidRPr="004B3A13">
        <w:rPr>
          <w:rFonts w:ascii="Arial" w:eastAsia="Arial" w:hAnsi="Arial" w:cs="Arial"/>
          <w:sz w:val="24"/>
          <w:szCs w:val="24"/>
          <w:lang w:val="en-US"/>
        </w:rPr>
        <w:t xml:space="preserve">misplaced and </w:t>
      </w:r>
      <w:r w:rsidR="00A02E66" w:rsidRPr="004B3A13">
        <w:rPr>
          <w:rFonts w:ascii="Arial" w:eastAsia="Arial" w:hAnsi="Arial" w:cs="Arial"/>
          <w:sz w:val="24"/>
          <w:szCs w:val="24"/>
          <w:lang w:val="en-US"/>
        </w:rPr>
        <w:t xml:space="preserve">contributed </w:t>
      </w:r>
      <w:r w:rsidR="00AF1F67" w:rsidRPr="004B3A13">
        <w:rPr>
          <w:rFonts w:ascii="Arial" w:eastAsia="Arial" w:hAnsi="Arial" w:cs="Arial"/>
          <w:sz w:val="24"/>
          <w:szCs w:val="24"/>
          <w:lang w:val="en-US"/>
        </w:rPr>
        <w:t xml:space="preserve">to avoidable delays. </w:t>
      </w:r>
      <w:r w:rsidR="00DA70F7" w:rsidRPr="004B3A13">
        <w:rPr>
          <w:rFonts w:ascii="Arial" w:eastAsia="Arial" w:hAnsi="Arial" w:cs="Arial"/>
          <w:sz w:val="24"/>
          <w:szCs w:val="24"/>
          <w:lang w:val="en-US"/>
        </w:rPr>
        <w:t>As the legal practitioner had participated in the trial, the</w:t>
      </w:r>
      <w:r w:rsidR="007A2DAD" w:rsidRPr="004B3A13">
        <w:rPr>
          <w:rFonts w:ascii="Arial" w:eastAsia="Arial" w:hAnsi="Arial" w:cs="Arial"/>
          <w:sz w:val="24"/>
          <w:szCs w:val="24"/>
          <w:lang w:val="en-US"/>
        </w:rPr>
        <w:t>y were un</w:t>
      </w:r>
      <w:r w:rsidR="00DA70F7" w:rsidRPr="004B3A13">
        <w:rPr>
          <w:rFonts w:ascii="Arial" w:eastAsia="Arial" w:hAnsi="Arial" w:cs="Arial"/>
          <w:sz w:val="24"/>
          <w:szCs w:val="24"/>
          <w:lang w:val="en-US"/>
        </w:rPr>
        <w:t>doubt</w:t>
      </w:r>
      <w:r w:rsidR="007A2DAD" w:rsidRPr="004B3A13">
        <w:rPr>
          <w:rFonts w:ascii="Arial" w:eastAsia="Arial" w:hAnsi="Arial" w:cs="Arial"/>
          <w:sz w:val="24"/>
          <w:szCs w:val="24"/>
          <w:lang w:val="en-US"/>
        </w:rPr>
        <w:t>edly</w:t>
      </w:r>
      <w:r w:rsidR="00DA70F7" w:rsidRPr="004B3A13">
        <w:rPr>
          <w:rFonts w:ascii="Arial" w:eastAsia="Arial" w:hAnsi="Arial" w:cs="Arial"/>
          <w:sz w:val="24"/>
          <w:szCs w:val="24"/>
          <w:lang w:val="en-US"/>
        </w:rPr>
        <w:t xml:space="preserve"> aware of the content of the discovery bundle. </w:t>
      </w:r>
      <w:r w:rsidR="00A02E66" w:rsidRPr="004B3A13">
        <w:rPr>
          <w:rFonts w:ascii="Arial" w:eastAsia="Arial" w:hAnsi="Arial" w:cs="Arial"/>
          <w:sz w:val="24"/>
          <w:szCs w:val="24"/>
          <w:lang w:val="en-US"/>
        </w:rPr>
        <w:t>Th</w:t>
      </w:r>
      <w:r w:rsidR="007A2DAD" w:rsidRPr="004B3A13">
        <w:rPr>
          <w:rFonts w:ascii="Arial" w:eastAsia="Arial" w:hAnsi="Arial" w:cs="Arial"/>
          <w:sz w:val="24"/>
          <w:szCs w:val="24"/>
          <w:lang w:val="en-US"/>
        </w:rPr>
        <w:t>e</w:t>
      </w:r>
      <w:r w:rsidR="00A02E66" w:rsidRPr="004B3A13">
        <w:rPr>
          <w:rFonts w:ascii="Arial" w:eastAsia="Arial" w:hAnsi="Arial" w:cs="Arial"/>
          <w:sz w:val="24"/>
          <w:szCs w:val="24"/>
          <w:lang w:val="en-US"/>
        </w:rPr>
        <w:t xml:space="preserve"> </w:t>
      </w:r>
      <w:r w:rsidR="007A2DAD" w:rsidRPr="004B3A13">
        <w:rPr>
          <w:rFonts w:ascii="Arial" w:eastAsia="Arial" w:hAnsi="Arial" w:cs="Arial"/>
          <w:sz w:val="24"/>
          <w:szCs w:val="24"/>
          <w:lang w:val="en-US"/>
        </w:rPr>
        <w:t>insist</w:t>
      </w:r>
      <w:r w:rsidR="00C00F7E" w:rsidRPr="004B3A13">
        <w:rPr>
          <w:rFonts w:ascii="Arial" w:eastAsia="Arial" w:hAnsi="Arial" w:cs="Arial"/>
          <w:sz w:val="24"/>
          <w:szCs w:val="24"/>
          <w:lang w:val="en-US"/>
        </w:rPr>
        <w:t>ence</w:t>
      </w:r>
      <w:r w:rsidR="007A2DAD" w:rsidRPr="004B3A13">
        <w:rPr>
          <w:rFonts w:ascii="Arial" w:eastAsia="Arial" w:hAnsi="Arial" w:cs="Arial"/>
          <w:sz w:val="24"/>
          <w:szCs w:val="24"/>
          <w:lang w:val="en-US"/>
        </w:rPr>
        <w:t xml:space="preserve"> on being provided with </w:t>
      </w:r>
      <w:r w:rsidR="00C00F7E" w:rsidRPr="004B3A13">
        <w:rPr>
          <w:rFonts w:ascii="Arial" w:eastAsia="Arial" w:hAnsi="Arial" w:cs="Arial"/>
          <w:sz w:val="24"/>
          <w:szCs w:val="24"/>
          <w:lang w:val="en-US"/>
        </w:rPr>
        <w:t>documents</w:t>
      </w:r>
      <w:r w:rsidR="007A2DAD" w:rsidRPr="004B3A13">
        <w:rPr>
          <w:rFonts w:ascii="Arial" w:eastAsia="Arial" w:hAnsi="Arial" w:cs="Arial"/>
          <w:sz w:val="24"/>
          <w:szCs w:val="24"/>
          <w:lang w:val="en-US"/>
        </w:rPr>
        <w:t xml:space="preserve"> one already ha</w:t>
      </w:r>
      <w:r w:rsidR="00C00F7E" w:rsidRPr="004B3A13">
        <w:rPr>
          <w:rFonts w:ascii="Arial" w:eastAsia="Arial" w:hAnsi="Arial" w:cs="Arial"/>
          <w:sz w:val="24"/>
          <w:szCs w:val="24"/>
          <w:lang w:val="en-US"/>
        </w:rPr>
        <w:t>s</w:t>
      </w:r>
      <w:r w:rsidR="007A2DAD" w:rsidRPr="004B3A13">
        <w:rPr>
          <w:rFonts w:ascii="Arial" w:eastAsia="Arial" w:hAnsi="Arial" w:cs="Arial"/>
          <w:sz w:val="24"/>
          <w:szCs w:val="24"/>
          <w:lang w:val="en-US"/>
        </w:rPr>
        <w:t xml:space="preserve"> </w:t>
      </w:r>
      <w:r w:rsidR="00C00F7E" w:rsidRPr="004B3A13">
        <w:rPr>
          <w:rFonts w:ascii="Arial" w:eastAsia="Arial" w:hAnsi="Arial" w:cs="Arial"/>
          <w:sz w:val="24"/>
          <w:szCs w:val="24"/>
          <w:lang w:val="en-US"/>
        </w:rPr>
        <w:t xml:space="preserve">in their possession is </w:t>
      </w:r>
      <w:r w:rsidR="007A2DAD" w:rsidRPr="004B3A13">
        <w:rPr>
          <w:rFonts w:ascii="Arial" w:eastAsia="Arial" w:hAnsi="Arial" w:cs="Arial"/>
          <w:sz w:val="24"/>
          <w:szCs w:val="24"/>
          <w:lang w:val="en-US"/>
        </w:rPr>
        <w:t>un</w:t>
      </w:r>
      <w:r w:rsidR="00A02E66" w:rsidRPr="004B3A13">
        <w:rPr>
          <w:rFonts w:ascii="Arial" w:eastAsia="Arial" w:hAnsi="Arial" w:cs="Arial"/>
          <w:sz w:val="24"/>
          <w:szCs w:val="24"/>
          <w:lang w:val="en-US"/>
        </w:rPr>
        <w:t>helpful</w:t>
      </w:r>
      <w:r w:rsidR="007A2DAD" w:rsidRPr="004B3A13">
        <w:rPr>
          <w:rFonts w:ascii="Arial" w:eastAsia="Arial" w:hAnsi="Arial" w:cs="Arial"/>
          <w:sz w:val="24"/>
          <w:szCs w:val="24"/>
          <w:lang w:val="en-US"/>
        </w:rPr>
        <w:t xml:space="preserve"> as it ha</w:t>
      </w:r>
      <w:r w:rsidR="009D6F37" w:rsidRPr="004B3A13">
        <w:rPr>
          <w:rFonts w:ascii="Arial" w:eastAsia="Arial" w:hAnsi="Arial" w:cs="Arial"/>
          <w:sz w:val="24"/>
          <w:szCs w:val="24"/>
          <w:lang w:val="en-US"/>
        </w:rPr>
        <w:t>s</w:t>
      </w:r>
      <w:r w:rsidR="007A2DAD" w:rsidRPr="004B3A13">
        <w:rPr>
          <w:rFonts w:ascii="Arial" w:eastAsia="Arial" w:hAnsi="Arial" w:cs="Arial"/>
          <w:sz w:val="24"/>
          <w:szCs w:val="24"/>
          <w:lang w:val="en-US"/>
        </w:rPr>
        <w:t xml:space="preserve"> the effect</w:t>
      </w:r>
      <w:r w:rsidR="00C00F7E" w:rsidRPr="004B3A13">
        <w:rPr>
          <w:rFonts w:ascii="Arial" w:eastAsia="Arial" w:hAnsi="Arial" w:cs="Arial"/>
          <w:sz w:val="24"/>
          <w:szCs w:val="24"/>
          <w:lang w:val="en-US"/>
        </w:rPr>
        <w:t xml:space="preserve"> of further delaying the filing of the record</w:t>
      </w:r>
      <w:r w:rsidR="00DA70F7" w:rsidRPr="004B3A13">
        <w:rPr>
          <w:rFonts w:ascii="Arial" w:eastAsia="Arial" w:hAnsi="Arial" w:cs="Arial"/>
          <w:sz w:val="24"/>
          <w:szCs w:val="24"/>
          <w:lang w:val="en-US"/>
        </w:rPr>
        <w:t xml:space="preserve">. The legal practitioner was under an obligation to cooperate with the appellant’s legal practitioner to ensure that a meeting was held </w:t>
      </w:r>
      <w:r w:rsidR="00C00F7E" w:rsidRPr="004B3A13">
        <w:rPr>
          <w:rFonts w:ascii="Arial" w:eastAsia="Arial" w:hAnsi="Arial" w:cs="Arial"/>
          <w:sz w:val="24"/>
          <w:szCs w:val="24"/>
          <w:lang w:val="en-US"/>
        </w:rPr>
        <w:t xml:space="preserve">timeously </w:t>
      </w:r>
      <w:r w:rsidR="00DA70F7" w:rsidRPr="004B3A13">
        <w:rPr>
          <w:rFonts w:ascii="Arial" w:eastAsia="Arial" w:hAnsi="Arial" w:cs="Arial"/>
          <w:sz w:val="24"/>
          <w:szCs w:val="24"/>
          <w:lang w:val="en-US"/>
        </w:rPr>
        <w:t xml:space="preserve">to agree on the </w:t>
      </w:r>
      <w:r w:rsidR="007870D1" w:rsidRPr="004B3A13">
        <w:rPr>
          <w:rFonts w:ascii="Arial" w:eastAsia="Arial" w:hAnsi="Arial" w:cs="Arial"/>
          <w:sz w:val="24"/>
          <w:szCs w:val="24"/>
          <w:lang w:val="en-US"/>
        </w:rPr>
        <w:t xml:space="preserve">proper </w:t>
      </w:r>
      <w:r w:rsidR="00DA70F7" w:rsidRPr="004B3A13">
        <w:rPr>
          <w:rFonts w:ascii="Arial" w:eastAsia="Arial" w:hAnsi="Arial" w:cs="Arial"/>
          <w:sz w:val="24"/>
          <w:szCs w:val="24"/>
          <w:lang w:val="en-US"/>
        </w:rPr>
        <w:t>content of the record. A</w:t>
      </w:r>
      <w:r w:rsidR="00A02E66" w:rsidRPr="004B3A13">
        <w:rPr>
          <w:rFonts w:ascii="Arial" w:eastAsia="Arial" w:hAnsi="Arial" w:cs="Arial"/>
          <w:sz w:val="24"/>
          <w:szCs w:val="24"/>
          <w:lang w:val="en-US"/>
        </w:rPr>
        <w:t xml:space="preserve">n appropriate </w:t>
      </w:r>
      <w:r w:rsidR="007870D1" w:rsidRPr="004B3A13">
        <w:rPr>
          <w:rFonts w:ascii="Arial" w:eastAsia="Arial" w:hAnsi="Arial" w:cs="Arial"/>
          <w:sz w:val="24"/>
          <w:szCs w:val="24"/>
          <w:lang w:val="en-US"/>
        </w:rPr>
        <w:t xml:space="preserve">costs </w:t>
      </w:r>
      <w:r w:rsidR="00A02E66" w:rsidRPr="004B3A13">
        <w:rPr>
          <w:rFonts w:ascii="Arial" w:eastAsia="Arial" w:hAnsi="Arial" w:cs="Arial"/>
          <w:sz w:val="24"/>
          <w:szCs w:val="24"/>
          <w:lang w:val="en-US"/>
        </w:rPr>
        <w:t>order should be made to mark the court’s displeasure</w:t>
      </w:r>
      <w:r w:rsidR="003309F6" w:rsidRPr="004B3A13">
        <w:rPr>
          <w:rFonts w:ascii="Arial" w:eastAsia="Arial" w:hAnsi="Arial" w:cs="Arial"/>
          <w:sz w:val="24"/>
          <w:szCs w:val="24"/>
          <w:lang w:val="en-US"/>
        </w:rPr>
        <w:t xml:space="preserve"> </w:t>
      </w:r>
      <w:r w:rsidR="009D6F37" w:rsidRPr="004B3A13">
        <w:rPr>
          <w:rFonts w:ascii="Arial" w:eastAsia="Arial" w:hAnsi="Arial" w:cs="Arial"/>
          <w:sz w:val="24"/>
          <w:szCs w:val="24"/>
          <w:lang w:val="en-US"/>
        </w:rPr>
        <w:t xml:space="preserve">with </w:t>
      </w:r>
      <w:r w:rsidR="003309F6" w:rsidRPr="004B3A13">
        <w:rPr>
          <w:rFonts w:ascii="Arial" w:eastAsia="Arial" w:hAnsi="Arial" w:cs="Arial"/>
          <w:sz w:val="24"/>
          <w:szCs w:val="24"/>
          <w:lang w:val="en-US"/>
        </w:rPr>
        <w:t>th</w:t>
      </w:r>
      <w:r w:rsidR="007870D1" w:rsidRPr="004B3A13">
        <w:rPr>
          <w:rFonts w:ascii="Arial" w:eastAsia="Arial" w:hAnsi="Arial" w:cs="Arial"/>
          <w:sz w:val="24"/>
          <w:szCs w:val="24"/>
          <w:lang w:val="en-US"/>
        </w:rPr>
        <w:t>is</w:t>
      </w:r>
      <w:r w:rsidR="003309F6" w:rsidRPr="004B3A13">
        <w:rPr>
          <w:rFonts w:ascii="Arial" w:eastAsia="Arial" w:hAnsi="Arial" w:cs="Arial"/>
          <w:sz w:val="24"/>
          <w:szCs w:val="24"/>
          <w:lang w:val="en-US"/>
        </w:rPr>
        <w:t xml:space="preserve"> conduct that does not conduce to the letter and spirit of the relevant rule</w:t>
      </w:r>
      <w:r w:rsidR="00A02E66" w:rsidRPr="004B3A13">
        <w:rPr>
          <w:rFonts w:ascii="Arial" w:eastAsia="Arial" w:hAnsi="Arial" w:cs="Arial"/>
          <w:sz w:val="24"/>
          <w:szCs w:val="24"/>
          <w:lang w:val="en-US"/>
        </w:rPr>
        <w:t>.</w:t>
      </w:r>
    </w:p>
    <w:p w14:paraId="7C416C57" w14:textId="77777777" w:rsidR="000B7DD2" w:rsidRPr="004B3A13" w:rsidRDefault="000B7DD2" w:rsidP="000C0408">
      <w:pPr>
        <w:pStyle w:val="Body"/>
        <w:spacing w:after="0" w:line="480" w:lineRule="auto"/>
        <w:ind w:left="0"/>
        <w:jc w:val="both"/>
        <w:rPr>
          <w:rFonts w:ascii="Arial" w:eastAsia="Arial" w:hAnsi="Arial" w:cs="Arial"/>
          <w:sz w:val="24"/>
          <w:szCs w:val="24"/>
          <w:lang w:val="en-US"/>
        </w:rPr>
      </w:pPr>
    </w:p>
    <w:p w14:paraId="6567326A" w14:textId="0FFD1136" w:rsidR="00DA22FA" w:rsidRPr="004B3A13" w:rsidRDefault="00E313E6" w:rsidP="000C0408">
      <w:pPr>
        <w:spacing w:line="480" w:lineRule="auto"/>
        <w:ind w:left="0"/>
        <w:jc w:val="both"/>
        <w:rPr>
          <w:rFonts w:ascii="Arial" w:hAnsi="Arial" w:cs="Arial"/>
          <w:i/>
        </w:rPr>
      </w:pPr>
      <w:r w:rsidRPr="004B3A13">
        <w:rPr>
          <w:rFonts w:ascii="Arial" w:hAnsi="Arial" w:cs="Arial"/>
          <w:i/>
        </w:rPr>
        <w:t xml:space="preserve">Applicable </w:t>
      </w:r>
      <w:r w:rsidR="00C00F7E" w:rsidRPr="004B3A13">
        <w:rPr>
          <w:rFonts w:ascii="Arial" w:hAnsi="Arial" w:cs="Arial"/>
          <w:i/>
        </w:rPr>
        <w:t>l</w:t>
      </w:r>
      <w:r w:rsidRPr="004B3A13">
        <w:rPr>
          <w:rFonts w:ascii="Arial" w:hAnsi="Arial" w:cs="Arial"/>
          <w:i/>
        </w:rPr>
        <w:t xml:space="preserve">egal </w:t>
      </w:r>
      <w:r w:rsidR="00C00F7E" w:rsidRPr="004B3A13">
        <w:rPr>
          <w:rFonts w:ascii="Arial" w:hAnsi="Arial" w:cs="Arial"/>
          <w:i/>
        </w:rPr>
        <w:t>p</w:t>
      </w:r>
      <w:r w:rsidRPr="004B3A13">
        <w:rPr>
          <w:rFonts w:ascii="Arial" w:hAnsi="Arial" w:cs="Arial"/>
          <w:i/>
        </w:rPr>
        <w:t xml:space="preserve">rinciples and </w:t>
      </w:r>
      <w:r w:rsidR="00C00F7E" w:rsidRPr="004B3A13">
        <w:rPr>
          <w:rFonts w:ascii="Arial" w:hAnsi="Arial" w:cs="Arial"/>
          <w:i/>
        </w:rPr>
        <w:t>c</w:t>
      </w:r>
      <w:r w:rsidR="00DA22FA" w:rsidRPr="004B3A13">
        <w:rPr>
          <w:rFonts w:ascii="Arial" w:hAnsi="Arial" w:cs="Arial"/>
          <w:i/>
        </w:rPr>
        <w:t xml:space="preserve">onsideration of </w:t>
      </w:r>
      <w:r w:rsidR="00C00F7E" w:rsidRPr="004B3A13">
        <w:rPr>
          <w:rFonts w:ascii="Arial" w:hAnsi="Arial" w:cs="Arial"/>
          <w:i/>
        </w:rPr>
        <w:t>e</w:t>
      </w:r>
      <w:r w:rsidR="00DA22FA" w:rsidRPr="004B3A13">
        <w:rPr>
          <w:rFonts w:ascii="Arial" w:hAnsi="Arial" w:cs="Arial"/>
          <w:i/>
        </w:rPr>
        <w:t>xplanation</w:t>
      </w:r>
      <w:r w:rsidR="000B7DD2" w:rsidRPr="004B3A13">
        <w:rPr>
          <w:rFonts w:ascii="Arial" w:hAnsi="Arial" w:cs="Arial"/>
          <w:i/>
        </w:rPr>
        <w:t xml:space="preserve"> for </w:t>
      </w:r>
      <w:r w:rsidR="00C00F7E" w:rsidRPr="004B3A13">
        <w:rPr>
          <w:rFonts w:ascii="Arial" w:hAnsi="Arial" w:cs="Arial"/>
          <w:i/>
        </w:rPr>
        <w:t>d</w:t>
      </w:r>
      <w:r w:rsidR="000B7DD2" w:rsidRPr="004B3A13">
        <w:rPr>
          <w:rFonts w:ascii="Arial" w:hAnsi="Arial" w:cs="Arial"/>
          <w:i/>
        </w:rPr>
        <w:t>elay</w:t>
      </w:r>
    </w:p>
    <w:p w14:paraId="6358700F" w14:textId="72A11367" w:rsidR="000B7DD2" w:rsidRPr="00E822E3" w:rsidRDefault="00E822E3" w:rsidP="00E822E3">
      <w:pPr>
        <w:spacing w:line="480" w:lineRule="auto"/>
        <w:ind w:left="0"/>
        <w:jc w:val="both"/>
        <w:rPr>
          <w:rFonts w:ascii="Arial" w:hAnsi="Arial" w:cs="Arial"/>
          <w:lang w:val="en-US"/>
        </w:rPr>
      </w:pPr>
      <w:r w:rsidRPr="004B3A13">
        <w:rPr>
          <w:rFonts w:ascii="Arial" w:hAnsi="Arial" w:cs="Arial"/>
          <w:lang w:val="en-US"/>
        </w:rPr>
        <w:t>[19]</w:t>
      </w:r>
      <w:r w:rsidRPr="004B3A13">
        <w:rPr>
          <w:rFonts w:ascii="Arial" w:hAnsi="Arial" w:cs="Arial"/>
          <w:lang w:val="en-US"/>
        </w:rPr>
        <w:tab/>
      </w:r>
      <w:r w:rsidR="00DA22FA" w:rsidRPr="00E822E3">
        <w:rPr>
          <w:rFonts w:ascii="Arial" w:hAnsi="Arial" w:cs="Arial"/>
          <w:lang w:val="en-US"/>
        </w:rPr>
        <w:t xml:space="preserve">The appellant explained that </w:t>
      </w:r>
      <w:r w:rsidR="00CF32F8" w:rsidRPr="00E822E3">
        <w:rPr>
          <w:rFonts w:ascii="Arial" w:hAnsi="Arial" w:cs="Arial"/>
          <w:lang w:val="en-US"/>
        </w:rPr>
        <w:t xml:space="preserve">his </w:t>
      </w:r>
      <w:r w:rsidR="00DA22FA" w:rsidRPr="00E822E3">
        <w:rPr>
          <w:rFonts w:ascii="Arial" w:hAnsi="Arial" w:cs="Arial"/>
          <w:lang w:val="en-US"/>
        </w:rPr>
        <w:t xml:space="preserve">non-compliance with </w:t>
      </w:r>
      <w:r w:rsidR="00833025" w:rsidRPr="00E822E3">
        <w:rPr>
          <w:rFonts w:ascii="Arial" w:hAnsi="Arial" w:cs="Arial"/>
          <w:lang w:val="en-US"/>
        </w:rPr>
        <w:t>r</w:t>
      </w:r>
      <w:r w:rsidR="00DA22FA" w:rsidRPr="00E822E3">
        <w:rPr>
          <w:rFonts w:ascii="Arial" w:hAnsi="Arial" w:cs="Arial"/>
          <w:lang w:val="en-US"/>
        </w:rPr>
        <w:t xml:space="preserve">ule 8(2)(b) of the Court Rules </w:t>
      </w:r>
      <w:r w:rsidR="003309F6" w:rsidRPr="00E822E3">
        <w:rPr>
          <w:rFonts w:ascii="Arial" w:hAnsi="Arial" w:cs="Arial"/>
          <w:lang w:val="en-US"/>
        </w:rPr>
        <w:t xml:space="preserve">was not due </w:t>
      </w:r>
      <w:r w:rsidR="00DA22FA" w:rsidRPr="00E822E3">
        <w:rPr>
          <w:rFonts w:ascii="Arial" w:hAnsi="Arial" w:cs="Arial"/>
          <w:lang w:val="en-US"/>
        </w:rPr>
        <w:t>to fault</w:t>
      </w:r>
      <w:r w:rsidR="003309F6" w:rsidRPr="00E822E3">
        <w:rPr>
          <w:rFonts w:ascii="Arial" w:hAnsi="Arial" w:cs="Arial"/>
          <w:lang w:val="en-US"/>
        </w:rPr>
        <w:t xml:space="preserve"> on </w:t>
      </w:r>
      <w:r w:rsidR="00CF32F8" w:rsidRPr="00E822E3">
        <w:rPr>
          <w:rFonts w:ascii="Arial" w:hAnsi="Arial" w:cs="Arial"/>
          <w:lang w:val="en-US"/>
        </w:rPr>
        <w:t>his</w:t>
      </w:r>
      <w:r w:rsidR="003309F6" w:rsidRPr="00E822E3">
        <w:rPr>
          <w:rFonts w:ascii="Arial" w:hAnsi="Arial" w:cs="Arial"/>
          <w:lang w:val="en-US"/>
        </w:rPr>
        <w:t xml:space="preserve"> part</w:t>
      </w:r>
      <w:r w:rsidR="00DA22FA" w:rsidRPr="00E822E3">
        <w:rPr>
          <w:rFonts w:ascii="Arial" w:hAnsi="Arial" w:cs="Arial"/>
          <w:lang w:val="en-US"/>
        </w:rPr>
        <w:t xml:space="preserve">. </w:t>
      </w:r>
      <w:r w:rsidR="003309F6" w:rsidRPr="00E822E3">
        <w:rPr>
          <w:rFonts w:ascii="Arial" w:hAnsi="Arial" w:cs="Arial"/>
          <w:lang w:val="en-US"/>
        </w:rPr>
        <w:t>It was explained further that e</w:t>
      </w:r>
      <w:r w:rsidR="00DA22FA" w:rsidRPr="00E822E3">
        <w:rPr>
          <w:rFonts w:ascii="Arial" w:hAnsi="Arial" w:cs="Arial"/>
          <w:lang w:val="en-US"/>
        </w:rPr>
        <w:t xml:space="preserve">fforts to comply with the </w:t>
      </w:r>
      <w:r w:rsidR="00833025" w:rsidRPr="00E822E3">
        <w:rPr>
          <w:rFonts w:ascii="Arial" w:hAnsi="Arial" w:cs="Arial"/>
          <w:lang w:val="en-US"/>
        </w:rPr>
        <w:t>r</w:t>
      </w:r>
      <w:r w:rsidR="00A60334" w:rsidRPr="00E822E3">
        <w:rPr>
          <w:rFonts w:ascii="Arial" w:hAnsi="Arial" w:cs="Arial"/>
          <w:lang w:val="en-US"/>
        </w:rPr>
        <w:t>ule</w:t>
      </w:r>
      <w:r w:rsidR="003309F6" w:rsidRPr="00E822E3">
        <w:rPr>
          <w:rFonts w:ascii="Arial" w:hAnsi="Arial" w:cs="Arial"/>
          <w:lang w:val="en-US"/>
        </w:rPr>
        <w:t xml:space="preserve"> were made</w:t>
      </w:r>
      <w:r w:rsidR="00A60334" w:rsidRPr="00E822E3">
        <w:rPr>
          <w:rFonts w:ascii="Arial" w:hAnsi="Arial" w:cs="Arial"/>
          <w:lang w:val="en-US"/>
        </w:rPr>
        <w:t>,</w:t>
      </w:r>
      <w:r w:rsidR="00DA22FA" w:rsidRPr="00E822E3">
        <w:rPr>
          <w:rFonts w:ascii="Arial" w:hAnsi="Arial" w:cs="Arial"/>
          <w:lang w:val="en-US"/>
        </w:rPr>
        <w:t xml:space="preserve"> but the delay was caused by the late transcription of the record by Tunga Holdings</w:t>
      </w:r>
      <w:r w:rsidR="00833025" w:rsidRPr="00E822E3">
        <w:rPr>
          <w:rFonts w:ascii="Arial" w:hAnsi="Arial" w:cs="Arial"/>
          <w:lang w:val="en-US"/>
        </w:rPr>
        <w:t>, a</w:t>
      </w:r>
      <w:r w:rsidR="00E22E32" w:rsidRPr="00E822E3">
        <w:rPr>
          <w:rFonts w:ascii="Arial" w:hAnsi="Arial" w:cs="Arial"/>
          <w:lang w:val="en-US"/>
        </w:rPr>
        <w:t>n entity contracted to transcribe</w:t>
      </w:r>
      <w:r w:rsidR="00833025" w:rsidRPr="00E822E3">
        <w:rPr>
          <w:rFonts w:ascii="Arial" w:hAnsi="Arial" w:cs="Arial"/>
          <w:lang w:val="en-US"/>
        </w:rPr>
        <w:t xml:space="preserve"> court records</w:t>
      </w:r>
      <w:r w:rsidR="00DA22FA" w:rsidRPr="00E822E3">
        <w:rPr>
          <w:rFonts w:ascii="Arial" w:hAnsi="Arial" w:cs="Arial"/>
          <w:lang w:val="en-US"/>
        </w:rPr>
        <w:t xml:space="preserve">. </w:t>
      </w:r>
      <w:r w:rsidR="00833025" w:rsidRPr="00E822E3">
        <w:rPr>
          <w:rFonts w:ascii="Arial" w:hAnsi="Arial" w:cs="Arial"/>
          <w:lang w:val="en-US"/>
        </w:rPr>
        <w:t>The a</w:t>
      </w:r>
      <w:r w:rsidR="00DA22FA" w:rsidRPr="00E822E3">
        <w:rPr>
          <w:rFonts w:ascii="Arial" w:hAnsi="Arial" w:cs="Arial"/>
          <w:lang w:val="en-US"/>
        </w:rPr>
        <w:t>ppellant contend</w:t>
      </w:r>
      <w:r w:rsidR="000B7DD2" w:rsidRPr="00E822E3">
        <w:rPr>
          <w:rFonts w:ascii="Arial" w:hAnsi="Arial" w:cs="Arial"/>
          <w:lang w:val="en-US"/>
        </w:rPr>
        <w:t>ed</w:t>
      </w:r>
      <w:r w:rsidR="00D90B71" w:rsidRPr="00E822E3">
        <w:rPr>
          <w:rFonts w:ascii="Arial" w:hAnsi="Arial" w:cs="Arial"/>
          <w:lang w:val="en-US"/>
        </w:rPr>
        <w:t xml:space="preserve"> that the delay of eight</w:t>
      </w:r>
      <w:r w:rsidR="00DA22FA" w:rsidRPr="00E822E3">
        <w:rPr>
          <w:rFonts w:ascii="Arial" w:hAnsi="Arial" w:cs="Arial"/>
          <w:lang w:val="en-US"/>
        </w:rPr>
        <w:t xml:space="preserve"> days was a result of </w:t>
      </w:r>
      <w:r w:rsidR="00DA22FA" w:rsidRPr="00E822E3">
        <w:rPr>
          <w:rFonts w:ascii="Arial" w:hAnsi="Arial" w:cs="Arial"/>
          <w:iCs/>
          <w:lang w:val="en-US"/>
        </w:rPr>
        <w:t>bona fide</w:t>
      </w:r>
      <w:r w:rsidR="00DA22FA" w:rsidRPr="00E822E3">
        <w:rPr>
          <w:rFonts w:ascii="Arial" w:hAnsi="Arial" w:cs="Arial"/>
          <w:lang w:val="en-US"/>
        </w:rPr>
        <w:t xml:space="preserve"> human error and not willful default.</w:t>
      </w:r>
    </w:p>
    <w:p w14:paraId="6F6AC261" w14:textId="77777777" w:rsidR="000B7DD2" w:rsidRPr="004B3A13" w:rsidRDefault="000B7DD2" w:rsidP="000C0408">
      <w:pPr>
        <w:pStyle w:val="ListParagraph"/>
        <w:spacing w:line="480" w:lineRule="auto"/>
        <w:ind w:left="0"/>
        <w:jc w:val="both"/>
        <w:rPr>
          <w:rFonts w:ascii="Arial" w:hAnsi="Arial" w:cs="Arial"/>
          <w:lang w:val="en-US"/>
        </w:rPr>
      </w:pPr>
    </w:p>
    <w:p w14:paraId="196CF95F" w14:textId="3D3E9BA1" w:rsidR="000B7DD2" w:rsidRPr="00E822E3" w:rsidRDefault="00E822E3" w:rsidP="00E822E3">
      <w:pPr>
        <w:spacing w:line="480" w:lineRule="auto"/>
        <w:ind w:left="0"/>
        <w:jc w:val="both"/>
        <w:rPr>
          <w:rFonts w:ascii="Arial" w:hAnsi="Arial" w:cs="Arial"/>
          <w:lang w:val="en-US"/>
        </w:rPr>
      </w:pPr>
      <w:r w:rsidRPr="004B3A13">
        <w:rPr>
          <w:rFonts w:ascii="Arial" w:hAnsi="Arial" w:cs="Arial"/>
          <w:lang w:val="en-US"/>
        </w:rPr>
        <w:t>[20]</w:t>
      </w:r>
      <w:r w:rsidRPr="004B3A13">
        <w:rPr>
          <w:rFonts w:ascii="Arial" w:hAnsi="Arial" w:cs="Arial"/>
          <w:lang w:val="en-US"/>
        </w:rPr>
        <w:tab/>
      </w:r>
      <w:r w:rsidR="00DA22FA" w:rsidRPr="00E822E3">
        <w:rPr>
          <w:rFonts w:ascii="Arial" w:hAnsi="Arial" w:cs="Arial"/>
          <w:lang w:val="en-US"/>
        </w:rPr>
        <w:t xml:space="preserve">By </w:t>
      </w:r>
      <w:r w:rsidR="00CF32F8" w:rsidRPr="00E822E3">
        <w:rPr>
          <w:rFonts w:ascii="Arial" w:hAnsi="Arial" w:cs="Arial"/>
          <w:lang w:val="en-US"/>
        </w:rPr>
        <w:t>his</w:t>
      </w:r>
      <w:r w:rsidR="00822D56" w:rsidRPr="00E822E3">
        <w:rPr>
          <w:rFonts w:ascii="Arial" w:hAnsi="Arial" w:cs="Arial"/>
          <w:lang w:val="en-US"/>
        </w:rPr>
        <w:t xml:space="preserve"> </w:t>
      </w:r>
      <w:r w:rsidR="00DA22FA" w:rsidRPr="00E822E3">
        <w:rPr>
          <w:rFonts w:ascii="Arial" w:hAnsi="Arial" w:cs="Arial"/>
          <w:lang w:val="en-US"/>
        </w:rPr>
        <w:t xml:space="preserve">own admission, </w:t>
      </w:r>
      <w:r w:rsidR="00833025" w:rsidRPr="00E822E3">
        <w:rPr>
          <w:rFonts w:ascii="Arial" w:hAnsi="Arial" w:cs="Arial"/>
          <w:lang w:val="en-US"/>
        </w:rPr>
        <w:t xml:space="preserve">the </w:t>
      </w:r>
      <w:r w:rsidR="00DA22FA" w:rsidRPr="00E822E3">
        <w:rPr>
          <w:rFonts w:ascii="Arial" w:hAnsi="Arial" w:cs="Arial"/>
          <w:lang w:val="en-US"/>
        </w:rPr>
        <w:t>appellant first approached Tunga Holdings to request a</w:t>
      </w:r>
      <w:r w:rsidR="00C3606B" w:rsidRPr="00E822E3">
        <w:rPr>
          <w:rFonts w:ascii="Arial" w:hAnsi="Arial" w:cs="Arial"/>
          <w:lang w:val="en-US"/>
        </w:rPr>
        <w:t xml:space="preserve"> copy of the record as late as </w:t>
      </w:r>
      <w:r w:rsidR="00DA22FA" w:rsidRPr="00E822E3">
        <w:rPr>
          <w:rFonts w:ascii="Arial" w:hAnsi="Arial" w:cs="Arial"/>
          <w:lang w:val="en-US"/>
        </w:rPr>
        <w:t xml:space="preserve">7 June 2022. The respondent contended that </w:t>
      </w:r>
      <w:r w:rsidR="00CF32F8" w:rsidRPr="00E822E3">
        <w:rPr>
          <w:rFonts w:ascii="Arial" w:hAnsi="Arial" w:cs="Arial"/>
          <w:lang w:val="en-US"/>
        </w:rPr>
        <w:t xml:space="preserve">this </w:t>
      </w:r>
      <w:r w:rsidR="00DA22FA" w:rsidRPr="00E822E3">
        <w:rPr>
          <w:rFonts w:ascii="Arial" w:hAnsi="Arial" w:cs="Arial"/>
          <w:lang w:val="en-US"/>
        </w:rPr>
        <w:t>should have</w:t>
      </w:r>
      <w:r w:rsidR="00CF32F8" w:rsidRPr="00E822E3">
        <w:rPr>
          <w:rFonts w:ascii="Arial" w:hAnsi="Arial" w:cs="Arial"/>
          <w:lang w:val="en-US"/>
        </w:rPr>
        <w:t xml:space="preserve"> been</w:t>
      </w:r>
      <w:r w:rsidR="00DA22FA" w:rsidRPr="00E822E3">
        <w:rPr>
          <w:rFonts w:ascii="Arial" w:hAnsi="Arial" w:cs="Arial"/>
          <w:lang w:val="en-US"/>
        </w:rPr>
        <w:t xml:space="preserve"> done as early as 20</w:t>
      </w:r>
      <w:r w:rsidR="00DA22FA" w:rsidRPr="00E822E3">
        <w:rPr>
          <w:rFonts w:ascii="Arial" w:hAnsi="Arial" w:cs="Arial"/>
          <w:vertAlign w:val="superscript"/>
          <w:lang w:val="en-US"/>
        </w:rPr>
        <w:t xml:space="preserve"> </w:t>
      </w:r>
      <w:r w:rsidR="00DA22FA" w:rsidRPr="00E822E3">
        <w:rPr>
          <w:rFonts w:ascii="Arial" w:hAnsi="Arial" w:cs="Arial"/>
          <w:lang w:val="en-US"/>
        </w:rPr>
        <w:t>April 2022.</w:t>
      </w:r>
    </w:p>
    <w:p w14:paraId="04A77DB8" w14:textId="77777777" w:rsidR="000B7DD2" w:rsidRPr="004B3A13" w:rsidRDefault="000B7DD2" w:rsidP="000C0408">
      <w:pPr>
        <w:spacing w:line="480" w:lineRule="auto"/>
        <w:ind w:left="0"/>
        <w:rPr>
          <w:rFonts w:ascii="Arial" w:hAnsi="Arial" w:cs="Arial"/>
          <w:lang w:val="en-US"/>
        </w:rPr>
      </w:pPr>
    </w:p>
    <w:p w14:paraId="690E2DB8" w14:textId="1135FB99" w:rsidR="00DA22FA" w:rsidRPr="00E822E3" w:rsidRDefault="00E822E3" w:rsidP="00E822E3">
      <w:pPr>
        <w:spacing w:line="480" w:lineRule="auto"/>
        <w:ind w:left="0"/>
        <w:jc w:val="both"/>
        <w:rPr>
          <w:rFonts w:ascii="Arial" w:hAnsi="Arial" w:cs="Arial"/>
          <w:lang w:val="en-US"/>
        </w:rPr>
      </w:pPr>
      <w:r w:rsidRPr="004B3A13">
        <w:rPr>
          <w:rFonts w:ascii="Arial" w:hAnsi="Arial" w:cs="Arial"/>
          <w:lang w:val="en-US"/>
        </w:rPr>
        <w:lastRenderedPageBreak/>
        <w:t>[21]</w:t>
      </w:r>
      <w:r w:rsidRPr="004B3A13">
        <w:rPr>
          <w:rFonts w:ascii="Arial" w:hAnsi="Arial" w:cs="Arial"/>
          <w:lang w:val="en-US"/>
        </w:rPr>
        <w:tab/>
      </w:r>
      <w:r w:rsidR="00822D56" w:rsidRPr="00E822E3">
        <w:rPr>
          <w:rFonts w:ascii="Arial" w:hAnsi="Arial" w:cs="Arial"/>
          <w:lang w:val="en-US"/>
        </w:rPr>
        <w:t>C</w:t>
      </w:r>
      <w:r w:rsidR="00DA22FA" w:rsidRPr="00E822E3">
        <w:rPr>
          <w:rFonts w:ascii="Arial" w:hAnsi="Arial" w:cs="Arial"/>
          <w:lang w:val="en-US"/>
        </w:rPr>
        <w:t xml:space="preserve">ondonation must be sought as soon as it becomes evident that </w:t>
      </w:r>
      <w:r w:rsidR="003309F6" w:rsidRPr="00E822E3">
        <w:rPr>
          <w:rFonts w:ascii="Arial" w:hAnsi="Arial" w:cs="Arial"/>
          <w:lang w:val="en-US"/>
        </w:rPr>
        <w:t xml:space="preserve">this </w:t>
      </w:r>
      <w:r w:rsidR="00DA22FA" w:rsidRPr="00E822E3">
        <w:rPr>
          <w:rFonts w:ascii="Arial" w:hAnsi="Arial" w:cs="Arial"/>
          <w:lang w:val="en-US"/>
        </w:rPr>
        <w:t>is required. This Court in</w:t>
      </w:r>
      <w:r w:rsidR="00DA22FA" w:rsidRPr="00E822E3">
        <w:rPr>
          <w:rFonts w:ascii="Arial" w:hAnsi="Arial" w:cs="Arial"/>
          <w:i/>
          <w:iCs/>
          <w:lang w:val="en-US"/>
        </w:rPr>
        <w:t xml:space="preserve"> Katjaimo</w:t>
      </w:r>
      <w:r w:rsidR="00E313E6" w:rsidRPr="004B3A13">
        <w:rPr>
          <w:rStyle w:val="FootnoteReference"/>
          <w:rFonts w:ascii="Arial" w:hAnsi="Arial" w:cs="Arial"/>
          <w:lang w:val="en-US"/>
        </w:rPr>
        <w:footnoteReference w:id="10"/>
      </w:r>
      <w:r w:rsidR="00DA22FA" w:rsidRPr="00E822E3">
        <w:rPr>
          <w:rFonts w:ascii="Arial" w:hAnsi="Arial" w:cs="Arial"/>
          <w:lang w:val="en-US"/>
        </w:rPr>
        <w:t xml:space="preserve"> cited with approval O</w:t>
      </w:r>
      <w:r w:rsidR="000B7DD2" w:rsidRPr="00E822E3">
        <w:rPr>
          <w:rFonts w:ascii="Arial" w:hAnsi="Arial" w:cs="Arial"/>
          <w:lang w:val="en-US"/>
        </w:rPr>
        <w:t>’</w:t>
      </w:r>
      <w:r w:rsidR="00DA22FA" w:rsidRPr="00E822E3">
        <w:rPr>
          <w:rFonts w:ascii="Arial" w:hAnsi="Arial" w:cs="Arial"/>
          <w:lang w:val="en-US"/>
        </w:rPr>
        <w:t xml:space="preserve">Regan AJA’s </w:t>
      </w:r>
      <w:r w:rsidR="00833025" w:rsidRPr="00E822E3">
        <w:rPr>
          <w:rFonts w:ascii="Arial" w:hAnsi="Arial" w:cs="Arial"/>
          <w:i/>
          <w:lang w:val="en-US"/>
        </w:rPr>
        <w:t>dicta</w:t>
      </w:r>
      <w:r w:rsidR="00DA22FA" w:rsidRPr="00E822E3">
        <w:rPr>
          <w:rFonts w:ascii="Arial" w:hAnsi="Arial" w:cs="Arial"/>
          <w:lang w:val="en-US"/>
        </w:rPr>
        <w:t xml:space="preserve"> in </w:t>
      </w:r>
      <w:r w:rsidR="00DA22FA" w:rsidRPr="00E822E3">
        <w:rPr>
          <w:rFonts w:ascii="Arial" w:hAnsi="Arial" w:cs="Arial"/>
          <w:i/>
          <w:iCs/>
          <w:lang w:val="en-US"/>
        </w:rPr>
        <w:t>Arangies t/a Auto Tech</w:t>
      </w:r>
      <w:r w:rsidR="00156175" w:rsidRPr="00E822E3">
        <w:rPr>
          <w:rFonts w:ascii="Arial" w:hAnsi="Arial" w:cs="Arial"/>
          <w:lang w:val="en-US"/>
        </w:rPr>
        <w:t>,</w:t>
      </w:r>
      <w:r w:rsidR="00E313E6" w:rsidRPr="004B3A13">
        <w:rPr>
          <w:rStyle w:val="FootnoteReference"/>
          <w:rFonts w:ascii="Arial" w:hAnsi="Arial" w:cs="Arial"/>
          <w:lang w:val="en-US"/>
        </w:rPr>
        <w:footnoteReference w:id="11"/>
      </w:r>
      <w:r w:rsidR="00DA22FA" w:rsidRPr="00E822E3">
        <w:rPr>
          <w:rFonts w:ascii="Arial" w:hAnsi="Arial" w:cs="Arial"/>
          <w:lang w:val="en-US"/>
        </w:rPr>
        <w:t xml:space="preserve"> affirming the approach to condonation as set out in </w:t>
      </w:r>
      <w:r w:rsidR="00DA22FA" w:rsidRPr="00E822E3">
        <w:rPr>
          <w:rFonts w:ascii="Arial" w:hAnsi="Arial" w:cs="Arial"/>
          <w:i/>
          <w:iCs/>
          <w:lang w:val="en-US"/>
        </w:rPr>
        <w:t xml:space="preserve">Beukes </w:t>
      </w:r>
      <w:r w:rsidR="00833025" w:rsidRPr="00E822E3">
        <w:rPr>
          <w:rFonts w:ascii="Arial" w:hAnsi="Arial" w:cs="Arial"/>
          <w:i/>
          <w:iCs/>
          <w:lang w:val="en-US"/>
        </w:rPr>
        <w:t>&amp; a</w:t>
      </w:r>
      <w:r w:rsidR="00DA22FA" w:rsidRPr="00E822E3">
        <w:rPr>
          <w:rFonts w:ascii="Arial" w:hAnsi="Arial" w:cs="Arial"/>
          <w:i/>
          <w:iCs/>
          <w:lang w:val="en-US"/>
        </w:rPr>
        <w:t>nother v South West Africa Building Society</w:t>
      </w:r>
      <w:r w:rsidR="00DA22FA" w:rsidRPr="00E822E3">
        <w:rPr>
          <w:rFonts w:ascii="Arial" w:hAnsi="Arial" w:cs="Arial"/>
          <w:lang w:val="en-US"/>
        </w:rPr>
        <w:t xml:space="preserve"> </w:t>
      </w:r>
      <w:r w:rsidR="00833025" w:rsidRPr="00E822E3">
        <w:rPr>
          <w:rFonts w:ascii="Arial" w:hAnsi="Arial" w:cs="Arial"/>
          <w:i/>
          <w:iCs/>
          <w:lang w:val="en-US"/>
        </w:rPr>
        <w:t>&amp;</w:t>
      </w:r>
      <w:r w:rsidR="00DA22FA" w:rsidRPr="00E822E3">
        <w:rPr>
          <w:rFonts w:ascii="Arial" w:hAnsi="Arial" w:cs="Arial"/>
          <w:i/>
          <w:iCs/>
          <w:lang w:val="en-US"/>
        </w:rPr>
        <w:t xml:space="preserve"> </w:t>
      </w:r>
      <w:r w:rsidR="00833025" w:rsidRPr="00E822E3">
        <w:rPr>
          <w:rFonts w:ascii="Arial" w:hAnsi="Arial" w:cs="Arial"/>
          <w:i/>
          <w:iCs/>
          <w:lang w:val="en-US"/>
        </w:rPr>
        <w:t>o</w:t>
      </w:r>
      <w:r w:rsidR="00DA22FA" w:rsidRPr="00E822E3">
        <w:rPr>
          <w:rFonts w:ascii="Arial" w:hAnsi="Arial" w:cs="Arial"/>
          <w:i/>
          <w:iCs/>
          <w:lang w:val="en-US"/>
        </w:rPr>
        <w:t>thers</w:t>
      </w:r>
      <w:r w:rsidR="00E313E6" w:rsidRPr="004B3A13">
        <w:rPr>
          <w:rStyle w:val="FootnoteReference"/>
          <w:rFonts w:ascii="Arial" w:hAnsi="Arial" w:cs="Arial"/>
          <w:lang w:val="en-US"/>
        </w:rPr>
        <w:footnoteReference w:id="12"/>
      </w:r>
      <w:r w:rsidR="00DA22FA" w:rsidRPr="00E822E3">
        <w:rPr>
          <w:rFonts w:ascii="Arial" w:hAnsi="Arial" w:cs="Arial"/>
          <w:lang w:val="en-US"/>
        </w:rPr>
        <w:t xml:space="preserve"> as follows:</w:t>
      </w:r>
    </w:p>
    <w:p w14:paraId="42C50681" w14:textId="77777777" w:rsidR="000444A0" w:rsidRPr="004B3A13" w:rsidRDefault="000444A0" w:rsidP="00966268">
      <w:pPr>
        <w:spacing w:line="360" w:lineRule="auto"/>
        <w:jc w:val="both"/>
        <w:rPr>
          <w:rFonts w:ascii="Arial" w:hAnsi="Arial" w:cs="Arial"/>
          <w:sz w:val="22"/>
          <w:szCs w:val="22"/>
          <w:lang w:val="en-US"/>
        </w:rPr>
      </w:pPr>
    </w:p>
    <w:p w14:paraId="5FFCEA2C" w14:textId="5BEFD7E6" w:rsidR="00DA22FA" w:rsidRPr="004B3A13" w:rsidRDefault="000B7DD2" w:rsidP="00966268">
      <w:pPr>
        <w:spacing w:line="360" w:lineRule="auto"/>
        <w:jc w:val="both"/>
        <w:rPr>
          <w:rFonts w:ascii="Arial" w:hAnsi="Arial" w:cs="Arial"/>
          <w:sz w:val="22"/>
          <w:szCs w:val="22"/>
          <w:lang w:val="en-US"/>
        </w:rPr>
      </w:pPr>
      <w:r w:rsidRPr="004B3A13">
        <w:rPr>
          <w:rFonts w:ascii="Arial" w:hAnsi="Arial" w:cs="Arial"/>
          <w:sz w:val="22"/>
          <w:szCs w:val="22"/>
          <w:lang w:val="en-US"/>
        </w:rPr>
        <w:t>‘</w:t>
      </w:r>
      <w:r w:rsidR="00DA22FA" w:rsidRPr="004B3A13">
        <w:rPr>
          <w:rFonts w:ascii="Arial" w:hAnsi="Arial" w:cs="Arial"/>
          <w:sz w:val="22"/>
          <w:szCs w:val="22"/>
          <w:lang w:val="en-US"/>
        </w:rPr>
        <w:t>The jurisprudence of both the Republic of Namibia and South Africa indicate</w:t>
      </w:r>
      <w:r w:rsidR="00833025" w:rsidRPr="004B3A13">
        <w:rPr>
          <w:rFonts w:ascii="Arial" w:hAnsi="Arial" w:cs="Arial"/>
          <w:sz w:val="22"/>
          <w:szCs w:val="22"/>
          <w:lang w:val="en-US"/>
        </w:rPr>
        <w:t>s</w:t>
      </w:r>
      <w:r w:rsidR="00DA22FA" w:rsidRPr="004B3A13">
        <w:rPr>
          <w:rFonts w:ascii="Arial" w:hAnsi="Arial" w:cs="Arial"/>
          <w:sz w:val="22"/>
          <w:szCs w:val="22"/>
          <w:lang w:val="en-US"/>
        </w:rPr>
        <w:t xml:space="preserve"> that </w:t>
      </w:r>
      <w:r w:rsidR="00DA22FA" w:rsidRPr="004B3A13">
        <w:rPr>
          <w:rFonts w:ascii="Arial" w:hAnsi="Arial" w:cs="Arial"/>
          <w:i/>
          <w:sz w:val="22"/>
          <w:szCs w:val="22"/>
          <w:lang w:val="en-US"/>
        </w:rPr>
        <w:t>a litigant is required to apply for condonation and to comply with the Rules as soon as he or she realises there has been a failure to comply</w:t>
      </w:r>
      <w:r w:rsidR="00DA22FA" w:rsidRPr="004B3A13">
        <w:rPr>
          <w:rFonts w:ascii="Arial" w:hAnsi="Arial" w:cs="Arial"/>
          <w:sz w:val="22"/>
          <w:szCs w:val="22"/>
          <w:lang w:val="en-US"/>
        </w:rPr>
        <w:t>.</w:t>
      </w:r>
      <w:r w:rsidRPr="004B3A13">
        <w:rPr>
          <w:rFonts w:ascii="Arial" w:hAnsi="Arial" w:cs="Arial"/>
          <w:sz w:val="22"/>
          <w:szCs w:val="22"/>
          <w:lang w:val="en-US"/>
        </w:rPr>
        <w:t>’</w:t>
      </w:r>
      <w:r w:rsidR="00156175" w:rsidRPr="004B3A13">
        <w:rPr>
          <w:rFonts w:ascii="Arial" w:hAnsi="Arial" w:cs="Arial"/>
          <w:sz w:val="22"/>
          <w:szCs w:val="22"/>
          <w:lang w:val="en-US"/>
        </w:rPr>
        <w:t xml:space="preserve"> (</w:t>
      </w:r>
      <w:r w:rsidR="00966268" w:rsidRPr="004B3A13">
        <w:rPr>
          <w:rFonts w:ascii="Arial" w:hAnsi="Arial" w:cs="Arial"/>
          <w:sz w:val="22"/>
          <w:szCs w:val="22"/>
          <w:lang w:val="en-US"/>
        </w:rPr>
        <w:t>Emphasis</w:t>
      </w:r>
      <w:r w:rsidR="00156175" w:rsidRPr="004B3A13">
        <w:rPr>
          <w:rFonts w:ascii="Arial" w:hAnsi="Arial" w:cs="Arial"/>
          <w:sz w:val="22"/>
          <w:szCs w:val="22"/>
          <w:lang w:val="en-US"/>
        </w:rPr>
        <w:t xml:space="preserve"> mine)</w:t>
      </w:r>
      <w:r w:rsidR="00C3606B">
        <w:rPr>
          <w:rFonts w:ascii="Arial" w:hAnsi="Arial" w:cs="Arial"/>
          <w:sz w:val="22"/>
          <w:szCs w:val="22"/>
          <w:lang w:val="en-US"/>
        </w:rPr>
        <w:t>.</w:t>
      </w:r>
    </w:p>
    <w:p w14:paraId="2BB08860" w14:textId="77777777" w:rsidR="000B7DD2" w:rsidRPr="004B3A13" w:rsidRDefault="000B7DD2" w:rsidP="000C0408">
      <w:pPr>
        <w:spacing w:line="480" w:lineRule="auto"/>
        <w:jc w:val="both"/>
        <w:rPr>
          <w:rFonts w:ascii="Arial" w:hAnsi="Arial" w:cs="Arial"/>
          <w:lang w:val="en-US"/>
        </w:rPr>
      </w:pPr>
    </w:p>
    <w:p w14:paraId="02AA279B" w14:textId="23AC7F50" w:rsidR="00E313E6" w:rsidRPr="00E822E3" w:rsidRDefault="00E822E3" w:rsidP="00E822E3">
      <w:pPr>
        <w:spacing w:line="480" w:lineRule="auto"/>
        <w:ind w:left="0"/>
        <w:jc w:val="both"/>
        <w:rPr>
          <w:rFonts w:ascii="Arial" w:hAnsi="Arial" w:cs="Arial"/>
          <w:lang w:val="en-US"/>
        </w:rPr>
      </w:pPr>
      <w:r w:rsidRPr="004B3A13">
        <w:rPr>
          <w:rFonts w:ascii="Arial" w:hAnsi="Arial" w:cs="Arial"/>
          <w:lang w:val="en-US"/>
        </w:rPr>
        <w:t>[22]</w:t>
      </w:r>
      <w:r w:rsidRPr="004B3A13">
        <w:rPr>
          <w:rFonts w:ascii="Arial" w:hAnsi="Arial" w:cs="Arial"/>
          <w:lang w:val="en-US"/>
        </w:rPr>
        <w:tab/>
      </w:r>
      <w:r w:rsidR="00DA22FA" w:rsidRPr="00E822E3">
        <w:rPr>
          <w:rFonts w:ascii="Arial" w:hAnsi="Arial" w:cs="Arial"/>
          <w:lang w:val="en-US"/>
        </w:rPr>
        <w:t>In this case, the application for condonation f</w:t>
      </w:r>
      <w:r w:rsidR="00833025" w:rsidRPr="00E822E3">
        <w:rPr>
          <w:rFonts w:ascii="Arial" w:hAnsi="Arial" w:cs="Arial"/>
          <w:lang w:val="en-US"/>
        </w:rPr>
        <w:t>or</w:t>
      </w:r>
      <w:r w:rsidR="00DA22FA" w:rsidRPr="00E822E3">
        <w:rPr>
          <w:rFonts w:ascii="Arial" w:hAnsi="Arial" w:cs="Arial"/>
          <w:lang w:val="en-US"/>
        </w:rPr>
        <w:t xml:space="preserve"> </w:t>
      </w:r>
      <w:r w:rsidR="00833025" w:rsidRPr="00E822E3">
        <w:rPr>
          <w:rFonts w:ascii="Arial" w:hAnsi="Arial" w:cs="Arial"/>
          <w:lang w:val="en-US"/>
        </w:rPr>
        <w:t xml:space="preserve">the </w:t>
      </w:r>
      <w:r w:rsidR="00DA22FA" w:rsidRPr="00E822E3">
        <w:rPr>
          <w:rFonts w:ascii="Arial" w:hAnsi="Arial" w:cs="Arial"/>
          <w:lang w:val="en-US"/>
        </w:rPr>
        <w:t xml:space="preserve">delay was filed as late as 10 August 2023. The appellant’s </w:t>
      </w:r>
      <w:r w:rsidR="00833025" w:rsidRPr="00E822E3">
        <w:rPr>
          <w:rFonts w:ascii="Arial" w:hAnsi="Arial" w:cs="Arial"/>
          <w:lang w:val="en-US"/>
        </w:rPr>
        <w:t xml:space="preserve">legal practitioner </w:t>
      </w:r>
      <w:r w:rsidR="00DA22FA" w:rsidRPr="00E822E3">
        <w:rPr>
          <w:rFonts w:ascii="Arial" w:hAnsi="Arial" w:cs="Arial"/>
          <w:lang w:val="en-US"/>
        </w:rPr>
        <w:t>stated on affidavit that the process of preparing the condonation application only began on 27 July 2022</w:t>
      </w:r>
      <w:r w:rsidR="00833025" w:rsidRPr="00E822E3">
        <w:rPr>
          <w:rFonts w:ascii="Arial" w:hAnsi="Arial" w:cs="Arial"/>
          <w:lang w:val="en-US"/>
        </w:rPr>
        <w:t>,</w:t>
      </w:r>
      <w:r w:rsidR="00DA22FA" w:rsidRPr="00E822E3">
        <w:rPr>
          <w:rFonts w:ascii="Arial" w:hAnsi="Arial" w:cs="Arial"/>
          <w:lang w:val="en-US"/>
        </w:rPr>
        <w:t xml:space="preserve"> because</w:t>
      </w:r>
      <w:r w:rsidR="00966268" w:rsidRPr="00E822E3">
        <w:rPr>
          <w:rFonts w:ascii="Arial" w:hAnsi="Arial" w:cs="Arial"/>
          <w:lang w:val="en-US"/>
        </w:rPr>
        <w:t xml:space="preserve"> of her personal circumstances that resulted in her being</w:t>
      </w:r>
      <w:r w:rsidR="00C3606B" w:rsidRPr="00E822E3">
        <w:rPr>
          <w:rFonts w:ascii="Arial" w:hAnsi="Arial" w:cs="Arial"/>
          <w:lang w:val="en-US"/>
        </w:rPr>
        <w:t xml:space="preserve"> booked off from 12 – </w:t>
      </w:r>
      <w:r w:rsidR="00DA22FA" w:rsidRPr="00E822E3">
        <w:rPr>
          <w:rFonts w:ascii="Arial" w:hAnsi="Arial" w:cs="Arial"/>
          <w:lang w:val="en-US"/>
        </w:rPr>
        <w:t>20</w:t>
      </w:r>
      <w:r w:rsidR="00C3606B" w:rsidRPr="00E822E3">
        <w:rPr>
          <w:rFonts w:ascii="Arial" w:hAnsi="Arial" w:cs="Arial"/>
          <w:lang w:val="en-US"/>
        </w:rPr>
        <w:t xml:space="preserve"> </w:t>
      </w:r>
      <w:r w:rsidR="00DA22FA" w:rsidRPr="00E822E3">
        <w:rPr>
          <w:rFonts w:ascii="Arial" w:hAnsi="Arial" w:cs="Arial"/>
          <w:lang w:val="en-US"/>
        </w:rPr>
        <w:t xml:space="preserve"> June 2022 and again </w:t>
      </w:r>
      <w:r w:rsidR="000B7DD2" w:rsidRPr="00E822E3">
        <w:rPr>
          <w:rFonts w:ascii="Arial" w:hAnsi="Arial" w:cs="Arial"/>
          <w:lang w:val="en-US"/>
        </w:rPr>
        <w:t xml:space="preserve">from </w:t>
      </w:r>
      <w:r w:rsidR="00C3606B" w:rsidRPr="00E822E3">
        <w:rPr>
          <w:rFonts w:ascii="Arial" w:hAnsi="Arial" w:cs="Arial"/>
          <w:lang w:val="en-US"/>
        </w:rPr>
        <w:t xml:space="preserve">5 – </w:t>
      </w:r>
      <w:r w:rsidR="00DA22FA" w:rsidRPr="00E822E3">
        <w:rPr>
          <w:rFonts w:ascii="Arial" w:hAnsi="Arial" w:cs="Arial"/>
          <w:lang w:val="en-US"/>
        </w:rPr>
        <w:t>8</w:t>
      </w:r>
      <w:r w:rsidR="00C3606B" w:rsidRPr="00E822E3">
        <w:rPr>
          <w:rFonts w:ascii="Arial" w:hAnsi="Arial" w:cs="Arial"/>
          <w:lang w:val="en-US"/>
        </w:rPr>
        <w:t xml:space="preserve"> </w:t>
      </w:r>
      <w:r w:rsidR="00DA22FA" w:rsidRPr="00E822E3">
        <w:rPr>
          <w:rFonts w:ascii="Arial" w:hAnsi="Arial" w:cs="Arial"/>
          <w:lang w:val="en-US"/>
        </w:rPr>
        <w:t xml:space="preserve"> August 2022. Non-availability on the</w:t>
      </w:r>
      <w:r w:rsidR="000B7DD2" w:rsidRPr="00E822E3">
        <w:rPr>
          <w:rFonts w:ascii="Arial" w:hAnsi="Arial" w:cs="Arial"/>
          <w:lang w:val="en-US"/>
        </w:rPr>
        <w:t xml:space="preserve"> aforementioned</w:t>
      </w:r>
      <w:r w:rsidR="00DA22FA" w:rsidRPr="00E822E3">
        <w:rPr>
          <w:rFonts w:ascii="Arial" w:hAnsi="Arial" w:cs="Arial"/>
          <w:lang w:val="en-US"/>
        </w:rPr>
        <w:t xml:space="preserve"> dates, even if accepted at face value, does not justify the significant inactivity on other dates on which this application could have been prepared.</w:t>
      </w:r>
    </w:p>
    <w:p w14:paraId="317E6B13" w14:textId="77777777" w:rsidR="00E313E6" w:rsidRPr="004B3A13" w:rsidRDefault="00E313E6" w:rsidP="00966268">
      <w:pPr>
        <w:pStyle w:val="ListParagraph"/>
        <w:spacing w:line="480" w:lineRule="auto"/>
        <w:ind w:left="0"/>
        <w:jc w:val="both"/>
        <w:rPr>
          <w:rFonts w:ascii="Arial" w:hAnsi="Arial" w:cs="Arial"/>
          <w:lang w:val="en-US"/>
        </w:rPr>
      </w:pPr>
    </w:p>
    <w:p w14:paraId="0CBA9871" w14:textId="39031452" w:rsidR="00E313E6" w:rsidRPr="00E822E3" w:rsidRDefault="00E822E3" w:rsidP="00E822E3">
      <w:pPr>
        <w:spacing w:line="480" w:lineRule="auto"/>
        <w:ind w:left="0"/>
        <w:jc w:val="both"/>
        <w:rPr>
          <w:rFonts w:ascii="Arial" w:hAnsi="Arial" w:cs="Arial"/>
          <w:lang w:val="en-US"/>
        </w:rPr>
      </w:pPr>
      <w:r w:rsidRPr="004B3A13">
        <w:rPr>
          <w:rFonts w:ascii="Arial" w:hAnsi="Arial" w:cs="Arial"/>
          <w:lang w:val="en-US"/>
        </w:rPr>
        <w:t>[23]</w:t>
      </w:r>
      <w:r w:rsidRPr="004B3A13">
        <w:rPr>
          <w:rFonts w:ascii="Arial" w:hAnsi="Arial" w:cs="Arial"/>
          <w:lang w:val="en-US"/>
        </w:rPr>
        <w:tab/>
      </w:r>
      <w:r w:rsidR="00DA22FA" w:rsidRPr="00E822E3">
        <w:rPr>
          <w:rFonts w:ascii="Arial" w:hAnsi="Arial" w:cs="Arial"/>
          <w:lang w:val="en-US"/>
        </w:rPr>
        <w:t xml:space="preserve">It ought to have been obvious to the appellant when Tunga </w:t>
      </w:r>
      <w:r w:rsidR="0019263A" w:rsidRPr="00E822E3">
        <w:rPr>
          <w:rFonts w:ascii="Arial" w:hAnsi="Arial" w:cs="Arial"/>
          <w:lang w:val="en-US"/>
        </w:rPr>
        <w:t xml:space="preserve">Holdings </w:t>
      </w:r>
      <w:r w:rsidR="00DA22FA" w:rsidRPr="00E822E3">
        <w:rPr>
          <w:rFonts w:ascii="Arial" w:hAnsi="Arial" w:cs="Arial"/>
          <w:lang w:val="en-US"/>
        </w:rPr>
        <w:t>was delaying the transcription that an application for condonation will have to be filed at the earliest</w:t>
      </w:r>
      <w:r w:rsidR="0019263A" w:rsidRPr="00E822E3">
        <w:rPr>
          <w:rFonts w:ascii="Arial" w:hAnsi="Arial" w:cs="Arial"/>
          <w:lang w:val="en-US"/>
        </w:rPr>
        <w:t xml:space="preserve"> opportunity</w:t>
      </w:r>
      <w:r w:rsidR="00DA22FA" w:rsidRPr="00E822E3">
        <w:rPr>
          <w:rFonts w:ascii="Arial" w:hAnsi="Arial" w:cs="Arial"/>
          <w:lang w:val="en-US"/>
        </w:rPr>
        <w:t xml:space="preserve">. On the appellant’s own admission, </w:t>
      </w:r>
      <w:r w:rsidR="0019263A" w:rsidRPr="00E822E3">
        <w:rPr>
          <w:rFonts w:ascii="Arial" w:hAnsi="Arial" w:cs="Arial"/>
          <w:lang w:val="en-US"/>
        </w:rPr>
        <w:t xml:space="preserve">a </w:t>
      </w:r>
      <w:r w:rsidR="00DA22FA" w:rsidRPr="00E822E3">
        <w:rPr>
          <w:rFonts w:ascii="Arial" w:hAnsi="Arial" w:cs="Arial"/>
          <w:lang w:val="en-US"/>
        </w:rPr>
        <w:t xml:space="preserve">Mrs Ankama, </w:t>
      </w:r>
      <w:r w:rsidR="00643529" w:rsidRPr="00E822E3">
        <w:rPr>
          <w:rFonts w:ascii="Arial" w:hAnsi="Arial" w:cs="Arial"/>
          <w:lang w:val="en-US"/>
        </w:rPr>
        <w:t xml:space="preserve">a </w:t>
      </w:r>
      <w:r w:rsidR="00A01986" w:rsidRPr="00E822E3">
        <w:rPr>
          <w:rFonts w:ascii="Arial" w:hAnsi="Arial" w:cs="Arial"/>
          <w:lang w:val="en-US"/>
        </w:rPr>
        <w:t>government employee</w:t>
      </w:r>
      <w:r w:rsidR="00DA22FA" w:rsidRPr="00E822E3">
        <w:rPr>
          <w:rFonts w:ascii="Arial" w:hAnsi="Arial" w:cs="Arial"/>
          <w:lang w:val="en-US"/>
        </w:rPr>
        <w:t xml:space="preserve"> was </w:t>
      </w:r>
      <w:r w:rsidR="00D10DE9" w:rsidRPr="00E822E3">
        <w:rPr>
          <w:rFonts w:ascii="Arial" w:hAnsi="Arial" w:cs="Arial"/>
          <w:lang w:val="en-US"/>
        </w:rPr>
        <w:t>informed</w:t>
      </w:r>
      <w:r w:rsidR="00156175" w:rsidRPr="00E822E3">
        <w:rPr>
          <w:rFonts w:ascii="Arial" w:hAnsi="Arial" w:cs="Arial"/>
          <w:lang w:val="en-US"/>
        </w:rPr>
        <w:t xml:space="preserve"> </w:t>
      </w:r>
      <w:r w:rsidR="00DA22FA" w:rsidRPr="00E822E3">
        <w:rPr>
          <w:rFonts w:ascii="Arial" w:hAnsi="Arial" w:cs="Arial"/>
          <w:lang w:val="en-US"/>
        </w:rPr>
        <w:t xml:space="preserve">by </w:t>
      </w:r>
      <w:r w:rsidR="003309F6" w:rsidRPr="00E822E3">
        <w:rPr>
          <w:rFonts w:ascii="Arial" w:hAnsi="Arial" w:cs="Arial"/>
          <w:lang w:val="en-US"/>
        </w:rPr>
        <w:t xml:space="preserve">one </w:t>
      </w:r>
      <w:r w:rsidR="00DA22FA" w:rsidRPr="00E822E3">
        <w:rPr>
          <w:rFonts w:ascii="Arial" w:hAnsi="Arial" w:cs="Arial"/>
          <w:lang w:val="en-US"/>
        </w:rPr>
        <w:t>Ms Ipinge, an employee of Tunga</w:t>
      </w:r>
      <w:r w:rsidR="0019263A" w:rsidRPr="00E822E3">
        <w:rPr>
          <w:rFonts w:ascii="Arial" w:hAnsi="Arial" w:cs="Arial"/>
          <w:lang w:val="en-US"/>
        </w:rPr>
        <w:t xml:space="preserve"> Holdings</w:t>
      </w:r>
      <w:r w:rsidR="007B4C43" w:rsidRPr="00E822E3">
        <w:rPr>
          <w:rFonts w:ascii="Arial" w:hAnsi="Arial" w:cs="Arial"/>
          <w:lang w:val="en-US"/>
        </w:rPr>
        <w:t>,</w:t>
      </w:r>
      <w:r w:rsidR="00DA22FA" w:rsidRPr="00E822E3">
        <w:rPr>
          <w:rFonts w:ascii="Arial" w:hAnsi="Arial" w:cs="Arial"/>
          <w:lang w:val="en-US"/>
        </w:rPr>
        <w:t xml:space="preserve"> to email </w:t>
      </w:r>
      <w:r w:rsidR="007B4C43" w:rsidRPr="00E822E3">
        <w:rPr>
          <w:rFonts w:ascii="Arial" w:hAnsi="Arial" w:cs="Arial"/>
          <w:lang w:val="en-US"/>
        </w:rPr>
        <w:t xml:space="preserve">to </w:t>
      </w:r>
      <w:r w:rsidR="00DA22FA" w:rsidRPr="00E822E3">
        <w:rPr>
          <w:rFonts w:ascii="Arial" w:hAnsi="Arial" w:cs="Arial"/>
          <w:lang w:val="en-US"/>
        </w:rPr>
        <w:t xml:space="preserve">Tunga Holdings the documents to be </w:t>
      </w:r>
      <w:r w:rsidR="003309F6" w:rsidRPr="00E822E3">
        <w:rPr>
          <w:rFonts w:ascii="Arial" w:hAnsi="Arial" w:cs="Arial"/>
          <w:lang w:val="en-US"/>
        </w:rPr>
        <w:t xml:space="preserve">included in </w:t>
      </w:r>
      <w:r w:rsidR="00DA22FA" w:rsidRPr="00E822E3">
        <w:rPr>
          <w:rFonts w:ascii="Arial" w:hAnsi="Arial" w:cs="Arial"/>
          <w:lang w:val="en-US"/>
        </w:rPr>
        <w:t xml:space="preserve">the record as late as 29 June 2022, a day before the filing of the record was due. Thereafter, on </w:t>
      </w:r>
      <w:r w:rsidR="00DA22FA" w:rsidRPr="00E822E3">
        <w:rPr>
          <w:rFonts w:ascii="Arial" w:hAnsi="Arial" w:cs="Arial"/>
          <w:lang w:val="en-US"/>
        </w:rPr>
        <w:lastRenderedPageBreak/>
        <w:t xml:space="preserve">30 June 2022 as well, Mrs Ankama followed up with Tunga Holdings and was informed that they </w:t>
      </w:r>
      <w:r w:rsidR="00E313E6" w:rsidRPr="00E822E3">
        <w:rPr>
          <w:rFonts w:ascii="Arial" w:hAnsi="Arial" w:cs="Arial"/>
          <w:lang w:val="en-US"/>
        </w:rPr>
        <w:t>were still</w:t>
      </w:r>
      <w:r w:rsidR="00DA22FA" w:rsidRPr="00E822E3">
        <w:rPr>
          <w:rFonts w:ascii="Arial" w:hAnsi="Arial" w:cs="Arial"/>
          <w:lang w:val="en-US"/>
        </w:rPr>
        <w:t xml:space="preserve"> in the process of preparing the record.</w:t>
      </w:r>
    </w:p>
    <w:p w14:paraId="6D76E83C" w14:textId="77777777" w:rsidR="00E313E6" w:rsidRPr="004B3A13" w:rsidRDefault="00E313E6" w:rsidP="00966268">
      <w:pPr>
        <w:pStyle w:val="ListParagraph"/>
        <w:spacing w:line="480" w:lineRule="auto"/>
        <w:rPr>
          <w:rFonts w:ascii="Arial" w:hAnsi="Arial" w:cs="Arial"/>
          <w:lang w:val="en-US"/>
        </w:rPr>
      </w:pPr>
    </w:p>
    <w:p w14:paraId="7CC08E9E" w14:textId="11F3A8FE" w:rsidR="00DB5BEF" w:rsidRPr="00E822E3" w:rsidRDefault="00E822E3" w:rsidP="00E822E3">
      <w:pPr>
        <w:spacing w:line="480" w:lineRule="auto"/>
        <w:ind w:left="0"/>
        <w:jc w:val="both"/>
        <w:rPr>
          <w:rFonts w:ascii="Arial" w:hAnsi="Arial" w:cs="Arial"/>
          <w:lang w:val="en-US"/>
        </w:rPr>
      </w:pPr>
      <w:r w:rsidRPr="004B3A13">
        <w:rPr>
          <w:rFonts w:ascii="Arial" w:hAnsi="Arial" w:cs="Arial"/>
          <w:lang w:val="en-US"/>
        </w:rPr>
        <w:t>[24]</w:t>
      </w:r>
      <w:r w:rsidRPr="004B3A13">
        <w:rPr>
          <w:rFonts w:ascii="Arial" w:hAnsi="Arial" w:cs="Arial"/>
          <w:lang w:val="en-US"/>
        </w:rPr>
        <w:tab/>
      </w:r>
      <w:r w:rsidR="00DA22FA" w:rsidRPr="00E822E3">
        <w:rPr>
          <w:rFonts w:ascii="Arial" w:hAnsi="Arial" w:cs="Arial"/>
          <w:lang w:val="en-US"/>
        </w:rPr>
        <w:t xml:space="preserve">The appellant should have acted swiftly thereafter in filing </w:t>
      </w:r>
      <w:r w:rsidR="0019263A" w:rsidRPr="00E822E3">
        <w:rPr>
          <w:rFonts w:ascii="Arial" w:hAnsi="Arial" w:cs="Arial"/>
          <w:lang w:val="en-US"/>
        </w:rPr>
        <w:t xml:space="preserve">the </w:t>
      </w:r>
      <w:r w:rsidR="00DA22FA" w:rsidRPr="00E822E3">
        <w:rPr>
          <w:rFonts w:ascii="Arial" w:hAnsi="Arial" w:cs="Arial"/>
          <w:lang w:val="en-US"/>
        </w:rPr>
        <w:t xml:space="preserve">application for condonation instead of waiting for the completion of the transcription at its own or Tunga’s pace. </w:t>
      </w:r>
      <w:r w:rsidR="003309F6" w:rsidRPr="00E822E3">
        <w:rPr>
          <w:rFonts w:ascii="Arial" w:hAnsi="Arial" w:cs="Arial"/>
          <w:lang w:val="en-US"/>
        </w:rPr>
        <w:t>Presumably a</w:t>
      </w:r>
      <w:r w:rsidR="00DA22FA" w:rsidRPr="00E822E3">
        <w:rPr>
          <w:rFonts w:ascii="Arial" w:hAnsi="Arial" w:cs="Arial"/>
          <w:lang w:val="en-US"/>
        </w:rPr>
        <w:t>s late as 30 June</w:t>
      </w:r>
      <w:r w:rsidR="00156175" w:rsidRPr="00E822E3">
        <w:rPr>
          <w:rFonts w:ascii="Arial" w:hAnsi="Arial" w:cs="Arial"/>
          <w:lang w:val="en-US"/>
        </w:rPr>
        <w:t xml:space="preserve"> 2022</w:t>
      </w:r>
      <w:r w:rsidR="00DA22FA" w:rsidRPr="00E822E3">
        <w:rPr>
          <w:rFonts w:ascii="Arial" w:hAnsi="Arial" w:cs="Arial"/>
          <w:lang w:val="en-US"/>
        </w:rPr>
        <w:t xml:space="preserve"> </w:t>
      </w:r>
      <w:r w:rsidR="003309F6" w:rsidRPr="00E822E3">
        <w:rPr>
          <w:rFonts w:ascii="Arial" w:hAnsi="Arial" w:cs="Arial"/>
          <w:lang w:val="en-US"/>
        </w:rPr>
        <w:t xml:space="preserve">– </w:t>
      </w:r>
      <w:r w:rsidR="00DA22FA" w:rsidRPr="00E822E3">
        <w:rPr>
          <w:rFonts w:ascii="Arial" w:hAnsi="Arial" w:cs="Arial"/>
          <w:lang w:val="en-US"/>
        </w:rPr>
        <w:t>the affidavit mentions 30 July 2022</w:t>
      </w:r>
      <w:r w:rsidR="003309F6" w:rsidRPr="00E822E3">
        <w:rPr>
          <w:rFonts w:ascii="Arial" w:hAnsi="Arial" w:cs="Arial"/>
          <w:lang w:val="en-US"/>
        </w:rPr>
        <w:t xml:space="preserve"> – </w:t>
      </w:r>
      <w:r w:rsidR="00DA22FA" w:rsidRPr="00E822E3">
        <w:rPr>
          <w:rFonts w:ascii="Arial" w:hAnsi="Arial" w:cs="Arial"/>
          <w:lang w:val="en-US"/>
        </w:rPr>
        <w:t xml:space="preserve">the appellant’s </w:t>
      </w:r>
      <w:r w:rsidR="00484AF9" w:rsidRPr="00E822E3">
        <w:rPr>
          <w:rFonts w:ascii="Arial" w:hAnsi="Arial" w:cs="Arial"/>
          <w:lang w:val="en-US"/>
        </w:rPr>
        <w:t>legal practitioner</w:t>
      </w:r>
      <w:r w:rsidR="00DA22FA" w:rsidRPr="00E822E3">
        <w:rPr>
          <w:rFonts w:ascii="Arial" w:hAnsi="Arial" w:cs="Arial"/>
          <w:lang w:val="en-US"/>
        </w:rPr>
        <w:t xml:space="preserve"> sought an explanation from Tunga Holdings and was informed that they had only transcribed the last two days and had not even begun transcribing the rest of the days. This should have</w:t>
      </w:r>
      <w:r w:rsidR="00E313E6" w:rsidRPr="00E822E3">
        <w:rPr>
          <w:rFonts w:ascii="Arial" w:hAnsi="Arial" w:cs="Arial"/>
          <w:lang w:val="en-US"/>
        </w:rPr>
        <w:t xml:space="preserve"> necessarily been</w:t>
      </w:r>
      <w:r w:rsidR="00DA22FA" w:rsidRPr="00E822E3">
        <w:rPr>
          <w:rFonts w:ascii="Arial" w:hAnsi="Arial" w:cs="Arial"/>
          <w:lang w:val="en-US"/>
        </w:rPr>
        <w:t xml:space="preserve"> </w:t>
      </w:r>
      <w:r w:rsidR="00E313E6" w:rsidRPr="00E822E3">
        <w:rPr>
          <w:rFonts w:ascii="Arial" w:hAnsi="Arial" w:cs="Arial"/>
          <w:lang w:val="en-US"/>
        </w:rPr>
        <w:t xml:space="preserve">more than enough to </w:t>
      </w:r>
      <w:r w:rsidR="00DA22FA" w:rsidRPr="00E822E3">
        <w:rPr>
          <w:rFonts w:ascii="Arial" w:hAnsi="Arial" w:cs="Arial"/>
          <w:lang w:val="en-US"/>
        </w:rPr>
        <w:t xml:space="preserve">alert the </w:t>
      </w:r>
      <w:r w:rsidR="00643529" w:rsidRPr="00E822E3">
        <w:rPr>
          <w:rFonts w:ascii="Arial" w:hAnsi="Arial" w:cs="Arial"/>
          <w:lang w:val="en-US"/>
        </w:rPr>
        <w:t xml:space="preserve">legal practitioner </w:t>
      </w:r>
      <w:r w:rsidR="00DA22FA" w:rsidRPr="00E822E3">
        <w:rPr>
          <w:rFonts w:ascii="Arial" w:hAnsi="Arial" w:cs="Arial"/>
          <w:lang w:val="en-US"/>
        </w:rPr>
        <w:t xml:space="preserve">that they </w:t>
      </w:r>
      <w:r w:rsidR="00E313E6" w:rsidRPr="00E822E3">
        <w:rPr>
          <w:rFonts w:ascii="Arial" w:hAnsi="Arial" w:cs="Arial"/>
          <w:lang w:val="en-US"/>
        </w:rPr>
        <w:t xml:space="preserve">would </w:t>
      </w:r>
      <w:r w:rsidR="00DA22FA" w:rsidRPr="00E822E3">
        <w:rPr>
          <w:rFonts w:ascii="Arial" w:hAnsi="Arial" w:cs="Arial"/>
          <w:lang w:val="en-US"/>
        </w:rPr>
        <w:t>need to file the condonation application promptly.</w:t>
      </w:r>
    </w:p>
    <w:p w14:paraId="022C3F1C" w14:textId="77777777" w:rsidR="00DB5BEF" w:rsidRPr="004B3A13" w:rsidRDefault="00DB5BEF" w:rsidP="000C0408">
      <w:pPr>
        <w:pStyle w:val="ListParagraph"/>
        <w:spacing w:line="480" w:lineRule="auto"/>
        <w:rPr>
          <w:rFonts w:ascii="Arial" w:hAnsi="Arial" w:cs="Arial"/>
          <w:lang w:val="en-US"/>
        </w:rPr>
      </w:pPr>
    </w:p>
    <w:p w14:paraId="79B4B36C" w14:textId="213424D0" w:rsidR="007B4C43" w:rsidRPr="00E822E3" w:rsidRDefault="00E822E3" w:rsidP="00E822E3">
      <w:pPr>
        <w:spacing w:line="480" w:lineRule="auto"/>
        <w:ind w:left="0"/>
        <w:jc w:val="both"/>
        <w:rPr>
          <w:rFonts w:ascii="Arial" w:hAnsi="Arial" w:cs="Arial"/>
          <w:lang w:val="en-US"/>
        </w:rPr>
      </w:pPr>
      <w:r w:rsidRPr="004B3A13">
        <w:rPr>
          <w:rFonts w:ascii="Arial" w:hAnsi="Arial" w:cs="Arial"/>
          <w:lang w:val="en-US"/>
        </w:rPr>
        <w:t>[25]</w:t>
      </w:r>
      <w:r w:rsidRPr="004B3A13">
        <w:rPr>
          <w:rFonts w:ascii="Arial" w:hAnsi="Arial" w:cs="Arial"/>
          <w:lang w:val="en-US"/>
        </w:rPr>
        <w:tab/>
      </w:r>
      <w:r w:rsidR="00DA22FA" w:rsidRPr="00E822E3">
        <w:rPr>
          <w:rFonts w:ascii="Arial" w:hAnsi="Arial" w:cs="Arial"/>
          <w:lang w:val="en-US"/>
        </w:rPr>
        <w:t xml:space="preserve">In </w:t>
      </w:r>
      <w:r w:rsidR="00DA22FA" w:rsidRPr="00E822E3">
        <w:rPr>
          <w:rFonts w:ascii="Arial" w:hAnsi="Arial" w:cs="Arial"/>
          <w:i/>
          <w:iCs/>
          <w:lang w:val="en-US"/>
        </w:rPr>
        <w:t>Solsquare,</w:t>
      </w:r>
      <w:r w:rsidR="00DA22FA" w:rsidRPr="00E822E3">
        <w:rPr>
          <w:rFonts w:ascii="Arial" w:hAnsi="Arial" w:cs="Arial"/>
          <w:lang w:val="en-US"/>
        </w:rPr>
        <w:t xml:space="preserve"> it was acknowledged that the correct approach to follow would have </w:t>
      </w:r>
      <w:r w:rsidR="007B4C43" w:rsidRPr="00E822E3">
        <w:rPr>
          <w:rFonts w:ascii="Arial" w:hAnsi="Arial" w:cs="Arial"/>
          <w:lang w:val="en-US"/>
        </w:rPr>
        <w:t xml:space="preserve">involved requesting an extension of time before filing the incomplete record. The appellant's explanation therein attributing the delay to the transcription provider was deemed unsatisfactory for </w:t>
      </w:r>
      <w:r w:rsidR="00643529" w:rsidRPr="00E822E3">
        <w:rPr>
          <w:rFonts w:ascii="Arial" w:hAnsi="Arial" w:cs="Arial"/>
          <w:lang w:val="en-US"/>
        </w:rPr>
        <w:t xml:space="preserve">the </w:t>
      </w:r>
      <w:r w:rsidR="007B4C43" w:rsidRPr="00E822E3">
        <w:rPr>
          <w:rFonts w:ascii="Arial" w:hAnsi="Arial" w:cs="Arial"/>
          <w:lang w:val="en-US"/>
        </w:rPr>
        <w:t>lack of any supporting affidavit from the provider to confirm the state of affairs that the appellant alleged.</w:t>
      </w:r>
      <w:r w:rsidR="007B4C43" w:rsidRPr="004B3A13">
        <w:rPr>
          <w:rStyle w:val="FootnoteReference"/>
          <w:rFonts w:ascii="Arial" w:hAnsi="Arial" w:cs="Arial"/>
          <w:lang w:val="en-US"/>
        </w:rPr>
        <w:footnoteReference w:id="13"/>
      </w:r>
      <w:r w:rsidR="007B4C43" w:rsidRPr="00E822E3">
        <w:rPr>
          <w:rFonts w:ascii="Arial" w:hAnsi="Arial" w:cs="Arial"/>
          <w:lang w:val="en-US"/>
        </w:rPr>
        <w:t xml:space="preserve"> In contrast, in the present </w:t>
      </w:r>
      <w:r w:rsidR="00793E09" w:rsidRPr="00E822E3">
        <w:rPr>
          <w:rFonts w:ascii="Arial" w:hAnsi="Arial" w:cs="Arial"/>
          <w:lang w:val="en-US"/>
        </w:rPr>
        <w:t>matter</w:t>
      </w:r>
      <w:r w:rsidR="007B4C43" w:rsidRPr="00E822E3">
        <w:rPr>
          <w:rFonts w:ascii="Arial" w:hAnsi="Arial" w:cs="Arial"/>
          <w:lang w:val="en-US"/>
        </w:rPr>
        <w:t xml:space="preserve">, Tunga Holdings’ employees have confirmed the state of affairs on affidavit supporting the appellant’s </w:t>
      </w:r>
      <w:r w:rsidR="00092A15" w:rsidRPr="00E822E3">
        <w:rPr>
          <w:rFonts w:ascii="Arial" w:hAnsi="Arial" w:cs="Arial"/>
          <w:lang w:val="en-US"/>
        </w:rPr>
        <w:t>applicat</w:t>
      </w:r>
      <w:r w:rsidR="007B4C43" w:rsidRPr="00E822E3">
        <w:rPr>
          <w:rFonts w:ascii="Arial" w:hAnsi="Arial" w:cs="Arial"/>
          <w:lang w:val="en-US"/>
        </w:rPr>
        <w:t>ion.</w:t>
      </w:r>
    </w:p>
    <w:p w14:paraId="71356F18" w14:textId="77777777" w:rsidR="00C314C4" w:rsidRPr="004B3A13" w:rsidRDefault="00C314C4" w:rsidP="00966268">
      <w:pPr>
        <w:pStyle w:val="ListParagraph"/>
        <w:spacing w:line="480" w:lineRule="auto"/>
        <w:ind w:left="0"/>
        <w:jc w:val="both"/>
        <w:rPr>
          <w:rFonts w:ascii="Arial" w:hAnsi="Arial" w:cs="Arial"/>
          <w:lang w:val="en-US"/>
        </w:rPr>
      </w:pPr>
    </w:p>
    <w:p w14:paraId="2AF8F6BC" w14:textId="21AF39AB" w:rsidR="00E313E6" w:rsidRPr="00E822E3" w:rsidRDefault="00E822E3" w:rsidP="00E822E3">
      <w:pPr>
        <w:spacing w:line="480" w:lineRule="auto"/>
        <w:ind w:left="0"/>
        <w:jc w:val="both"/>
        <w:rPr>
          <w:rFonts w:ascii="Arial" w:hAnsi="Arial" w:cs="Arial"/>
          <w:lang w:val="en-US"/>
        </w:rPr>
      </w:pPr>
      <w:r w:rsidRPr="004B3A13">
        <w:rPr>
          <w:rFonts w:ascii="Arial" w:hAnsi="Arial" w:cs="Arial"/>
          <w:lang w:val="en-US"/>
        </w:rPr>
        <w:t>[26]</w:t>
      </w:r>
      <w:r w:rsidRPr="004B3A13">
        <w:rPr>
          <w:rFonts w:ascii="Arial" w:hAnsi="Arial" w:cs="Arial"/>
          <w:lang w:val="en-US"/>
        </w:rPr>
        <w:tab/>
      </w:r>
      <w:r w:rsidR="00793E09" w:rsidRPr="00E822E3">
        <w:rPr>
          <w:rFonts w:ascii="Arial" w:hAnsi="Arial" w:cs="Arial"/>
          <w:lang w:val="en-US"/>
        </w:rPr>
        <w:t xml:space="preserve">An </w:t>
      </w:r>
      <w:r w:rsidR="00C314C4" w:rsidRPr="00E822E3">
        <w:rPr>
          <w:rFonts w:ascii="Arial" w:hAnsi="Arial" w:cs="Arial"/>
          <w:lang w:val="en-US"/>
        </w:rPr>
        <w:t xml:space="preserve">appellant’s </w:t>
      </w:r>
      <w:r w:rsidR="00793E09" w:rsidRPr="00E822E3">
        <w:rPr>
          <w:rFonts w:ascii="Arial" w:hAnsi="Arial" w:cs="Arial"/>
          <w:lang w:val="en-US"/>
        </w:rPr>
        <w:t>legal practitioner sh</w:t>
      </w:r>
      <w:r w:rsidR="00C314C4" w:rsidRPr="00E822E3">
        <w:rPr>
          <w:rFonts w:ascii="Arial" w:hAnsi="Arial" w:cs="Arial"/>
          <w:lang w:val="en-US"/>
        </w:rPr>
        <w:t xml:space="preserve">ould not relieve themselves of the responsibility for preparing the complete appeal record in compliance with the </w:t>
      </w:r>
      <w:r w:rsidR="007362FF" w:rsidRPr="00E822E3">
        <w:rPr>
          <w:rFonts w:ascii="Arial" w:hAnsi="Arial" w:cs="Arial"/>
          <w:lang w:val="en-US"/>
        </w:rPr>
        <w:t>R</w:t>
      </w:r>
      <w:r w:rsidR="00C314C4" w:rsidRPr="00E822E3">
        <w:rPr>
          <w:rFonts w:ascii="Arial" w:hAnsi="Arial" w:cs="Arial"/>
          <w:lang w:val="en-US"/>
        </w:rPr>
        <w:t xml:space="preserve">ules of this Court by leaving the compilation of the record ‘entirely in the hands of the </w:t>
      </w:r>
      <w:r w:rsidR="00C314C4" w:rsidRPr="00E822E3">
        <w:rPr>
          <w:rFonts w:ascii="Arial" w:hAnsi="Arial" w:cs="Arial"/>
          <w:lang w:val="en-US"/>
        </w:rPr>
        <w:lastRenderedPageBreak/>
        <w:t>recording company’</w:t>
      </w:r>
      <w:r w:rsidR="006F3405" w:rsidRPr="00E822E3">
        <w:rPr>
          <w:rFonts w:ascii="Arial" w:hAnsi="Arial" w:cs="Arial"/>
          <w:lang w:val="en-US"/>
        </w:rPr>
        <w:t>.</w:t>
      </w:r>
      <w:r w:rsidR="00793E09" w:rsidRPr="004B3A13">
        <w:rPr>
          <w:rStyle w:val="FootnoteReference"/>
          <w:rFonts w:ascii="Arial" w:hAnsi="Arial" w:cs="Arial"/>
          <w:lang w:val="en-US"/>
        </w:rPr>
        <w:footnoteReference w:id="14"/>
      </w:r>
      <w:r w:rsidR="00157979" w:rsidRPr="00E822E3">
        <w:rPr>
          <w:rFonts w:ascii="Arial" w:hAnsi="Arial" w:cs="Arial"/>
          <w:lang w:val="en-US"/>
        </w:rPr>
        <w:t xml:space="preserve"> Although Tunga </w:t>
      </w:r>
      <w:r w:rsidR="00092A15" w:rsidRPr="00E822E3">
        <w:rPr>
          <w:rFonts w:ascii="Arial" w:hAnsi="Arial" w:cs="Arial"/>
          <w:lang w:val="en-US"/>
        </w:rPr>
        <w:t xml:space="preserve">Holdings </w:t>
      </w:r>
      <w:r w:rsidR="00157979" w:rsidRPr="00E822E3">
        <w:rPr>
          <w:rFonts w:ascii="Arial" w:hAnsi="Arial" w:cs="Arial"/>
          <w:lang w:val="en-US"/>
        </w:rPr>
        <w:t>contributed materially to the delay in filing the record, the appellant did not exercise the requisite degree of diligence in ensuring compliance with the Rules of Court either.</w:t>
      </w:r>
    </w:p>
    <w:p w14:paraId="36B2B148" w14:textId="77777777" w:rsidR="004C72E3" w:rsidRDefault="004C72E3" w:rsidP="00966268">
      <w:pPr>
        <w:pStyle w:val="ListParagraph"/>
        <w:spacing w:line="480" w:lineRule="auto"/>
        <w:ind w:left="0"/>
        <w:jc w:val="both"/>
        <w:rPr>
          <w:rFonts w:ascii="Arial" w:hAnsi="Arial" w:cs="Arial"/>
          <w:u w:val="single"/>
          <w:lang w:val="en-US"/>
        </w:rPr>
      </w:pPr>
    </w:p>
    <w:p w14:paraId="7865522A" w14:textId="27EB362F" w:rsidR="00E313E6" w:rsidRPr="004B3A13" w:rsidRDefault="00E313E6" w:rsidP="00966268">
      <w:pPr>
        <w:pStyle w:val="ListParagraph"/>
        <w:spacing w:line="480" w:lineRule="auto"/>
        <w:ind w:left="0"/>
        <w:jc w:val="both"/>
        <w:rPr>
          <w:rFonts w:ascii="Arial" w:hAnsi="Arial" w:cs="Arial"/>
          <w:u w:val="single"/>
          <w:lang w:val="en-US"/>
        </w:rPr>
      </w:pPr>
      <w:r w:rsidRPr="004B3A13">
        <w:rPr>
          <w:rFonts w:ascii="Arial" w:hAnsi="Arial" w:cs="Arial"/>
          <w:u w:val="single"/>
          <w:lang w:val="en-US"/>
        </w:rPr>
        <w:t xml:space="preserve">Analysis and </w:t>
      </w:r>
      <w:r w:rsidR="00793E09" w:rsidRPr="004B3A13">
        <w:rPr>
          <w:rFonts w:ascii="Arial" w:hAnsi="Arial" w:cs="Arial"/>
          <w:u w:val="single"/>
          <w:lang w:val="en-US"/>
        </w:rPr>
        <w:t>d</w:t>
      </w:r>
      <w:r w:rsidRPr="004B3A13">
        <w:rPr>
          <w:rFonts w:ascii="Arial" w:hAnsi="Arial" w:cs="Arial"/>
          <w:u w:val="single"/>
          <w:lang w:val="en-US"/>
        </w:rPr>
        <w:t xml:space="preserve">etermination </w:t>
      </w:r>
    </w:p>
    <w:p w14:paraId="5BD54090" w14:textId="2FCE862C" w:rsidR="00E22B51"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[27]</w:t>
      </w:r>
      <w:r w:rsidRPr="004B3A13">
        <w:rPr>
          <w:rFonts w:ascii="Arial" w:hAnsi="Arial" w:cs="Arial"/>
          <w:color w:val="000000" w:themeColor="text1"/>
          <w:lang w:val="en-US"/>
        </w:rPr>
        <w:tab/>
      </w:r>
      <w:r w:rsidR="00C314C4" w:rsidRPr="00E822E3">
        <w:rPr>
          <w:rFonts w:ascii="Arial" w:hAnsi="Arial" w:cs="Arial"/>
          <w:color w:val="000000" w:themeColor="text1"/>
        </w:rPr>
        <w:t>The absence of diligence or attention to comply with the Court Rules makes the explanation for the delay in filing the court record weak and unconvincing.</w:t>
      </w:r>
      <w:r w:rsidR="00E22B51" w:rsidRPr="00E822E3">
        <w:rPr>
          <w:rFonts w:ascii="Arial" w:hAnsi="Arial" w:cs="Arial"/>
          <w:color w:val="000000" w:themeColor="text1"/>
          <w:lang w:val="en-US"/>
        </w:rPr>
        <w:t xml:space="preserve"> </w:t>
      </w:r>
      <w:r w:rsidR="00DA22FA" w:rsidRPr="00E822E3">
        <w:rPr>
          <w:rFonts w:ascii="Arial" w:hAnsi="Arial" w:cs="Arial"/>
          <w:color w:val="000000" w:themeColor="text1"/>
          <w:lang w:val="en-US"/>
        </w:rPr>
        <w:t xml:space="preserve">In </w:t>
      </w:r>
      <w:r w:rsidR="00C314C4" w:rsidRPr="00E822E3">
        <w:rPr>
          <w:rFonts w:ascii="Arial" w:hAnsi="Arial" w:cs="Arial"/>
          <w:color w:val="000000" w:themeColor="text1"/>
          <w:lang w:val="en-US"/>
        </w:rPr>
        <w:t xml:space="preserve">this </w:t>
      </w:r>
      <w:r w:rsidR="00DA22FA" w:rsidRPr="00E822E3">
        <w:rPr>
          <w:rFonts w:ascii="Arial" w:hAnsi="Arial" w:cs="Arial"/>
          <w:color w:val="000000" w:themeColor="text1"/>
          <w:lang w:val="en-US"/>
        </w:rPr>
        <w:t xml:space="preserve">case, </w:t>
      </w:r>
      <w:r w:rsidR="00E22B51" w:rsidRPr="00E822E3">
        <w:rPr>
          <w:rFonts w:ascii="Arial" w:hAnsi="Arial" w:cs="Arial"/>
          <w:lang w:val="en-US"/>
        </w:rPr>
        <w:t xml:space="preserve">there is no explanation for the appellant’s failure to file a complete record. There is no </w:t>
      </w:r>
      <w:r w:rsidR="00E22B51" w:rsidRPr="00E822E3">
        <w:rPr>
          <w:rFonts w:ascii="Arial" w:hAnsi="Arial" w:cs="Arial"/>
          <w:color w:val="000000" w:themeColor="text1"/>
          <w:lang w:val="en-US"/>
        </w:rPr>
        <w:t xml:space="preserve">application for extension of the time period for the filing </w:t>
      </w:r>
      <w:r w:rsidR="002D5F48" w:rsidRPr="00E822E3">
        <w:rPr>
          <w:rFonts w:ascii="Arial" w:hAnsi="Arial" w:cs="Arial"/>
          <w:color w:val="000000" w:themeColor="text1"/>
          <w:lang w:val="en-US"/>
        </w:rPr>
        <w:t xml:space="preserve">of </w:t>
      </w:r>
      <w:r w:rsidR="00E22B51" w:rsidRPr="00E822E3">
        <w:rPr>
          <w:rFonts w:ascii="Arial" w:hAnsi="Arial" w:cs="Arial"/>
          <w:color w:val="000000" w:themeColor="text1"/>
          <w:lang w:val="en-US"/>
        </w:rPr>
        <w:t>the complete record. This demonstrates</w:t>
      </w:r>
      <w:r w:rsidR="007362FF" w:rsidRPr="00E822E3">
        <w:rPr>
          <w:rFonts w:ascii="Arial" w:hAnsi="Arial" w:cs="Arial"/>
          <w:color w:val="000000" w:themeColor="text1"/>
          <w:lang w:val="en-US"/>
        </w:rPr>
        <w:t xml:space="preserve"> an admitted disregard for the R</w:t>
      </w:r>
      <w:r w:rsidR="00E22B51" w:rsidRPr="00E822E3">
        <w:rPr>
          <w:rFonts w:ascii="Arial" w:hAnsi="Arial" w:cs="Arial"/>
          <w:color w:val="000000" w:themeColor="text1"/>
          <w:lang w:val="en-US"/>
        </w:rPr>
        <w:t>ules of this Court. Further, failure to satisfactorily explain the delay in filing the condonation application, more than a month after the appellant found out that it had failed to submit the record on time, render</w:t>
      </w:r>
      <w:r w:rsidR="000B0F9F" w:rsidRPr="00E822E3">
        <w:rPr>
          <w:rFonts w:ascii="Arial" w:hAnsi="Arial" w:cs="Arial"/>
          <w:color w:val="000000" w:themeColor="text1"/>
          <w:lang w:val="en-US"/>
        </w:rPr>
        <w:t>s</w:t>
      </w:r>
      <w:r w:rsidR="00E22B51" w:rsidRPr="00E822E3">
        <w:rPr>
          <w:rFonts w:ascii="Arial" w:hAnsi="Arial" w:cs="Arial"/>
          <w:color w:val="000000" w:themeColor="text1"/>
          <w:lang w:val="en-US"/>
        </w:rPr>
        <w:t xml:space="preserve"> the explanation offered weak and unpersuasive. </w:t>
      </w:r>
    </w:p>
    <w:p w14:paraId="7A799C57" w14:textId="77777777" w:rsidR="00E22B51" w:rsidRPr="004B3A13" w:rsidRDefault="00E22B51" w:rsidP="00966268">
      <w:pPr>
        <w:pStyle w:val="ListParagraph"/>
        <w:spacing w:line="480" w:lineRule="auto"/>
        <w:ind w:left="0"/>
        <w:jc w:val="both"/>
        <w:rPr>
          <w:rFonts w:ascii="Arial" w:hAnsi="Arial" w:cs="Arial"/>
          <w:color w:val="000000" w:themeColor="text1"/>
          <w:lang w:val="en-US"/>
        </w:rPr>
      </w:pPr>
    </w:p>
    <w:p w14:paraId="7D04D3A6" w14:textId="33487624" w:rsidR="00DA22FA"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[28]</w:t>
      </w:r>
      <w:r w:rsidRPr="004B3A13">
        <w:rPr>
          <w:rFonts w:ascii="Arial" w:hAnsi="Arial" w:cs="Arial"/>
          <w:color w:val="000000" w:themeColor="text1"/>
          <w:lang w:val="en-US"/>
        </w:rPr>
        <w:tab/>
      </w:r>
      <w:r w:rsidR="00DA22FA" w:rsidRPr="00E822E3">
        <w:rPr>
          <w:rFonts w:ascii="Arial" w:hAnsi="Arial" w:cs="Arial"/>
          <w:color w:val="000000" w:themeColor="text1"/>
          <w:lang w:val="en-US"/>
        </w:rPr>
        <w:t xml:space="preserve">The appellant also contends that the delay must be condoned because of the public importance of the case. It </w:t>
      </w:r>
      <w:r w:rsidR="00092A15" w:rsidRPr="00E822E3">
        <w:rPr>
          <w:rFonts w:ascii="Arial" w:hAnsi="Arial" w:cs="Arial"/>
          <w:color w:val="000000" w:themeColor="text1"/>
          <w:lang w:val="en-US"/>
        </w:rPr>
        <w:t xml:space="preserve">was </w:t>
      </w:r>
      <w:r w:rsidR="00DA22FA" w:rsidRPr="00E822E3">
        <w:rPr>
          <w:rFonts w:ascii="Arial" w:hAnsi="Arial" w:cs="Arial"/>
          <w:color w:val="000000" w:themeColor="text1"/>
          <w:lang w:val="en-US"/>
        </w:rPr>
        <w:t>argue</w:t>
      </w:r>
      <w:r w:rsidR="00092A15" w:rsidRPr="00E822E3">
        <w:rPr>
          <w:rFonts w:ascii="Arial" w:hAnsi="Arial" w:cs="Arial"/>
          <w:color w:val="000000" w:themeColor="text1"/>
          <w:lang w:val="en-US"/>
        </w:rPr>
        <w:t>d</w:t>
      </w:r>
      <w:r w:rsidR="00DA22FA" w:rsidRPr="00E822E3">
        <w:rPr>
          <w:rFonts w:ascii="Arial" w:hAnsi="Arial" w:cs="Arial"/>
          <w:color w:val="000000" w:themeColor="text1"/>
          <w:lang w:val="en-US"/>
        </w:rPr>
        <w:t xml:space="preserve"> that the court </w:t>
      </w:r>
      <w:r w:rsidR="00DA22FA" w:rsidRPr="00E822E3">
        <w:rPr>
          <w:rFonts w:ascii="Arial" w:hAnsi="Arial" w:cs="Arial"/>
          <w:iCs/>
          <w:color w:val="000000" w:themeColor="text1"/>
          <w:lang w:val="en-US"/>
        </w:rPr>
        <w:t>a quo’</w:t>
      </w:r>
      <w:r w:rsidR="00DA22FA" w:rsidRPr="00E822E3">
        <w:rPr>
          <w:rFonts w:ascii="Arial" w:hAnsi="Arial" w:cs="Arial"/>
          <w:i/>
          <w:iCs/>
          <w:color w:val="000000" w:themeColor="text1"/>
          <w:lang w:val="en-US"/>
        </w:rPr>
        <w:t>s</w:t>
      </w:r>
      <w:r w:rsidR="00DA22FA" w:rsidRPr="00E822E3">
        <w:rPr>
          <w:rFonts w:ascii="Arial" w:hAnsi="Arial" w:cs="Arial"/>
          <w:color w:val="000000" w:themeColor="text1"/>
          <w:lang w:val="en-US"/>
        </w:rPr>
        <w:t xml:space="preserve"> ruling would set a bad precedent for pro</w:t>
      </w:r>
      <w:r w:rsidR="00B8798B" w:rsidRPr="00E822E3">
        <w:rPr>
          <w:rFonts w:ascii="Arial" w:hAnsi="Arial" w:cs="Arial"/>
          <w:color w:val="000000" w:themeColor="text1"/>
          <w:lang w:val="en-US"/>
        </w:rPr>
        <w:t>v</w:t>
      </w:r>
      <w:r w:rsidR="00DA22FA" w:rsidRPr="00E822E3">
        <w:rPr>
          <w:rFonts w:ascii="Arial" w:hAnsi="Arial" w:cs="Arial"/>
          <w:color w:val="000000" w:themeColor="text1"/>
          <w:lang w:val="en-US"/>
        </w:rPr>
        <w:t>ing damages in unlawful detention cases. It also argues that this precedent would incorrectly lead to legitimi</w:t>
      </w:r>
      <w:r w:rsidR="007362FF" w:rsidRPr="00E822E3">
        <w:rPr>
          <w:rFonts w:ascii="Arial" w:hAnsi="Arial" w:cs="Arial"/>
          <w:color w:val="000000" w:themeColor="text1"/>
          <w:lang w:val="en-US"/>
        </w:rPr>
        <w:t>s</w:t>
      </w:r>
      <w:r w:rsidR="00DA22FA" w:rsidRPr="00E822E3">
        <w:rPr>
          <w:rFonts w:ascii="Arial" w:hAnsi="Arial" w:cs="Arial"/>
          <w:color w:val="000000" w:themeColor="text1"/>
          <w:lang w:val="en-US"/>
        </w:rPr>
        <w:t xml:space="preserve">ing reliance on the sole testimony </w:t>
      </w:r>
      <w:r w:rsidR="00116754" w:rsidRPr="00E822E3">
        <w:rPr>
          <w:rFonts w:ascii="Arial" w:hAnsi="Arial" w:cs="Arial"/>
          <w:color w:val="000000" w:themeColor="text1"/>
          <w:lang w:val="en-US"/>
        </w:rPr>
        <w:t>of a</w:t>
      </w:r>
      <w:r w:rsidR="00DA22FA" w:rsidRPr="00E822E3">
        <w:rPr>
          <w:rFonts w:ascii="Arial" w:hAnsi="Arial" w:cs="Arial"/>
          <w:color w:val="000000" w:themeColor="text1"/>
          <w:lang w:val="en-US"/>
        </w:rPr>
        <w:t xml:space="preserve"> plaintiff regarding prison conditions</w:t>
      </w:r>
      <w:r w:rsidR="00593326" w:rsidRPr="00E822E3">
        <w:rPr>
          <w:rFonts w:ascii="Arial" w:hAnsi="Arial" w:cs="Arial"/>
          <w:color w:val="000000" w:themeColor="text1"/>
          <w:lang w:val="en-US"/>
        </w:rPr>
        <w:t xml:space="preserve"> while assessing damages</w:t>
      </w:r>
      <w:r w:rsidR="00DA22FA" w:rsidRPr="00E822E3">
        <w:rPr>
          <w:rFonts w:ascii="Arial" w:hAnsi="Arial" w:cs="Arial"/>
          <w:color w:val="000000" w:themeColor="text1"/>
          <w:lang w:val="en-US"/>
        </w:rPr>
        <w:t xml:space="preserve">. We will consider these contentions below </w:t>
      </w:r>
      <w:r w:rsidR="00092A15" w:rsidRPr="00E822E3">
        <w:rPr>
          <w:rFonts w:ascii="Arial" w:hAnsi="Arial" w:cs="Arial"/>
          <w:color w:val="000000" w:themeColor="text1"/>
          <w:lang w:val="en-US"/>
        </w:rPr>
        <w:t xml:space="preserve">alongside the consideration of </w:t>
      </w:r>
      <w:r w:rsidR="00DA22FA" w:rsidRPr="00E822E3">
        <w:rPr>
          <w:rFonts w:ascii="Arial" w:hAnsi="Arial" w:cs="Arial"/>
          <w:color w:val="000000" w:themeColor="text1"/>
          <w:lang w:val="en-US"/>
        </w:rPr>
        <w:t>the merits of the appeal in order to determine its prospects of success as part of deciding the outcome of th</w:t>
      </w:r>
      <w:r w:rsidR="00092A15" w:rsidRPr="00E822E3">
        <w:rPr>
          <w:rFonts w:ascii="Arial" w:hAnsi="Arial" w:cs="Arial"/>
          <w:color w:val="000000" w:themeColor="text1"/>
          <w:lang w:val="en-US"/>
        </w:rPr>
        <w:t>e</w:t>
      </w:r>
      <w:r w:rsidR="00DA22FA" w:rsidRPr="00E822E3">
        <w:rPr>
          <w:rFonts w:ascii="Arial" w:hAnsi="Arial" w:cs="Arial"/>
          <w:color w:val="000000" w:themeColor="text1"/>
          <w:lang w:val="en-US"/>
        </w:rPr>
        <w:t xml:space="preserve"> application</w:t>
      </w:r>
      <w:r w:rsidR="00092A15" w:rsidRPr="00E822E3">
        <w:rPr>
          <w:rFonts w:ascii="Arial" w:hAnsi="Arial" w:cs="Arial"/>
          <w:color w:val="000000" w:themeColor="text1"/>
          <w:lang w:val="en-US"/>
        </w:rPr>
        <w:t xml:space="preserve"> for condonation</w:t>
      </w:r>
      <w:r w:rsidR="00DA22FA" w:rsidRPr="00E822E3">
        <w:rPr>
          <w:rFonts w:ascii="Arial" w:hAnsi="Arial" w:cs="Arial"/>
          <w:color w:val="000000" w:themeColor="text1"/>
          <w:lang w:val="en-US"/>
        </w:rPr>
        <w:t xml:space="preserve">. </w:t>
      </w:r>
    </w:p>
    <w:p w14:paraId="7C73F07B" w14:textId="77777777" w:rsidR="00593326" w:rsidRPr="004B3A13" w:rsidRDefault="00593326" w:rsidP="000C0408">
      <w:pPr>
        <w:pStyle w:val="ListParagraph"/>
        <w:spacing w:line="480" w:lineRule="auto"/>
        <w:rPr>
          <w:rFonts w:ascii="Arial" w:hAnsi="Arial" w:cs="Arial"/>
          <w:color w:val="000000" w:themeColor="text1"/>
          <w:lang w:val="en-US"/>
        </w:rPr>
      </w:pPr>
    </w:p>
    <w:p w14:paraId="7C9E53F9" w14:textId="29C40D6A" w:rsidR="00757AA4" w:rsidRPr="004B3A13" w:rsidRDefault="003A698C" w:rsidP="000C0408">
      <w:pPr>
        <w:pStyle w:val="Body"/>
        <w:spacing w:after="0" w:line="480" w:lineRule="auto"/>
        <w:ind w:left="0"/>
        <w:jc w:val="both"/>
        <w:rPr>
          <w:rFonts w:ascii="Arial" w:eastAsia="Arial" w:hAnsi="Arial" w:cs="Arial"/>
          <w:sz w:val="24"/>
          <w:szCs w:val="24"/>
          <w:u w:val="single"/>
          <w:lang w:val="en-US"/>
        </w:rPr>
      </w:pPr>
      <w:r w:rsidRPr="004B3A13">
        <w:rPr>
          <w:rFonts w:ascii="Arial" w:eastAsia="Arial" w:hAnsi="Arial" w:cs="Arial"/>
          <w:sz w:val="24"/>
          <w:szCs w:val="24"/>
          <w:u w:val="single"/>
          <w:lang w:val="en-US"/>
        </w:rPr>
        <w:lastRenderedPageBreak/>
        <w:t xml:space="preserve">Prospects of </w:t>
      </w:r>
      <w:r w:rsidR="00B8798B" w:rsidRPr="004B3A13">
        <w:rPr>
          <w:rFonts w:ascii="Arial" w:eastAsia="Arial" w:hAnsi="Arial" w:cs="Arial"/>
          <w:sz w:val="24"/>
          <w:szCs w:val="24"/>
          <w:u w:val="single"/>
          <w:lang w:val="en-US"/>
        </w:rPr>
        <w:t>s</w:t>
      </w:r>
      <w:r w:rsidRPr="004B3A13">
        <w:rPr>
          <w:rFonts w:ascii="Arial" w:eastAsia="Arial" w:hAnsi="Arial" w:cs="Arial"/>
          <w:sz w:val="24"/>
          <w:szCs w:val="24"/>
          <w:u w:val="single"/>
          <w:lang w:val="en-US"/>
        </w:rPr>
        <w:t xml:space="preserve">uccess </w:t>
      </w:r>
    </w:p>
    <w:p w14:paraId="5B57507B" w14:textId="7018E28F" w:rsidR="003A698C" w:rsidRPr="004B3A13" w:rsidRDefault="00757AA4" w:rsidP="000C0408">
      <w:pPr>
        <w:pStyle w:val="Heading2"/>
        <w:spacing w:line="480" w:lineRule="auto"/>
        <w:ind w:left="0"/>
        <w:rPr>
          <w:b w:val="0"/>
          <w:bCs w:val="0"/>
          <w:i/>
          <w:u w:val="none"/>
        </w:rPr>
      </w:pPr>
      <w:r w:rsidRPr="004B3A13">
        <w:rPr>
          <w:b w:val="0"/>
          <w:bCs w:val="0"/>
          <w:i/>
          <w:u w:val="none"/>
        </w:rPr>
        <w:t>Appellant’s case</w:t>
      </w:r>
    </w:p>
    <w:p w14:paraId="0E766BF9" w14:textId="36595D50" w:rsidR="003A698C"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[29]</w:t>
      </w:r>
      <w:r w:rsidRPr="004B3A13">
        <w:rPr>
          <w:rFonts w:ascii="Arial" w:eastAsia="Arial" w:hAnsi="Arial" w:cs="Arial"/>
          <w:sz w:val="24"/>
          <w:szCs w:val="24"/>
          <w:lang w:val="en-US"/>
        </w:rPr>
        <w:tab/>
      </w:r>
      <w:r w:rsidR="00B8798B" w:rsidRPr="004B3A13">
        <w:rPr>
          <w:rFonts w:ascii="Arial" w:eastAsia="Arial" w:hAnsi="Arial" w:cs="Arial"/>
          <w:sz w:val="24"/>
          <w:szCs w:val="24"/>
          <w:lang w:val="en-US"/>
        </w:rPr>
        <w:t>The a</w:t>
      </w:r>
      <w:r w:rsidR="00757AA4" w:rsidRPr="004B3A13">
        <w:rPr>
          <w:rFonts w:ascii="Arial" w:eastAsia="Arial" w:hAnsi="Arial" w:cs="Arial"/>
          <w:sz w:val="24"/>
          <w:szCs w:val="24"/>
          <w:lang w:val="en-US"/>
        </w:rPr>
        <w:t>ppellant’s case is that the court</w:t>
      </w:r>
      <w:r w:rsidR="00757AA4" w:rsidRPr="004B3A13">
        <w:rPr>
          <w:rFonts w:ascii="Arial" w:eastAsia="Arial" w:hAnsi="Arial" w:cs="Arial"/>
          <w:i/>
          <w:iCs/>
          <w:sz w:val="24"/>
          <w:szCs w:val="24"/>
          <w:lang w:val="en-US"/>
        </w:rPr>
        <w:t xml:space="preserve"> </w:t>
      </w:r>
      <w:r w:rsidR="00757AA4" w:rsidRPr="00642204">
        <w:rPr>
          <w:rFonts w:ascii="Arial" w:eastAsia="Arial" w:hAnsi="Arial" w:cs="Arial"/>
          <w:iCs/>
          <w:sz w:val="24"/>
          <w:szCs w:val="24"/>
          <w:lang w:val="en-US"/>
        </w:rPr>
        <w:t>a quo</w:t>
      </w:r>
      <w:r w:rsidR="00757AA4" w:rsidRPr="004B3A13">
        <w:rPr>
          <w:rFonts w:ascii="Arial" w:eastAsia="Arial" w:hAnsi="Arial" w:cs="Arial"/>
          <w:sz w:val="24"/>
          <w:szCs w:val="24"/>
          <w:lang w:val="en-US"/>
        </w:rPr>
        <w:t xml:space="preserve"> erred in concluding that the only basis for the respondent’s arrest was Mr Haasbroek’s contention regarding the identifiability of the respondent from the CCTV footage. It was submitted that the court </w:t>
      </w:r>
      <w:r w:rsidR="00757AA4" w:rsidRPr="006F3405">
        <w:rPr>
          <w:rFonts w:ascii="Arial" w:eastAsia="Arial" w:hAnsi="Arial" w:cs="Arial"/>
          <w:iCs/>
          <w:sz w:val="24"/>
          <w:szCs w:val="24"/>
          <w:lang w:val="en-US"/>
        </w:rPr>
        <w:t>a quo</w:t>
      </w:r>
      <w:r w:rsidR="00757AA4" w:rsidRPr="004B3A13">
        <w:rPr>
          <w:rFonts w:ascii="Arial" w:eastAsia="Arial" w:hAnsi="Arial" w:cs="Arial"/>
          <w:i/>
          <w:iCs/>
          <w:sz w:val="24"/>
          <w:szCs w:val="24"/>
          <w:lang w:val="en-US"/>
        </w:rPr>
        <w:t xml:space="preserve"> </w:t>
      </w:r>
      <w:r w:rsidR="00757AA4" w:rsidRPr="004B3A13">
        <w:rPr>
          <w:rFonts w:ascii="Arial" w:eastAsia="Arial" w:hAnsi="Arial" w:cs="Arial"/>
          <w:sz w:val="24"/>
          <w:szCs w:val="24"/>
          <w:lang w:val="en-US"/>
        </w:rPr>
        <w:t>incorrectly regarded Inspector Anton’s finding that the suspect was identifiable from the footage as untruthful.</w:t>
      </w:r>
    </w:p>
    <w:p w14:paraId="32BA8373" w14:textId="77777777" w:rsidR="00417DE0" w:rsidRPr="004B3A13" w:rsidRDefault="00417DE0" w:rsidP="00966268">
      <w:pPr>
        <w:pStyle w:val="Body"/>
        <w:spacing w:after="0" w:line="360" w:lineRule="auto"/>
        <w:ind w:left="0"/>
        <w:jc w:val="both"/>
        <w:rPr>
          <w:rFonts w:ascii="Arial" w:eastAsia="Arial" w:hAnsi="Arial" w:cs="Arial"/>
          <w:sz w:val="24"/>
          <w:szCs w:val="24"/>
          <w:lang w:val="en-US"/>
        </w:rPr>
      </w:pPr>
    </w:p>
    <w:p w14:paraId="63BD20A0" w14:textId="4657EE2F" w:rsidR="001A1053"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[30]</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It was submitted that the court </w:t>
      </w:r>
      <w:r w:rsidR="00757AA4" w:rsidRPr="006F3405">
        <w:rPr>
          <w:rFonts w:ascii="Arial" w:eastAsia="Arial" w:hAnsi="Arial" w:cs="Arial"/>
          <w:iCs/>
          <w:sz w:val="24"/>
          <w:szCs w:val="24"/>
          <w:lang w:val="en-US"/>
        </w:rPr>
        <w:t>a quo</w:t>
      </w:r>
      <w:r w:rsidR="00757AA4" w:rsidRPr="004B3A13">
        <w:rPr>
          <w:rFonts w:ascii="Arial" w:eastAsia="Arial" w:hAnsi="Arial" w:cs="Arial"/>
          <w:i/>
          <w:iCs/>
          <w:sz w:val="24"/>
          <w:szCs w:val="24"/>
          <w:lang w:val="en-US"/>
        </w:rPr>
        <w:t>’s</w:t>
      </w:r>
      <w:r w:rsidR="00757AA4" w:rsidRPr="004B3A13">
        <w:rPr>
          <w:rFonts w:ascii="Arial" w:eastAsia="Arial" w:hAnsi="Arial" w:cs="Arial"/>
          <w:sz w:val="24"/>
          <w:szCs w:val="24"/>
          <w:lang w:val="en-US"/>
        </w:rPr>
        <w:t xml:space="preserve"> conclusion regarding the time and duration of detention was incorrect and that in coming to that conclusion, the </w:t>
      </w:r>
      <w:r w:rsidR="001A1053" w:rsidRPr="004B3A13">
        <w:rPr>
          <w:rFonts w:ascii="Arial" w:eastAsia="Arial" w:hAnsi="Arial" w:cs="Arial"/>
          <w:sz w:val="24"/>
          <w:szCs w:val="24"/>
          <w:lang w:val="en-US"/>
        </w:rPr>
        <w:t>c</w:t>
      </w:r>
      <w:r w:rsidR="00757AA4" w:rsidRPr="004B3A13">
        <w:rPr>
          <w:rFonts w:ascii="Arial" w:eastAsia="Arial" w:hAnsi="Arial" w:cs="Arial"/>
          <w:sz w:val="24"/>
          <w:szCs w:val="24"/>
          <w:lang w:val="en-US"/>
        </w:rPr>
        <w:t xml:space="preserve">ourt went beyond the particulars of claim and considered various aggravating factors not pleaded by the respondent. The appellant submitted that the arrest was effected by </w:t>
      </w:r>
      <w:r w:rsidR="000A55EE" w:rsidRPr="004B3A13">
        <w:rPr>
          <w:rFonts w:ascii="Arial" w:eastAsia="Arial" w:hAnsi="Arial" w:cs="Arial"/>
          <w:sz w:val="24"/>
          <w:szCs w:val="24"/>
          <w:lang w:val="en-US"/>
        </w:rPr>
        <w:t>W/O</w:t>
      </w:r>
      <w:r w:rsidR="00757AA4" w:rsidRPr="004B3A13">
        <w:rPr>
          <w:rFonts w:ascii="Arial" w:eastAsia="Arial" w:hAnsi="Arial" w:cs="Arial"/>
          <w:sz w:val="24"/>
          <w:szCs w:val="24"/>
          <w:lang w:val="en-US"/>
        </w:rPr>
        <w:t xml:space="preserve"> Machado at Swakopmund Police Station, at 15h32, on 27 February 2019 and that Inspector Anton was not the arresting officer.</w:t>
      </w:r>
    </w:p>
    <w:p w14:paraId="69997FF3" w14:textId="77777777" w:rsidR="001A1053" w:rsidRPr="004B3A13" w:rsidRDefault="001A1053" w:rsidP="000C0408">
      <w:pPr>
        <w:pStyle w:val="ListParagraph"/>
        <w:spacing w:line="480" w:lineRule="auto"/>
        <w:rPr>
          <w:rFonts w:ascii="Arial" w:eastAsia="Arial" w:hAnsi="Arial" w:cs="Arial"/>
          <w:lang w:val="en-US"/>
        </w:rPr>
      </w:pPr>
    </w:p>
    <w:p w14:paraId="4F9BB81D" w14:textId="06DC23D9" w:rsidR="001A1053"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[31]</w:t>
      </w:r>
      <w:r w:rsidRPr="004B3A13">
        <w:rPr>
          <w:rFonts w:ascii="Arial" w:eastAsia="Arial" w:hAnsi="Arial" w:cs="Arial"/>
          <w:sz w:val="24"/>
          <w:szCs w:val="24"/>
          <w:lang w:val="en-US"/>
        </w:rPr>
        <w:tab/>
      </w:r>
      <w:r w:rsidR="00B8798B" w:rsidRPr="004B3A13">
        <w:rPr>
          <w:rFonts w:ascii="Arial" w:eastAsia="Arial" w:hAnsi="Arial" w:cs="Arial"/>
          <w:sz w:val="24"/>
          <w:szCs w:val="24"/>
          <w:lang w:val="en-US"/>
        </w:rPr>
        <w:t>The legal practitioner</w:t>
      </w:r>
      <w:r w:rsidR="00757AA4" w:rsidRPr="004B3A13">
        <w:rPr>
          <w:rFonts w:ascii="Arial" w:eastAsia="Arial" w:hAnsi="Arial" w:cs="Arial"/>
          <w:sz w:val="24"/>
          <w:szCs w:val="24"/>
          <w:lang w:val="en-US"/>
        </w:rPr>
        <w:t xml:space="preserve"> for </w:t>
      </w:r>
      <w:r w:rsidR="00B8798B" w:rsidRPr="004B3A13">
        <w:rPr>
          <w:rFonts w:ascii="Arial" w:eastAsia="Arial" w:hAnsi="Arial" w:cs="Arial"/>
          <w:sz w:val="24"/>
          <w:szCs w:val="24"/>
          <w:lang w:val="en-US"/>
        </w:rPr>
        <w:t xml:space="preserve">the </w:t>
      </w:r>
      <w:r w:rsidR="00757AA4" w:rsidRPr="004B3A13">
        <w:rPr>
          <w:rFonts w:ascii="Arial" w:eastAsia="Arial" w:hAnsi="Arial" w:cs="Arial"/>
          <w:sz w:val="24"/>
          <w:szCs w:val="24"/>
          <w:lang w:val="en-US"/>
        </w:rPr>
        <w:t xml:space="preserve">appellant </w:t>
      </w:r>
      <w:r w:rsidR="001A1053" w:rsidRPr="004B3A13">
        <w:rPr>
          <w:rFonts w:ascii="Arial" w:eastAsia="Arial" w:hAnsi="Arial" w:cs="Arial"/>
          <w:sz w:val="24"/>
          <w:szCs w:val="24"/>
          <w:lang w:val="en-US"/>
        </w:rPr>
        <w:t xml:space="preserve">also </w:t>
      </w:r>
      <w:r w:rsidR="00757AA4" w:rsidRPr="004B3A13">
        <w:rPr>
          <w:rFonts w:ascii="Arial" w:eastAsia="Arial" w:hAnsi="Arial" w:cs="Arial"/>
          <w:sz w:val="24"/>
          <w:szCs w:val="24"/>
          <w:lang w:val="en-US"/>
        </w:rPr>
        <w:t>submitted that it was not in dispute that the crime in question was a crime</w:t>
      </w:r>
      <w:r w:rsidR="00AD6C3B" w:rsidRPr="004B3A13">
        <w:rPr>
          <w:rFonts w:ascii="Arial" w:eastAsia="Arial" w:hAnsi="Arial" w:cs="Arial"/>
          <w:sz w:val="24"/>
          <w:szCs w:val="24"/>
          <w:lang w:val="en-US"/>
        </w:rPr>
        <w:t xml:space="preserve"> under Schedule 1 </w:t>
      </w:r>
      <w:r w:rsidR="00B8798B" w:rsidRPr="004B3A13">
        <w:rPr>
          <w:rFonts w:ascii="Arial" w:eastAsia="Arial" w:hAnsi="Arial" w:cs="Arial"/>
          <w:sz w:val="24"/>
          <w:szCs w:val="24"/>
          <w:lang w:val="en-US"/>
        </w:rPr>
        <w:t>t</w:t>
      </w:r>
      <w:r w:rsidR="00AD6C3B" w:rsidRPr="004B3A13">
        <w:rPr>
          <w:rFonts w:ascii="Arial" w:eastAsia="Arial" w:hAnsi="Arial" w:cs="Arial"/>
          <w:sz w:val="24"/>
          <w:szCs w:val="24"/>
          <w:lang w:val="en-US"/>
        </w:rPr>
        <w:t xml:space="preserve">o the </w:t>
      </w:r>
      <w:r w:rsidR="00AD6C3B" w:rsidRPr="004B3A13">
        <w:rPr>
          <w:rFonts w:ascii="Arial" w:hAnsi="Arial" w:cs="Arial"/>
          <w:sz w:val="24"/>
          <w:szCs w:val="24"/>
          <w:lang w:val="en-US"/>
        </w:rPr>
        <w:t>Criminal Procedure Act 51 of 1977</w:t>
      </w:r>
      <w:r w:rsidR="00757AA4" w:rsidRPr="004B3A13">
        <w:rPr>
          <w:rFonts w:ascii="Arial" w:eastAsia="Arial" w:hAnsi="Arial" w:cs="Arial"/>
          <w:sz w:val="24"/>
          <w:szCs w:val="24"/>
          <w:lang w:val="en-US"/>
        </w:rPr>
        <w:t xml:space="preserve">. However, in response to </w:t>
      </w:r>
      <w:r w:rsidR="00092A15" w:rsidRPr="004B3A13">
        <w:rPr>
          <w:rFonts w:ascii="Arial" w:eastAsia="Arial" w:hAnsi="Arial" w:cs="Arial"/>
          <w:sz w:val="24"/>
          <w:szCs w:val="24"/>
          <w:lang w:val="en-US"/>
        </w:rPr>
        <w:t xml:space="preserve">a </w:t>
      </w:r>
      <w:r w:rsidR="00757AA4" w:rsidRPr="004B3A13">
        <w:rPr>
          <w:rFonts w:ascii="Arial" w:eastAsia="Arial" w:hAnsi="Arial" w:cs="Arial"/>
          <w:sz w:val="24"/>
          <w:szCs w:val="24"/>
          <w:lang w:val="en-US"/>
        </w:rPr>
        <w:t xml:space="preserve">question by the </w:t>
      </w:r>
      <w:r w:rsidR="00B8798B" w:rsidRPr="004B3A13">
        <w:rPr>
          <w:rFonts w:ascii="Arial" w:eastAsia="Arial" w:hAnsi="Arial" w:cs="Arial"/>
          <w:sz w:val="24"/>
          <w:szCs w:val="24"/>
          <w:lang w:val="en-US"/>
        </w:rPr>
        <w:t>c</w:t>
      </w:r>
      <w:r w:rsidR="00757AA4" w:rsidRPr="004B3A13">
        <w:rPr>
          <w:rFonts w:ascii="Arial" w:eastAsia="Arial" w:hAnsi="Arial" w:cs="Arial"/>
          <w:sz w:val="24"/>
          <w:szCs w:val="24"/>
          <w:lang w:val="en-US"/>
        </w:rPr>
        <w:t xml:space="preserve">ourt, </w:t>
      </w:r>
      <w:r w:rsidR="00B8798B" w:rsidRPr="004B3A13">
        <w:rPr>
          <w:rFonts w:ascii="Arial" w:eastAsia="Arial" w:hAnsi="Arial" w:cs="Arial"/>
          <w:sz w:val="24"/>
          <w:szCs w:val="24"/>
          <w:lang w:val="en-US"/>
        </w:rPr>
        <w:t xml:space="preserve">the legal practitioner </w:t>
      </w:r>
      <w:r w:rsidR="00757AA4" w:rsidRPr="004B3A13">
        <w:rPr>
          <w:rFonts w:ascii="Arial" w:eastAsia="Arial" w:hAnsi="Arial" w:cs="Arial"/>
          <w:sz w:val="24"/>
          <w:szCs w:val="24"/>
          <w:lang w:val="en-US"/>
        </w:rPr>
        <w:t>conceded that the case was based only on allegations of trespassing and malicious damage to property, neither of which constitute</w:t>
      </w:r>
      <w:r w:rsidR="00B8798B" w:rsidRPr="004B3A13">
        <w:rPr>
          <w:rFonts w:ascii="Arial" w:eastAsia="Arial" w:hAnsi="Arial" w:cs="Arial"/>
          <w:sz w:val="24"/>
          <w:szCs w:val="24"/>
          <w:lang w:val="en-US"/>
        </w:rPr>
        <w:t>s</w:t>
      </w:r>
      <w:r w:rsidR="00757AA4" w:rsidRPr="004B3A13">
        <w:rPr>
          <w:rFonts w:ascii="Arial" w:eastAsia="Arial" w:hAnsi="Arial" w:cs="Arial"/>
          <w:sz w:val="24"/>
          <w:szCs w:val="24"/>
          <w:lang w:val="en-US"/>
        </w:rPr>
        <w:t xml:space="preserve"> </w:t>
      </w:r>
      <w:r w:rsidR="00B8798B" w:rsidRPr="004B3A13">
        <w:rPr>
          <w:rFonts w:ascii="Arial" w:eastAsia="Arial" w:hAnsi="Arial" w:cs="Arial"/>
          <w:sz w:val="24"/>
          <w:szCs w:val="24"/>
          <w:lang w:val="en-US"/>
        </w:rPr>
        <w:t xml:space="preserve">a </w:t>
      </w:r>
      <w:r w:rsidR="00757AA4" w:rsidRPr="004B3A13">
        <w:rPr>
          <w:rFonts w:ascii="Arial" w:eastAsia="Arial" w:hAnsi="Arial" w:cs="Arial"/>
          <w:sz w:val="24"/>
          <w:szCs w:val="24"/>
          <w:lang w:val="en-US"/>
        </w:rPr>
        <w:t xml:space="preserve">Schedule 1 offence for which a person could be arrested without </w:t>
      </w:r>
      <w:r w:rsidR="00B8798B" w:rsidRPr="004B3A13">
        <w:rPr>
          <w:rFonts w:ascii="Arial" w:eastAsia="Arial" w:hAnsi="Arial" w:cs="Arial"/>
          <w:sz w:val="24"/>
          <w:szCs w:val="24"/>
          <w:lang w:val="en-US"/>
        </w:rPr>
        <w:t xml:space="preserve">a </w:t>
      </w:r>
      <w:r w:rsidR="00757AA4" w:rsidRPr="004B3A13">
        <w:rPr>
          <w:rFonts w:ascii="Arial" w:eastAsia="Arial" w:hAnsi="Arial" w:cs="Arial"/>
          <w:sz w:val="24"/>
          <w:szCs w:val="24"/>
          <w:lang w:val="en-US"/>
        </w:rPr>
        <w:t>warrant on ‘reasonable suspicion’.</w:t>
      </w:r>
    </w:p>
    <w:p w14:paraId="23F30B76" w14:textId="77777777" w:rsidR="001A1053" w:rsidRPr="004B3A13" w:rsidRDefault="001A1053" w:rsidP="000C0408">
      <w:pPr>
        <w:pStyle w:val="ListParagraph"/>
        <w:spacing w:line="480" w:lineRule="auto"/>
        <w:rPr>
          <w:rFonts w:ascii="Arial" w:eastAsia="Arial" w:hAnsi="Arial" w:cs="Arial"/>
          <w:lang w:val="en-US"/>
        </w:rPr>
      </w:pPr>
    </w:p>
    <w:p w14:paraId="63919E4E" w14:textId="678C27B4" w:rsidR="00757AA4"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[32]</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It was submitted that the respondent did not discharge the burden of proof on him to establish that he spent at least two nights in a filthy cell under terrible conditions </w:t>
      </w:r>
      <w:r w:rsidR="00B8798B" w:rsidRPr="004B3A13">
        <w:rPr>
          <w:rFonts w:ascii="Arial" w:eastAsia="Arial" w:hAnsi="Arial" w:cs="Arial"/>
          <w:sz w:val="24"/>
          <w:szCs w:val="24"/>
          <w:lang w:val="en-US"/>
        </w:rPr>
        <w:t xml:space="preserve">or that he </w:t>
      </w:r>
      <w:r w:rsidR="00757AA4" w:rsidRPr="004B3A13">
        <w:rPr>
          <w:rFonts w:ascii="Arial" w:eastAsia="Arial" w:hAnsi="Arial" w:cs="Arial"/>
          <w:sz w:val="24"/>
          <w:szCs w:val="24"/>
          <w:lang w:val="en-US"/>
        </w:rPr>
        <w:t xml:space="preserve">was given bad food and made to wash cars. </w:t>
      </w:r>
      <w:r w:rsidR="00B8798B" w:rsidRPr="004B3A13">
        <w:rPr>
          <w:rFonts w:ascii="Arial" w:eastAsia="Arial" w:hAnsi="Arial" w:cs="Arial"/>
          <w:sz w:val="24"/>
          <w:szCs w:val="24"/>
          <w:lang w:val="en-US"/>
        </w:rPr>
        <w:t>It was</w:t>
      </w:r>
      <w:r w:rsidR="00757AA4" w:rsidRPr="004B3A13">
        <w:rPr>
          <w:rFonts w:ascii="Arial" w:eastAsia="Arial" w:hAnsi="Arial" w:cs="Arial"/>
          <w:sz w:val="24"/>
          <w:szCs w:val="24"/>
          <w:lang w:val="en-US"/>
        </w:rPr>
        <w:t xml:space="preserve"> argued that </w:t>
      </w:r>
      <w:r w:rsidR="00757AA4" w:rsidRPr="004B3A13">
        <w:rPr>
          <w:rFonts w:ascii="Arial" w:eastAsia="Arial" w:hAnsi="Arial" w:cs="Arial"/>
          <w:sz w:val="24"/>
          <w:szCs w:val="24"/>
          <w:lang w:val="en-US"/>
        </w:rPr>
        <w:lastRenderedPageBreak/>
        <w:t xml:space="preserve">the court </w:t>
      </w:r>
      <w:r w:rsidR="00757AA4" w:rsidRPr="006F3405">
        <w:rPr>
          <w:rFonts w:ascii="Arial" w:eastAsia="Arial" w:hAnsi="Arial" w:cs="Arial"/>
          <w:iCs/>
          <w:sz w:val="24"/>
          <w:szCs w:val="24"/>
          <w:lang w:val="en-US"/>
        </w:rPr>
        <w:t>a quo</w:t>
      </w:r>
      <w:r w:rsidR="00757AA4" w:rsidRPr="004B3A13">
        <w:rPr>
          <w:rFonts w:ascii="Arial" w:eastAsia="Arial" w:hAnsi="Arial" w:cs="Arial"/>
          <w:i/>
          <w:iCs/>
          <w:sz w:val="24"/>
          <w:szCs w:val="24"/>
          <w:lang w:val="en-US"/>
        </w:rPr>
        <w:t xml:space="preserve"> </w:t>
      </w:r>
      <w:r w:rsidR="00757AA4" w:rsidRPr="004B3A13">
        <w:rPr>
          <w:rFonts w:ascii="Arial" w:eastAsia="Arial" w:hAnsi="Arial" w:cs="Arial"/>
          <w:sz w:val="24"/>
          <w:szCs w:val="24"/>
          <w:lang w:val="en-US"/>
        </w:rPr>
        <w:t xml:space="preserve">incorrectly relied on the respondent’s testimony without any additional evidence to </w:t>
      </w:r>
      <w:r w:rsidR="00B8798B" w:rsidRPr="004B3A13">
        <w:rPr>
          <w:rFonts w:ascii="Arial" w:eastAsia="Arial" w:hAnsi="Arial" w:cs="Arial"/>
          <w:sz w:val="24"/>
          <w:szCs w:val="24"/>
          <w:lang w:val="en-US"/>
        </w:rPr>
        <w:t>corroborate</w:t>
      </w:r>
      <w:r w:rsidR="00757AA4" w:rsidRPr="004B3A13">
        <w:rPr>
          <w:rFonts w:ascii="Arial" w:eastAsia="Arial" w:hAnsi="Arial" w:cs="Arial"/>
          <w:sz w:val="24"/>
          <w:szCs w:val="24"/>
          <w:lang w:val="en-US"/>
        </w:rPr>
        <w:t xml:space="preserve"> it.</w:t>
      </w:r>
      <w:r w:rsidR="0021759D"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 xml:space="preserve">It was </w:t>
      </w:r>
      <w:r w:rsidR="001A1053" w:rsidRPr="004B3A13">
        <w:rPr>
          <w:rFonts w:ascii="Arial" w:eastAsia="Arial" w:hAnsi="Arial" w:cs="Arial"/>
          <w:sz w:val="24"/>
          <w:szCs w:val="24"/>
          <w:lang w:val="en-US"/>
        </w:rPr>
        <w:t xml:space="preserve">also </w:t>
      </w:r>
      <w:r w:rsidR="00757AA4" w:rsidRPr="004B3A13">
        <w:rPr>
          <w:rFonts w:ascii="Arial" w:eastAsia="Arial" w:hAnsi="Arial" w:cs="Arial"/>
          <w:sz w:val="24"/>
          <w:szCs w:val="24"/>
          <w:lang w:val="en-US"/>
        </w:rPr>
        <w:t xml:space="preserve">submitted that the court </w:t>
      </w:r>
      <w:r w:rsidR="00757AA4" w:rsidRPr="006F3405">
        <w:rPr>
          <w:rFonts w:ascii="Arial" w:eastAsia="Arial" w:hAnsi="Arial" w:cs="Arial"/>
          <w:iCs/>
          <w:sz w:val="24"/>
          <w:szCs w:val="24"/>
          <w:lang w:val="en-US"/>
        </w:rPr>
        <w:t>a quo</w:t>
      </w:r>
      <w:r w:rsidR="00757AA4" w:rsidRPr="004B3A13">
        <w:rPr>
          <w:rFonts w:ascii="Arial" w:eastAsia="Arial" w:hAnsi="Arial" w:cs="Arial"/>
          <w:sz w:val="24"/>
          <w:szCs w:val="24"/>
          <w:lang w:val="en-US"/>
        </w:rPr>
        <w:t xml:space="preserve"> misdirected itself in law and on </w:t>
      </w:r>
      <w:r w:rsidR="00B8798B" w:rsidRPr="004B3A13">
        <w:rPr>
          <w:rFonts w:ascii="Arial" w:eastAsia="Arial" w:hAnsi="Arial" w:cs="Arial"/>
          <w:sz w:val="24"/>
          <w:szCs w:val="24"/>
          <w:lang w:val="en-US"/>
        </w:rPr>
        <w:t xml:space="preserve">the </w:t>
      </w:r>
      <w:r w:rsidR="00757AA4" w:rsidRPr="004B3A13">
        <w:rPr>
          <w:rFonts w:ascii="Arial" w:eastAsia="Arial" w:hAnsi="Arial" w:cs="Arial"/>
          <w:sz w:val="24"/>
          <w:szCs w:val="24"/>
          <w:lang w:val="en-US"/>
        </w:rPr>
        <w:t xml:space="preserve">facts by incorrectly relying on </w:t>
      </w:r>
      <w:r w:rsidR="00757AA4" w:rsidRPr="004B3A13">
        <w:rPr>
          <w:rFonts w:ascii="Arial" w:eastAsia="Arial" w:hAnsi="Arial" w:cs="Arial"/>
          <w:i/>
          <w:iCs/>
          <w:sz w:val="24"/>
          <w:szCs w:val="24"/>
          <w:lang w:val="en-US"/>
        </w:rPr>
        <w:t>Lazarus</w:t>
      </w:r>
      <w:r w:rsidR="001A1053" w:rsidRPr="004B3A13">
        <w:rPr>
          <w:rStyle w:val="FootnoteReference"/>
          <w:rFonts w:ascii="Arial" w:eastAsia="Arial" w:hAnsi="Arial" w:cs="Arial"/>
          <w:sz w:val="24"/>
          <w:szCs w:val="24"/>
          <w:lang w:val="en-US"/>
        </w:rPr>
        <w:footnoteReference w:id="15"/>
      </w:r>
      <w:r w:rsidR="00757AA4" w:rsidRPr="004B3A13">
        <w:rPr>
          <w:rFonts w:ascii="Arial" w:eastAsia="Arial" w:hAnsi="Arial" w:cs="Arial"/>
          <w:sz w:val="24"/>
          <w:szCs w:val="24"/>
          <w:lang w:val="en-US"/>
        </w:rPr>
        <w:t xml:space="preserve"> and awardin</w:t>
      </w:r>
      <w:r w:rsidR="006F3405">
        <w:rPr>
          <w:rFonts w:ascii="Arial" w:eastAsia="Arial" w:hAnsi="Arial" w:cs="Arial"/>
          <w:sz w:val="24"/>
          <w:szCs w:val="24"/>
          <w:lang w:val="en-US"/>
        </w:rPr>
        <w:t xml:space="preserve">g damages in the amount of N$30 </w:t>
      </w:r>
      <w:r w:rsidR="00757AA4" w:rsidRPr="004B3A13">
        <w:rPr>
          <w:rFonts w:ascii="Arial" w:eastAsia="Arial" w:hAnsi="Arial" w:cs="Arial"/>
          <w:sz w:val="24"/>
          <w:szCs w:val="24"/>
          <w:lang w:val="en-US"/>
        </w:rPr>
        <w:t>000 per day.</w:t>
      </w:r>
    </w:p>
    <w:p w14:paraId="54DA1168" w14:textId="77777777" w:rsidR="001A1053" w:rsidRPr="004B3A13" w:rsidRDefault="001A1053" w:rsidP="000C0408">
      <w:pPr>
        <w:pStyle w:val="Heading2"/>
        <w:spacing w:line="480" w:lineRule="auto"/>
        <w:ind w:left="0"/>
      </w:pPr>
    </w:p>
    <w:p w14:paraId="1FCCF647" w14:textId="5A7560F3" w:rsidR="001A1053" w:rsidRPr="004B3A13" w:rsidRDefault="00757AA4" w:rsidP="000C0408">
      <w:pPr>
        <w:pStyle w:val="Heading2"/>
        <w:spacing w:line="480" w:lineRule="auto"/>
        <w:ind w:left="0"/>
        <w:rPr>
          <w:b w:val="0"/>
          <w:bCs w:val="0"/>
          <w:i/>
          <w:u w:val="none"/>
        </w:rPr>
      </w:pPr>
      <w:r w:rsidRPr="004B3A13">
        <w:rPr>
          <w:b w:val="0"/>
          <w:bCs w:val="0"/>
          <w:i/>
          <w:u w:val="none"/>
        </w:rPr>
        <w:t xml:space="preserve">Respondent’s </w:t>
      </w:r>
      <w:r w:rsidR="003A53D0" w:rsidRPr="004B3A13">
        <w:rPr>
          <w:b w:val="0"/>
          <w:bCs w:val="0"/>
          <w:i/>
          <w:u w:val="none"/>
        </w:rPr>
        <w:t>c</w:t>
      </w:r>
      <w:r w:rsidRPr="004B3A13">
        <w:rPr>
          <w:b w:val="0"/>
          <w:bCs w:val="0"/>
          <w:i/>
          <w:u w:val="none"/>
        </w:rPr>
        <w:t>ase</w:t>
      </w:r>
    </w:p>
    <w:p w14:paraId="0741A4CC" w14:textId="7C3A66F1" w:rsidR="00D063EA" w:rsidRPr="00E822E3" w:rsidRDefault="00E822E3" w:rsidP="00E822E3">
      <w:pPr>
        <w:spacing w:line="480" w:lineRule="auto"/>
        <w:ind w:left="0"/>
        <w:jc w:val="both"/>
        <w:rPr>
          <w:rFonts w:ascii="Arial" w:hAnsi="Arial" w:cs="Arial"/>
          <w:lang w:val="en-US"/>
        </w:rPr>
      </w:pPr>
      <w:r w:rsidRPr="004B3A13">
        <w:rPr>
          <w:rFonts w:ascii="Arial" w:hAnsi="Arial" w:cs="Arial"/>
          <w:lang w:val="en-US"/>
        </w:rPr>
        <w:t>[33]</w:t>
      </w:r>
      <w:r w:rsidRPr="004B3A13">
        <w:rPr>
          <w:rFonts w:ascii="Arial" w:hAnsi="Arial" w:cs="Arial"/>
          <w:lang w:val="en-US"/>
        </w:rPr>
        <w:tab/>
      </w:r>
      <w:r w:rsidR="00757AA4" w:rsidRPr="00E822E3">
        <w:rPr>
          <w:rFonts w:ascii="Arial" w:hAnsi="Arial" w:cs="Arial"/>
          <w:lang w:val="en-US"/>
        </w:rPr>
        <w:t xml:space="preserve">The respondent’s case is that Inspector Anton gave conflicting evidence which he then failed to explain, revealing material contradictions in his testimony, </w:t>
      </w:r>
      <w:r w:rsidR="00B8798B" w:rsidRPr="00E822E3">
        <w:rPr>
          <w:rFonts w:ascii="Arial" w:hAnsi="Arial" w:cs="Arial"/>
          <w:lang w:val="en-US"/>
        </w:rPr>
        <w:t xml:space="preserve">thereby </w:t>
      </w:r>
      <w:r w:rsidR="00757AA4" w:rsidRPr="00E822E3">
        <w:rPr>
          <w:rFonts w:ascii="Arial" w:hAnsi="Arial" w:cs="Arial"/>
          <w:lang w:val="en-US"/>
        </w:rPr>
        <w:t xml:space="preserve">making </w:t>
      </w:r>
      <w:r w:rsidR="00B8798B" w:rsidRPr="00E822E3">
        <w:rPr>
          <w:rFonts w:ascii="Arial" w:hAnsi="Arial" w:cs="Arial"/>
          <w:lang w:val="en-US"/>
        </w:rPr>
        <w:t>h</w:t>
      </w:r>
      <w:r w:rsidR="00757AA4" w:rsidRPr="00E822E3">
        <w:rPr>
          <w:rFonts w:ascii="Arial" w:hAnsi="Arial" w:cs="Arial"/>
          <w:lang w:val="en-US"/>
        </w:rPr>
        <w:t>i</w:t>
      </w:r>
      <w:r w:rsidR="00B8798B" w:rsidRPr="00E822E3">
        <w:rPr>
          <w:rFonts w:ascii="Arial" w:hAnsi="Arial" w:cs="Arial"/>
          <w:lang w:val="en-US"/>
        </w:rPr>
        <w:t xml:space="preserve">s evidence </w:t>
      </w:r>
      <w:r w:rsidR="00757AA4" w:rsidRPr="00E822E3">
        <w:rPr>
          <w:rFonts w:ascii="Arial" w:hAnsi="Arial" w:cs="Arial"/>
          <w:lang w:val="en-US"/>
        </w:rPr>
        <w:t xml:space="preserve">unreliable. </w:t>
      </w:r>
      <w:r w:rsidR="00B8798B" w:rsidRPr="00E822E3">
        <w:rPr>
          <w:rFonts w:ascii="Arial" w:hAnsi="Arial" w:cs="Arial"/>
          <w:lang w:val="en-US"/>
        </w:rPr>
        <w:t>The r</w:t>
      </w:r>
      <w:r w:rsidR="00757AA4" w:rsidRPr="00E822E3">
        <w:rPr>
          <w:rFonts w:ascii="Arial" w:hAnsi="Arial" w:cs="Arial"/>
          <w:lang w:val="en-US"/>
        </w:rPr>
        <w:t xml:space="preserve">espondent also </w:t>
      </w:r>
      <w:r w:rsidR="002572DD" w:rsidRPr="00E822E3">
        <w:rPr>
          <w:rFonts w:ascii="Arial" w:hAnsi="Arial" w:cs="Arial"/>
          <w:lang w:val="en-US"/>
        </w:rPr>
        <w:t>challenged</w:t>
      </w:r>
      <w:r w:rsidR="00757AA4" w:rsidRPr="00E822E3">
        <w:rPr>
          <w:rFonts w:ascii="Arial" w:hAnsi="Arial" w:cs="Arial"/>
          <w:lang w:val="en-US"/>
        </w:rPr>
        <w:t xml:space="preserve"> the appellant’s </w:t>
      </w:r>
      <w:r w:rsidR="002572DD" w:rsidRPr="00E822E3">
        <w:rPr>
          <w:rFonts w:ascii="Arial" w:hAnsi="Arial" w:cs="Arial"/>
          <w:lang w:val="en-US"/>
        </w:rPr>
        <w:t>assertion</w:t>
      </w:r>
      <w:r w:rsidR="00757AA4" w:rsidRPr="00E822E3">
        <w:rPr>
          <w:rFonts w:ascii="Arial" w:hAnsi="Arial" w:cs="Arial"/>
          <w:lang w:val="en-US"/>
        </w:rPr>
        <w:t xml:space="preserve"> that the arresting officer who viewed the CCTV footage had identified the suspect initially and only later</w:t>
      </w:r>
      <w:r w:rsidR="00934EB2" w:rsidRPr="00E822E3">
        <w:rPr>
          <w:rFonts w:ascii="Arial" w:hAnsi="Arial" w:cs="Arial"/>
          <w:lang w:val="en-US"/>
        </w:rPr>
        <w:t>, on careful examination, realis</w:t>
      </w:r>
      <w:r w:rsidR="00757AA4" w:rsidRPr="00E822E3">
        <w:rPr>
          <w:rFonts w:ascii="Arial" w:hAnsi="Arial" w:cs="Arial"/>
          <w:lang w:val="en-US"/>
        </w:rPr>
        <w:t xml:space="preserve">ed that the footage did not depict the suspect. </w:t>
      </w:r>
      <w:r w:rsidR="002572DD" w:rsidRPr="00E822E3">
        <w:rPr>
          <w:rFonts w:ascii="Arial" w:hAnsi="Arial" w:cs="Arial"/>
          <w:lang w:val="en-US"/>
        </w:rPr>
        <w:t>The r</w:t>
      </w:r>
      <w:r w:rsidR="00757AA4" w:rsidRPr="00E822E3">
        <w:rPr>
          <w:rFonts w:ascii="Arial" w:hAnsi="Arial" w:cs="Arial"/>
          <w:lang w:val="en-US"/>
        </w:rPr>
        <w:t xml:space="preserve">espondent argued that this was in complete contradiction </w:t>
      </w:r>
      <w:r w:rsidR="002572DD" w:rsidRPr="00E822E3">
        <w:rPr>
          <w:rFonts w:ascii="Arial" w:hAnsi="Arial" w:cs="Arial"/>
          <w:lang w:val="en-US"/>
        </w:rPr>
        <w:t>t</w:t>
      </w:r>
      <w:r w:rsidR="00757AA4" w:rsidRPr="00E822E3">
        <w:rPr>
          <w:rFonts w:ascii="Arial" w:hAnsi="Arial" w:cs="Arial"/>
          <w:lang w:val="en-US"/>
        </w:rPr>
        <w:t>o the appellant’s submission that the arresting officer was</w:t>
      </w:r>
      <w:r w:rsidR="00B1511B" w:rsidRPr="00E822E3">
        <w:rPr>
          <w:rFonts w:ascii="Arial" w:hAnsi="Arial" w:cs="Arial"/>
          <w:lang w:val="en-US"/>
        </w:rPr>
        <w:t xml:space="preserve"> W/O</w:t>
      </w:r>
      <w:r w:rsidR="00757AA4" w:rsidRPr="00E822E3">
        <w:rPr>
          <w:rFonts w:ascii="Arial" w:hAnsi="Arial" w:cs="Arial"/>
          <w:lang w:val="en-US"/>
        </w:rPr>
        <w:t xml:space="preserve"> Machado and not Inspector Anton</w:t>
      </w:r>
      <w:r w:rsidR="002572DD" w:rsidRPr="00E822E3">
        <w:rPr>
          <w:rFonts w:ascii="Arial" w:hAnsi="Arial" w:cs="Arial"/>
          <w:lang w:val="en-US"/>
        </w:rPr>
        <w:t>,</w:t>
      </w:r>
      <w:r w:rsidR="00757AA4" w:rsidRPr="00E822E3">
        <w:rPr>
          <w:rFonts w:ascii="Arial" w:hAnsi="Arial" w:cs="Arial"/>
          <w:lang w:val="en-US"/>
        </w:rPr>
        <w:t xml:space="preserve"> because </w:t>
      </w:r>
      <w:r w:rsidR="00B1511B" w:rsidRPr="00E822E3">
        <w:rPr>
          <w:rFonts w:ascii="Arial" w:hAnsi="Arial" w:cs="Arial"/>
          <w:lang w:val="en-US"/>
        </w:rPr>
        <w:t xml:space="preserve">W/O </w:t>
      </w:r>
      <w:r w:rsidR="00757AA4" w:rsidRPr="00E822E3">
        <w:rPr>
          <w:rFonts w:ascii="Arial" w:hAnsi="Arial" w:cs="Arial"/>
          <w:lang w:val="en-US"/>
        </w:rPr>
        <w:t>Machado’s testimony categorically reveal</w:t>
      </w:r>
      <w:r w:rsidR="00092A15" w:rsidRPr="00E822E3">
        <w:rPr>
          <w:rFonts w:ascii="Arial" w:hAnsi="Arial" w:cs="Arial"/>
          <w:lang w:val="en-US"/>
        </w:rPr>
        <w:t>ed</w:t>
      </w:r>
      <w:r w:rsidR="00757AA4" w:rsidRPr="00E822E3">
        <w:rPr>
          <w:rFonts w:ascii="Arial" w:hAnsi="Arial" w:cs="Arial"/>
          <w:lang w:val="en-US"/>
        </w:rPr>
        <w:t xml:space="preserve"> that he never identified the suspect from the footage.</w:t>
      </w:r>
    </w:p>
    <w:p w14:paraId="324BE62F" w14:textId="77777777" w:rsidR="00E90C35" w:rsidRPr="004B3A13" w:rsidRDefault="00E90C35" w:rsidP="00966268">
      <w:pPr>
        <w:pStyle w:val="ListParagraph"/>
        <w:spacing w:line="480" w:lineRule="auto"/>
        <w:ind w:left="0"/>
        <w:jc w:val="both"/>
        <w:rPr>
          <w:rFonts w:ascii="Arial" w:hAnsi="Arial" w:cs="Arial"/>
          <w:lang w:val="en-US"/>
        </w:rPr>
      </w:pPr>
    </w:p>
    <w:p w14:paraId="765BBE21" w14:textId="4A5E1DEA" w:rsidR="00E90C35" w:rsidRPr="00E822E3" w:rsidRDefault="00E822E3" w:rsidP="00E822E3">
      <w:pPr>
        <w:spacing w:line="480" w:lineRule="auto"/>
        <w:ind w:left="0"/>
        <w:jc w:val="both"/>
        <w:rPr>
          <w:rFonts w:ascii="Arial" w:hAnsi="Arial" w:cs="Arial"/>
          <w:lang w:val="en-US"/>
        </w:rPr>
      </w:pPr>
      <w:r w:rsidRPr="004B3A13">
        <w:rPr>
          <w:rFonts w:ascii="Arial" w:hAnsi="Arial" w:cs="Arial"/>
          <w:lang w:val="en-US"/>
        </w:rPr>
        <w:t>[34]</w:t>
      </w:r>
      <w:r w:rsidRPr="004B3A13">
        <w:rPr>
          <w:rFonts w:ascii="Arial" w:hAnsi="Arial" w:cs="Arial"/>
          <w:lang w:val="en-US"/>
        </w:rPr>
        <w:tab/>
      </w:r>
      <w:r w:rsidR="002572DD" w:rsidRPr="00E822E3">
        <w:rPr>
          <w:rFonts w:ascii="Arial" w:hAnsi="Arial" w:cs="Arial"/>
          <w:lang w:val="en-US"/>
        </w:rPr>
        <w:t>The r</w:t>
      </w:r>
      <w:r w:rsidR="00757AA4" w:rsidRPr="00E822E3">
        <w:rPr>
          <w:rFonts w:ascii="Arial" w:hAnsi="Arial" w:cs="Arial"/>
          <w:lang w:val="en-US"/>
        </w:rPr>
        <w:t xml:space="preserve">espondent argued that the appellant’s misstatement of facts would have been evident from the original </w:t>
      </w:r>
      <w:r w:rsidR="00092A15" w:rsidRPr="00E822E3">
        <w:rPr>
          <w:rFonts w:ascii="Arial" w:hAnsi="Arial" w:cs="Arial"/>
          <w:lang w:val="en-US"/>
        </w:rPr>
        <w:t>police</w:t>
      </w:r>
      <w:r w:rsidR="0021759D" w:rsidRPr="00E822E3">
        <w:rPr>
          <w:rFonts w:ascii="Arial" w:hAnsi="Arial" w:cs="Arial"/>
          <w:lang w:val="en-US"/>
        </w:rPr>
        <w:t xml:space="preserve"> </w:t>
      </w:r>
      <w:r w:rsidR="00092A15" w:rsidRPr="00E822E3">
        <w:rPr>
          <w:rFonts w:ascii="Arial" w:hAnsi="Arial" w:cs="Arial"/>
          <w:lang w:val="en-US"/>
        </w:rPr>
        <w:t xml:space="preserve">statements </w:t>
      </w:r>
      <w:r w:rsidR="00757AA4" w:rsidRPr="00E822E3">
        <w:rPr>
          <w:rFonts w:ascii="Arial" w:hAnsi="Arial" w:cs="Arial"/>
          <w:lang w:val="en-US"/>
        </w:rPr>
        <w:t xml:space="preserve">of Inspector Anton and W/O Machado shortly after the respondent’s arrest, which </w:t>
      </w:r>
      <w:r w:rsidR="002572DD" w:rsidRPr="00E822E3">
        <w:rPr>
          <w:rFonts w:ascii="Arial" w:hAnsi="Arial" w:cs="Arial"/>
          <w:lang w:val="en-US"/>
        </w:rPr>
        <w:t>were</w:t>
      </w:r>
      <w:r w:rsidR="00757AA4" w:rsidRPr="00E822E3">
        <w:rPr>
          <w:rFonts w:ascii="Arial" w:hAnsi="Arial" w:cs="Arial"/>
          <w:i/>
          <w:iCs/>
          <w:lang w:val="en-US"/>
        </w:rPr>
        <w:t xml:space="preserve"> </w:t>
      </w:r>
      <w:r w:rsidR="00757AA4" w:rsidRPr="00E822E3">
        <w:rPr>
          <w:rFonts w:ascii="Arial" w:hAnsi="Arial" w:cs="Arial"/>
          <w:lang w:val="en-US"/>
        </w:rPr>
        <w:t>discovered and appropriately dealt with as relevant exhibits. Inspector Anton was unable to satisfactorily explain why in his original police statement as well as his witness statement he expressly admitted that he had arrested and handcuffed the suspect at Mr</w:t>
      </w:r>
      <w:r w:rsidR="000C0408" w:rsidRPr="00E822E3">
        <w:rPr>
          <w:rFonts w:ascii="Arial" w:hAnsi="Arial" w:cs="Arial"/>
          <w:lang w:val="en-US"/>
        </w:rPr>
        <w:t xml:space="preserve"> </w:t>
      </w:r>
      <w:r w:rsidR="00757AA4" w:rsidRPr="00E822E3">
        <w:rPr>
          <w:rFonts w:ascii="Arial" w:hAnsi="Arial" w:cs="Arial"/>
          <w:lang w:val="en-US"/>
        </w:rPr>
        <w:t xml:space="preserve">Haasbroek’s house. Similarly, </w:t>
      </w:r>
      <w:r w:rsidR="002572DD" w:rsidRPr="00E822E3">
        <w:rPr>
          <w:rFonts w:ascii="Arial" w:hAnsi="Arial" w:cs="Arial"/>
          <w:lang w:val="en-US"/>
        </w:rPr>
        <w:t>W/O</w:t>
      </w:r>
      <w:r w:rsidR="00757AA4" w:rsidRPr="00E822E3">
        <w:rPr>
          <w:rFonts w:ascii="Arial" w:hAnsi="Arial" w:cs="Arial"/>
          <w:lang w:val="en-US"/>
        </w:rPr>
        <w:t xml:space="preserve"> Machado was unable to explain why in his </w:t>
      </w:r>
      <w:r w:rsidR="00757AA4" w:rsidRPr="00E822E3">
        <w:rPr>
          <w:rFonts w:ascii="Arial" w:hAnsi="Arial" w:cs="Arial"/>
          <w:lang w:val="en-US"/>
        </w:rPr>
        <w:lastRenderedPageBreak/>
        <w:t xml:space="preserve">original police statement as well as witness statement </w:t>
      </w:r>
      <w:r w:rsidR="00B1511B" w:rsidRPr="00E822E3">
        <w:rPr>
          <w:rFonts w:ascii="Arial" w:hAnsi="Arial" w:cs="Arial"/>
          <w:lang w:val="en-US"/>
        </w:rPr>
        <w:t xml:space="preserve">he </w:t>
      </w:r>
      <w:r w:rsidR="00757AA4" w:rsidRPr="00E822E3">
        <w:rPr>
          <w:rFonts w:ascii="Arial" w:hAnsi="Arial" w:cs="Arial"/>
          <w:lang w:val="en-US"/>
        </w:rPr>
        <w:t xml:space="preserve">said that he found the respondent </w:t>
      </w:r>
      <w:r w:rsidR="000A55EE" w:rsidRPr="00E822E3">
        <w:rPr>
          <w:rFonts w:ascii="Arial" w:hAnsi="Arial" w:cs="Arial"/>
          <w:lang w:val="en-US"/>
        </w:rPr>
        <w:t>‘</w:t>
      </w:r>
      <w:r w:rsidR="00757AA4" w:rsidRPr="00E822E3">
        <w:rPr>
          <w:rFonts w:ascii="Arial" w:hAnsi="Arial" w:cs="Arial"/>
          <w:lang w:val="en-US"/>
        </w:rPr>
        <w:t>already in the waiting cells</w:t>
      </w:r>
      <w:r w:rsidR="000A55EE" w:rsidRPr="00E822E3">
        <w:rPr>
          <w:rFonts w:ascii="Arial" w:hAnsi="Arial" w:cs="Arial"/>
          <w:lang w:val="en-US"/>
        </w:rPr>
        <w:t>’</w:t>
      </w:r>
      <w:r w:rsidR="00966268" w:rsidRPr="00E822E3">
        <w:rPr>
          <w:rFonts w:ascii="Arial" w:hAnsi="Arial" w:cs="Arial"/>
          <w:lang w:val="en-US"/>
        </w:rPr>
        <w:t>.</w:t>
      </w:r>
    </w:p>
    <w:p w14:paraId="057F0E7E" w14:textId="77777777" w:rsidR="00E90C35" w:rsidRPr="004B3A13" w:rsidRDefault="00E90C35" w:rsidP="00966268">
      <w:pPr>
        <w:pStyle w:val="ListParagraph"/>
        <w:spacing w:line="480" w:lineRule="auto"/>
        <w:ind w:left="0"/>
        <w:jc w:val="both"/>
        <w:rPr>
          <w:rFonts w:ascii="Arial" w:hAnsi="Arial" w:cs="Arial"/>
          <w:lang w:val="en-US"/>
        </w:rPr>
      </w:pPr>
    </w:p>
    <w:p w14:paraId="12D84262" w14:textId="43769467" w:rsidR="00D063EA" w:rsidRPr="00E822E3" w:rsidRDefault="00E822E3" w:rsidP="00E822E3">
      <w:pPr>
        <w:spacing w:line="480" w:lineRule="auto"/>
        <w:ind w:left="0"/>
        <w:jc w:val="both"/>
        <w:rPr>
          <w:rFonts w:ascii="Arial" w:hAnsi="Arial" w:cs="Arial"/>
          <w:lang w:val="en-US"/>
        </w:rPr>
      </w:pPr>
      <w:r w:rsidRPr="004B3A13">
        <w:rPr>
          <w:rFonts w:ascii="Arial" w:hAnsi="Arial" w:cs="Arial"/>
          <w:lang w:val="en-US"/>
        </w:rPr>
        <w:t>[35]</w:t>
      </w:r>
      <w:r w:rsidRPr="004B3A13">
        <w:rPr>
          <w:rFonts w:ascii="Arial" w:hAnsi="Arial" w:cs="Arial"/>
          <w:lang w:val="en-US"/>
        </w:rPr>
        <w:tab/>
      </w:r>
      <w:r w:rsidR="00757AA4" w:rsidRPr="00E822E3">
        <w:rPr>
          <w:rFonts w:ascii="Arial" w:hAnsi="Arial" w:cs="Arial"/>
          <w:lang w:val="en-US"/>
        </w:rPr>
        <w:t xml:space="preserve">The </w:t>
      </w:r>
      <w:r w:rsidR="00BA4A91" w:rsidRPr="00E822E3">
        <w:rPr>
          <w:rFonts w:ascii="Arial" w:hAnsi="Arial" w:cs="Arial"/>
          <w:lang w:val="en-US"/>
        </w:rPr>
        <w:t>r</w:t>
      </w:r>
      <w:r w:rsidR="00757AA4" w:rsidRPr="00E822E3">
        <w:rPr>
          <w:rFonts w:ascii="Arial" w:hAnsi="Arial" w:cs="Arial"/>
          <w:lang w:val="en-US"/>
        </w:rPr>
        <w:t xml:space="preserve">espondent highlighted the </w:t>
      </w:r>
      <w:r w:rsidR="00BA4A91" w:rsidRPr="00E822E3">
        <w:rPr>
          <w:rFonts w:ascii="Arial" w:hAnsi="Arial" w:cs="Arial"/>
          <w:lang w:val="en-US"/>
        </w:rPr>
        <w:t>a</w:t>
      </w:r>
      <w:r w:rsidR="00757AA4" w:rsidRPr="00E822E3">
        <w:rPr>
          <w:rFonts w:ascii="Arial" w:hAnsi="Arial" w:cs="Arial"/>
          <w:lang w:val="en-US"/>
        </w:rPr>
        <w:t>ppellant</w:t>
      </w:r>
      <w:r w:rsidR="00BA4A91" w:rsidRPr="00E822E3">
        <w:rPr>
          <w:rFonts w:ascii="Arial" w:hAnsi="Arial" w:cs="Arial"/>
          <w:lang w:val="en-US"/>
        </w:rPr>
        <w:t>’</w:t>
      </w:r>
      <w:r w:rsidR="00757AA4" w:rsidRPr="00E822E3">
        <w:rPr>
          <w:rFonts w:ascii="Arial" w:hAnsi="Arial" w:cs="Arial"/>
          <w:lang w:val="en-US"/>
        </w:rPr>
        <w:t>s fa</w:t>
      </w:r>
      <w:r w:rsidR="00860559" w:rsidRPr="00E822E3">
        <w:rPr>
          <w:rFonts w:ascii="Arial" w:hAnsi="Arial" w:cs="Arial"/>
          <w:lang w:val="en-US"/>
        </w:rPr>
        <w:t>ilure to include the statements</w:t>
      </w:r>
      <w:r w:rsidR="00757AA4" w:rsidRPr="00E822E3">
        <w:rPr>
          <w:rFonts w:ascii="Arial" w:hAnsi="Arial" w:cs="Arial"/>
          <w:lang w:val="en-US"/>
        </w:rPr>
        <w:t xml:space="preserve"> of Inspector Anton and </w:t>
      </w:r>
      <w:r w:rsidR="000A55EE" w:rsidRPr="00E822E3">
        <w:rPr>
          <w:rFonts w:ascii="Arial" w:hAnsi="Arial" w:cs="Arial"/>
          <w:lang w:val="en-US"/>
        </w:rPr>
        <w:t xml:space="preserve">W/O </w:t>
      </w:r>
      <w:r w:rsidR="00757AA4" w:rsidRPr="00E822E3">
        <w:rPr>
          <w:rFonts w:ascii="Arial" w:hAnsi="Arial" w:cs="Arial"/>
          <w:lang w:val="en-US"/>
        </w:rPr>
        <w:t>Machado</w:t>
      </w:r>
      <w:r w:rsidR="00BA4A91" w:rsidRPr="00E822E3">
        <w:rPr>
          <w:rFonts w:ascii="Arial" w:hAnsi="Arial" w:cs="Arial"/>
          <w:lang w:val="en-US"/>
        </w:rPr>
        <w:t>,</w:t>
      </w:r>
      <w:r w:rsidR="00757AA4" w:rsidRPr="00E822E3">
        <w:rPr>
          <w:rFonts w:ascii="Arial" w:hAnsi="Arial" w:cs="Arial"/>
          <w:lang w:val="en-US"/>
        </w:rPr>
        <w:t xml:space="preserve"> and the </w:t>
      </w:r>
      <w:r w:rsidR="00F537E5" w:rsidRPr="00E822E3">
        <w:rPr>
          <w:rFonts w:ascii="Arial" w:hAnsi="Arial" w:cs="Arial"/>
          <w:lang w:val="en-US"/>
        </w:rPr>
        <w:t xml:space="preserve">entry in the </w:t>
      </w:r>
      <w:r w:rsidR="00757AA4" w:rsidRPr="00E822E3">
        <w:rPr>
          <w:rFonts w:ascii="Arial" w:hAnsi="Arial" w:cs="Arial"/>
          <w:lang w:val="en-US"/>
        </w:rPr>
        <w:t xml:space="preserve">Occurrence Book </w:t>
      </w:r>
      <w:r w:rsidR="00F537E5" w:rsidRPr="00E822E3">
        <w:rPr>
          <w:rFonts w:ascii="Arial" w:hAnsi="Arial" w:cs="Arial"/>
          <w:lang w:val="en-US"/>
        </w:rPr>
        <w:t>at</w:t>
      </w:r>
      <w:r w:rsidR="00757AA4" w:rsidRPr="00E822E3">
        <w:rPr>
          <w:rFonts w:ascii="Arial" w:hAnsi="Arial" w:cs="Arial"/>
          <w:lang w:val="en-US"/>
        </w:rPr>
        <w:t xml:space="preserve"> Swakop</w:t>
      </w:r>
      <w:r w:rsidR="002572DD" w:rsidRPr="00E822E3">
        <w:rPr>
          <w:rFonts w:ascii="Arial" w:hAnsi="Arial" w:cs="Arial"/>
          <w:lang w:val="en-US"/>
        </w:rPr>
        <w:t>mund</w:t>
      </w:r>
      <w:r w:rsidR="00757AA4" w:rsidRPr="00E822E3">
        <w:rPr>
          <w:rFonts w:ascii="Arial" w:hAnsi="Arial" w:cs="Arial"/>
          <w:lang w:val="en-US"/>
        </w:rPr>
        <w:t xml:space="preserve"> Police </w:t>
      </w:r>
      <w:r w:rsidR="006B33CA" w:rsidRPr="00E822E3">
        <w:rPr>
          <w:rFonts w:ascii="Arial" w:hAnsi="Arial" w:cs="Arial"/>
          <w:lang w:val="en-US"/>
        </w:rPr>
        <w:t xml:space="preserve">Station </w:t>
      </w:r>
      <w:r w:rsidR="00757AA4" w:rsidRPr="00E822E3">
        <w:rPr>
          <w:rFonts w:ascii="Arial" w:hAnsi="Arial" w:cs="Arial"/>
          <w:lang w:val="en-US"/>
        </w:rPr>
        <w:t>dated 27 February 2019 at 08h33, mentioning the time of arrest, in the appeal record. It was submitted that the documents excluded from the record</w:t>
      </w:r>
      <w:r w:rsidR="002572DD" w:rsidRPr="00E822E3">
        <w:rPr>
          <w:rFonts w:ascii="Arial" w:hAnsi="Arial" w:cs="Arial"/>
          <w:lang w:val="en-US"/>
        </w:rPr>
        <w:t xml:space="preserve"> </w:t>
      </w:r>
      <w:r w:rsidR="00757AA4" w:rsidRPr="00E822E3">
        <w:rPr>
          <w:rFonts w:ascii="Arial" w:hAnsi="Arial" w:cs="Arial"/>
          <w:lang w:val="en-US"/>
        </w:rPr>
        <w:t xml:space="preserve">are relevant to </w:t>
      </w:r>
      <w:r w:rsidR="002572DD" w:rsidRPr="00E822E3">
        <w:rPr>
          <w:rFonts w:ascii="Arial" w:hAnsi="Arial" w:cs="Arial"/>
          <w:lang w:val="en-US"/>
        </w:rPr>
        <w:t xml:space="preserve">the </w:t>
      </w:r>
      <w:r w:rsidR="00757AA4" w:rsidRPr="00E822E3">
        <w:rPr>
          <w:rFonts w:ascii="Arial" w:hAnsi="Arial" w:cs="Arial"/>
          <w:lang w:val="en-US"/>
        </w:rPr>
        <w:t>adjudicat</w:t>
      </w:r>
      <w:r w:rsidR="002572DD" w:rsidRPr="00E822E3">
        <w:rPr>
          <w:rFonts w:ascii="Arial" w:hAnsi="Arial" w:cs="Arial"/>
          <w:lang w:val="en-US"/>
        </w:rPr>
        <w:t>ion</w:t>
      </w:r>
      <w:r w:rsidR="00757AA4" w:rsidRPr="00E822E3">
        <w:rPr>
          <w:rFonts w:ascii="Arial" w:hAnsi="Arial" w:cs="Arial"/>
          <w:lang w:val="en-US"/>
        </w:rPr>
        <w:t xml:space="preserve"> </w:t>
      </w:r>
      <w:r w:rsidR="002572DD" w:rsidRPr="00E822E3">
        <w:rPr>
          <w:rFonts w:ascii="Arial" w:hAnsi="Arial" w:cs="Arial"/>
          <w:lang w:val="en-US"/>
        </w:rPr>
        <w:t xml:space="preserve">of </w:t>
      </w:r>
      <w:r w:rsidR="00757AA4" w:rsidRPr="00E822E3">
        <w:rPr>
          <w:rFonts w:ascii="Arial" w:hAnsi="Arial" w:cs="Arial"/>
          <w:lang w:val="en-US"/>
        </w:rPr>
        <w:t>the merits of th</w:t>
      </w:r>
      <w:r w:rsidR="002572DD" w:rsidRPr="00E822E3">
        <w:rPr>
          <w:rFonts w:ascii="Arial" w:hAnsi="Arial" w:cs="Arial"/>
          <w:lang w:val="en-US"/>
        </w:rPr>
        <w:t>e</w:t>
      </w:r>
      <w:r w:rsidR="00757AA4" w:rsidRPr="00E822E3">
        <w:rPr>
          <w:rFonts w:ascii="Arial" w:hAnsi="Arial" w:cs="Arial"/>
          <w:lang w:val="en-US"/>
        </w:rPr>
        <w:t xml:space="preserve"> appeal and were relied upon by the court </w:t>
      </w:r>
      <w:r w:rsidR="00757AA4" w:rsidRPr="00E822E3">
        <w:rPr>
          <w:rFonts w:ascii="Arial" w:hAnsi="Arial" w:cs="Arial"/>
          <w:iCs/>
          <w:lang w:val="en-US"/>
        </w:rPr>
        <w:t>a quo</w:t>
      </w:r>
      <w:r w:rsidR="00757AA4" w:rsidRPr="00E822E3">
        <w:rPr>
          <w:rFonts w:ascii="Arial" w:hAnsi="Arial" w:cs="Arial"/>
          <w:lang w:val="en-US"/>
        </w:rPr>
        <w:t xml:space="preserve"> in </w:t>
      </w:r>
      <w:r w:rsidR="00BC6B40" w:rsidRPr="00E822E3">
        <w:rPr>
          <w:rFonts w:ascii="Arial" w:hAnsi="Arial" w:cs="Arial"/>
          <w:lang w:val="en-US"/>
        </w:rPr>
        <w:t>concluding</w:t>
      </w:r>
      <w:r w:rsidR="00757AA4" w:rsidRPr="00E822E3">
        <w:rPr>
          <w:rFonts w:ascii="Arial" w:hAnsi="Arial" w:cs="Arial"/>
          <w:lang w:val="en-US"/>
        </w:rPr>
        <w:t xml:space="preserve"> that the arrest and detention were unlawful.</w:t>
      </w:r>
    </w:p>
    <w:p w14:paraId="3EC4CC89" w14:textId="77777777" w:rsidR="00E90C35" w:rsidRPr="004B3A13" w:rsidRDefault="00E90C35" w:rsidP="00966268">
      <w:pPr>
        <w:pStyle w:val="ListParagraph"/>
        <w:spacing w:line="480" w:lineRule="auto"/>
        <w:ind w:left="0"/>
        <w:jc w:val="both"/>
        <w:rPr>
          <w:rFonts w:ascii="Arial" w:hAnsi="Arial" w:cs="Arial"/>
          <w:lang w:val="en-US"/>
        </w:rPr>
      </w:pPr>
    </w:p>
    <w:p w14:paraId="35EA4912" w14:textId="084E13C2" w:rsidR="00D063EA" w:rsidRPr="00E822E3" w:rsidRDefault="00E822E3" w:rsidP="00E822E3">
      <w:pPr>
        <w:spacing w:line="480" w:lineRule="auto"/>
        <w:ind w:left="0"/>
        <w:jc w:val="both"/>
        <w:rPr>
          <w:rFonts w:ascii="Arial" w:hAnsi="Arial" w:cs="Arial"/>
          <w:lang w:val="en-US"/>
        </w:rPr>
      </w:pPr>
      <w:r w:rsidRPr="004B3A13">
        <w:rPr>
          <w:rFonts w:ascii="Arial" w:hAnsi="Arial" w:cs="Arial"/>
          <w:lang w:val="en-US"/>
        </w:rPr>
        <w:t>[36]</w:t>
      </w:r>
      <w:r w:rsidRPr="004B3A13">
        <w:rPr>
          <w:rFonts w:ascii="Arial" w:hAnsi="Arial" w:cs="Arial"/>
          <w:lang w:val="en-US"/>
        </w:rPr>
        <w:tab/>
      </w:r>
      <w:r w:rsidR="00934EB2" w:rsidRPr="00E822E3">
        <w:rPr>
          <w:rFonts w:ascii="Arial" w:hAnsi="Arial" w:cs="Arial"/>
          <w:lang w:val="en-US"/>
        </w:rPr>
        <w:t>The respondent emphasis</w:t>
      </w:r>
      <w:r w:rsidR="00757AA4" w:rsidRPr="00E822E3">
        <w:rPr>
          <w:rFonts w:ascii="Arial" w:hAnsi="Arial" w:cs="Arial"/>
          <w:lang w:val="en-US"/>
        </w:rPr>
        <w:t>ed that the award of damages by the court</w:t>
      </w:r>
      <w:r w:rsidR="00757AA4" w:rsidRPr="00E822E3">
        <w:rPr>
          <w:rFonts w:ascii="Arial" w:hAnsi="Arial" w:cs="Arial"/>
          <w:i/>
          <w:iCs/>
          <w:lang w:val="en-US"/>
        </w:rPr>
        <w:t xml:space="preserve"> </w:t>
      </w:r>
      <w:r w:rsidR="00757AA4" w:rsidRPr="00E822E3">
        <w:rPr>
          <w:rFonts w:ascii="Arial" w:hAnsi="Arial" w:cs="Arial"/>
          <w:iCs/>
          <w:lang w:val="en-US"/>
        </w:rPr>
        <w:t>a quo</w:t>
      </w:r>
      <w:r w:rsidR="00757AA4" w:rsidRPr="00E822E3">
        <w:rPr>
          <w:rFonts w:ascii="Arial" w:hAnsi="Arial" w:cs="Arial"/>
          <w:lang w:val="en-US"/>
        </w:rPr>
        <w:t xml:space="preserve"> was justified </w:t>
      </w:r>
      <w:r w:rsidR="00860559" w:rsidRPr="00E822E3">
        <w:rPr>
          <w:rFonts w:ascii="Arial" w:hAnsi="Arial" w:cs="Arial"/>
          <w:lang w:val="en-US"/>
        </w:rPr>
        <w:t xml:space="preserve">because a broad discretion vested in </w:t>
      </w:r>
      <w:r w:rsidR="002572DD" w:rsidRPr="00E822E3">
        <w:rPr>
          <w:rFonts w:ascii="Arial" w:hAnsi="Arial" w:cs="Arial"/>
          <w:lang w:val="en-US"/>
        </w:rPr>
        <w:t xml:space="preserve">the </w:t>
      </w:r>
      <w:r w:rsidR="00757AA4" w:rsidRPr="00E822E3">
        <w:rPr>
          <w:rFonts w:ascii="Arial" w:hAnsi="Arial" w:cs="Arial"/>
          <w:lang w:val="en-US"/>
        </w:rPr>
        <w:t xml:space="preserve">court and the respondent himself furnished oral evidence regarding the conditions of his detention which was not </w:t>
      </w:r>
      <w:r w:rsidR="002572DD" w:rsidRPr="00E822E3">
        <w:rPr>
          <w:rFonts w:ascii="Arial" w:hAnsi="Arial" w:cs="Arial"/>
          <w:lang w:val="en-US"/>
        </w:rPr>
        <w:t>gainsai</w:t>
      </w:r>
      <w:r w:rsidR="00757AA4" w:rsidRPr="00E822E3">
        <w:rPr>
          <w:rFonts w:ascii="Arial" w:hAnsi="Arial" w:cs="Arial"/>
          <w:lang w:val="en-US"/>
        </w:rPr>
        <w:t xml:space="preserve">d by the appellant despite the court </w:t>
      </w:r>
      <w:r w:rsidR="00757AA4" w:rsidRPr="00E822E3">
        <w:rPr>
          <w:rFonts w:ascii="Arial" w:hAnsi="Arial" w:cs="Arial"/>
          <w:iCs/>
          <w:lang w:val="en-US"/>
        </w:rPr>
        <w:t>a quo’s</w:t>
      </w:r>
      <w:r w:rsidR="00757AA4" w:rsidRPr="00E822E3">
        <w:rPr>
          <w:rFonts w:ascii="Arial" w:hAnsi="Arial" w:cs="Arial"/>
          <w:lang w:val="en-US"/>
        </w:rPr>
        <w:t xml:space="preserve"> specific invitation to do so. Therefore, </w:t>
      </w:r>
      <w:r w:rsidR="00441825" w:rsidRPr="00E822E3">
        <w:rPr>
          <w:rFonts w:ascii="Arial" w:hAnsi="Arial" w:cs="Arial"/>
          <w:lang w:val="en-US"/>
        </w:rPr>
        <w:t xml:space="preserve">so it was argued, </w:t>
      </w:r>
      <w:r w:rsidR="00757AA4" w:rsidRPr="00E822E3">
        <w:rPr>
          <w:rFonts w:ascii="Arial" w:hAnsi="Arial" w:cs="Arial"/>
          <w:lang w:val="en-US"/>
        </w:rPr>
        <w:t>the evidence stood uncontested.</w:t>
      </w:r>
    </w:p>
    <w:p w14:paraId="7FD50543" w14:textId="77777777" w:rsidR="00D063EA" w:rsidRPr="004B3A13" w:rsidRDefault="00D063EA" w:rsidP="000C0408">
      <w:pPr>
        <w:pStyle w:val="Body"/>
        <w:spacing w:after="0" w:line="480" w:lineRule="auto"/>
        <w:ind w:left="0"/>
        <w:jc w:val="both"/>
        <w:rPr>
          <w:rFonts w:ascii="Arial" w:eastAsia="Arial" w:hAnsi="Arial" w:cs="Arial"/>
          <w:b/>
          <w:bCs/>
          <w:sz w:val="24"/>
          <w:szCs w:val="24"/>
          <w:u w:val="single"/>
          <w:lang w:val="en-US"/>
        </w:rPr>
      </w:pPr>
    </w:p>
    <w:p w14:paraId="2FECEE05" w14:textId="1CA0C162" w:rsidR="00757AA4" w:rsidRPr="004B3A13" w:rsidRDefault="00757AA4" w:rsidP="000C0408">
      <w:pPr>
        <w:pStyle w:val="Body"/>
        <w:spacing w:after="0" w:line="480" w:lineRule="auto"/>
        <w:ind w:left="0"/>
        <w:jc w:val="both"/>
        <w:rPr>
          <w:rFonts w:ascii="Arial" w:eastAsia="Arial" w:hAnsi="Arial" w:cs="Arial"/>
          <w:sz w:val="24"/>
          <w:szCs w:val="24"/>
          <w:highlight w:val="yellow"/>
          <w:u w:val="single"/>
          <w:lang w:val="en-US"/>
        </w:rPr>
      </w:pPr>
      <w:r w:rsidRPr="004B3A13">
        <w:rPr>
          <w:rFonts w:ascii="Arial" w:eastAsia="Arial" w:hAnsi="Arial" w:cs="Arial"/>
          <w:sz w:val="24"/>
          <w:szCs w:val="24"/>
          <w:u w:val="single"/>
          <w:lang w:val="en-US"/>
        </w:rPr>
        <w:t xml:space="preserve">Consideration of </w:t>
      </w:r>
      <w:r w:rsidR="002572DD" w:rsidRPr="004B3A13">
        <w:rPr>
          <w:rFonts w:ascii="Arial" w:eastAsia="Arial" w:hAnsi="Arial" w:cs="Arial"/>
          <w:sz w:val="24"/>
          <w:szCs w:val="24"/>
          <w:u w:val="single"/>
          <w:lang w:val="en-US"/>
        </w:rPr>
        <w:t>e</w:t>
      </w:r>
      <w:r w:rsidRPr="004B3A13">
        <w:rPr>
          <w:rFonts w:ascii="Arial" w:eastAsia="Arial" w:hAnsi="Arial" w:cs="Arial"/>
          <w:sz w:val="24"/>
          <w:szCs w:val="24"/>
          <w:u w:val="single"/>
          <w:lang w:val="en-US"/>
        </w:rPr>
        <w:t>xplanation</w:t>
      </w:r>
    </w:p>
    <w:p w14:paraId="0C883E13" w14:textId="52D51681" w:rsidR="00D063EA"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[37]</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The grounds </w:t>
      </w:r>
      <w:r w:rsidR="00A55E7A" w:rsidRPr="004B3A13">
        <w:rPr>
          <w:rFonts w:ascii="Arial" w:eastAsia="Arial" w:hAnsi="Arial" w:cs="Arial"/>
          <w:sz w:val="24"/>
          <w:szCs w:val="24"/>
          <w:lang w:val="en-US"/>
        </w:rPr>
        <w:t>of</w:t>
      </w:r>
      <w:r w:rsidR="00757AA4" w:rsidRPr="004B3A13">
        <w:rPr>
          <w:rFonts w:ascii="Arial" w:eastAsia="Arial" w:hAnsi="Arial" w:cs="Arial"/>
          <w:sz w:val="24"/>
          <w:szCs w:val="24"/>
          <w:lang w:val="en-US"/>
        </w:rPr>
        <w:t xml:space="preserve"> appeal consist of bald </w:t>
      </w:r>
      <w:r w:rsidR="00441825" w:rsidRPr="004B3A13">
        <w:rPr>
          <w:rFonts w:ascii="Arial" w:eastAsia="Arial" w:hAnsi="Arial" w:cs="Arial"/>
          <w:sz w:val="24"/>
          <w:szCs w:val="24"/>
          <w:lang w:val="en-US"/>
        </w:rPr>
        <w:t xml:space="preserve">and vague </w:t>
      </w:r>
      <w:r w:rsidR="00757AA4" w:rsidRPr="004B3A13">
        <w:rPr>
          <w:rFonts w:ascii="Arial" w:eastAsia="Arial" w:hAnsi="Arial" w:cs="Arial"/>
          <w:sz w:val="24"/>
          <w:szCs w:val="24"/>
          <w:lang w:val="en-US"/>
        </w:rPr>
        <w:t xml:space="preserve">assertions that do not </w:t>
      </w:r>
      <w:r w:rsidR="00441825" w:rsidRPr="004B3A13">
        <w:rPr>
          <w:rFonts w:ascii="Arial" w:eastAsia="Arial" w:hAnsi="Arial" w:cs="Arial"/>
          <w:sz w:val="24"/>
          <w:szCs w:val="24"/>
          <w:lang w:val="en-US"/>
        </w:rPr>
        <w:t xml:space="preserve">set forth concisely and distinctly the grounds on which the appeal is predicated. </w:t>
      </w:r>
      <w:r w:rsidR="00757AA4" w:rsidRPr="004B3A13">
        <w:rPr>
          <w:rFonts w:ascii="Arial" w:eastAsia="Arial" w:hAnsi="Arial" w:cs="Arial"/>
          <w:sz w:val="24"/>
          <w:szCs w:val="24"/>
          <w:lang w:val="en-US"/>
        </w:rPr>
        <w:t xml:space="preserve">Despite its contention that the court </w:t>
      </w:r>
      <w:r w:rsidR="00757AA4" w:rsidRPr="007362FF">
        <w:rPr>
          <w:rFonts w:ascii="Arial" w:eastAsia="Arial" w:hAnsi="Arial" w:cs="Arial"/>
          <w:iCs/>
          <w:sz w:val="24"/>
          <w:szCs w:val="24"/>
          <w:lang w:val="en-US"/>
        </w:rPr>
        <w:t>a quo</w:t>
      </w:r>
      <w:r w:rsidR="00757AA4" w:rsidRPr="004B3A13">
        <w:rPr>
          <w:rFonts w:ascii="Arial" w:eastAsia="Arial" w:hAnsi="Arial" w:cs="Arial"/>
          <w:sz w:val="24"/>
          <w:szCs w:val="24"/>
          <w:lang w:val="en-US"/>
        </w:rPr>
        <w:t xml:space="preserve"> erred in concluding that the CCTV footage was the only basis for</w:t>
      </w:r>
      <w:r w:rsidR="00A55E7A" w:rsidRPr="004B3A13">
        <w:rPr>
          <w:rFonts w:ascii="Arial" w:eastAsia="Arial" w:hAnsi="Arial" w:cs="Arial"/>
          <w:sz w:val="24"/>
          <w:szCs w:val="24"/>
          <w:lang w:val="en-US"/>
        </w:rPr>
        <w:t xml:space="preserve"> the</w:t>
      </w:r>
      <w:r w:rsidR="00757AA4" w:rsidRPr="004B3A13">
        <w:rPr>
          <w:rFonts w:ascii="Arial" w:eastAsia="Arial" w:hAnsi="Arial" w:cs="Arial"/>
          <w:sz w:val="24"/>
          <w:szCs w:val="24"/>
          <w:lang w:val="en-US"/>
        </w:rPr>
        <w:t xml:space="preserve"> arrest, the appellant failed to provide credible evidence to establish any additional basis for the arrest. </w:t>
      </w:r>
      <w:r w:rsidR="009525CB" w:rsidRPr="004B3A13">
        <w:rPr>
          <w:rFonts w:ascii="Arial" w:eastAsia="Arial" w:hAnsi="Arial" w:cs="Arial"/>
          <w:sz w:val="24"/>
          <w:szCs w:val="24"/>
          <w:lang w:val="en-US"/>
        </w:rPr>
        <w:t>T</w:t>
      </w:r>
      <w:r w:rsidR="00757AA4" w:rsidRPr="004B3A13">
        <w:rPr>
          <w:rFonts w:ascii="Arial" w:eastAsia="Arial" w:hAnsi="Arial" w:cs="Arial"/>
          <w:sz w:val="24"/>
          <w:szCs w:val="24"/>
          <w:lang w:val="en-US"/>
        </w:rPr>
        <w:t>here is no gainsaying that once the arrest ha</w:t>
      </w:r>
      <w:r w:rsidR="009A7A89" w:rsidRPr="004B3A13">
        <w:rPr>
          <w:rFonts w:ascii="Arial" w:eastAsia="Arial" w:hAnsi="Arial" w:cs="Arial"/>
          <w:sz w:val="24"/>
          <w:szCs w:val="24"/>
          <w:lang w:val="en-US"/>
        </w:rPr>
        <w:t>d</w:t>
      </w:r>
      <w:r w:rsidR="00757AA4" w:rsidRPr="004B3A13">
        <w:rPr>
          <w:rFonts w:ascii="Arial" w:eastAsia="Arial" w:hAnsi="Arial" w:cs="Arial"/>
          <w:sz w:val="24"/>
          <w:szCs w:val="24"/>
          <w:lang w:val="en-US"/>
        </w:rPr>
        <w:t xml:space="preserve"> been admitted, its lawfulness need</w:t>
      </w:r>
      <w:r w:rsidR="009A7A89" w:rsidRPr="004B3A13">
        <w:rPr>
          <w:rFonts w:ascii="Arial" w:eastAsia="Arial" w:hAnsi="Arial" w:cs="Arial"/>
          <w:sz w:val="24"/>
          <w:szCs w:val="24"/>
          <w:lang w:val="en-US"/>
        </w:rPr>
        <w:t>ed</w:t>
      </w:r>
      <w:r w:rsidR="00757AA4" w:rsidRPr="004B3A13">
        <w:rPr>
          <w:rFonts w:ascii="Arial" w:eastAsia="Arial" w:hAnsi="Arial" w:cs="Arial"/>
          <w:sz w:val="24"/>
          <w:szCs w:val="24"/>
          <w:lang w:val="en-US"/>
        </w:rPr>
        <w:t xml:space="preserve"> to be established by the appellant.</w:t>
      </w:r>
    </w:p>
    <w:p w14:paraId="7022040F" w14:textId="77777777" w:rsidR="00D063EA" w:rsidRPr="004B3A13" w:rsidRDefault="00D063EA" w:rsidP="00966268">
      <w:pPr>
        <w:pStyle w:val="Body"/>
        <w:spacing w:after="0" w:line="480" w:lineRule="auto"/>
        <w:ind w:left="0"/>
        <w:jc w:val="both"/>
        <w:rPr>
          <w:rFonts w:ascii="Arial" w:eastAsia="Arial" w:hAnsi="Arial" w:cs="Arial"/>
          <w:sz w:val="24"/>
          <w:szCs w:val="24"/>
          <w:lang w:val="en-US"/>
        </w:rPr>
      </w:pPr>
    </w:p>
    <w:p w14:paraId="49EDD85F" w14:textId="695A9362" w:rsidR="00D063EA"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lastRenderedPageBreak/>
        <w:t>[38]</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The appellant failed to </w:t>
      </w:r>
      <w:r w:rsidR="00A55E7A" w:rsidRPr="004B3A13">
        <w:rPr>
          <w:rFonts w:ascii="Arial" w:eastAsia="Arial" w:hAnsi="Arial" w:cs="Arial"/>
          <w:sz w:val="24"/>
          <w:szCs w:val="24"/>
          <w:lang w:val="en-US"/>
        </w:rPr>
        <w:t xml:space="preserve">include in the record </w:t>
      </w:r>
      <w:r w:rsidR="00757AA4" w:rsidRPr="004B3A13">
        <w:rPr>
          <w:rFonts w:ascii="Arial" w:eastAsia="Arial" w:hAnsi="Arial" w:cs="Arial"/>
          <w:sz w:val="24"/>
          <w:szCs w:val="24"/>
          <w:lang w:val="en-US"/>
        </w:rPr>
        <w:t>relevant documents</w:t>
      </w:r>
      <w:r w:rsidR="00A55E7A"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necessary for</w:t>
      </w:r>
      <w:r w:rsidR="00A55E7A" w:rsidRPr="004B3A13">
        <w:rPr>
          <w:rFonts w:ascii="Arial" w:eastAsia="Arial" w:hAnsi="Arial" w:cs="Arial"/>
          <w:sz w:val="24"/>
          <w:szCs w:val="24"/>
          <w:lang w:val="en-US"/>
        </w:rPr>
        <w:t xml:space="preserve"> the </w:t>
      </w:r>
      <w:r w:rsidR="00757AA4" w:rsidRPr="004B3A13">
        <w:rPr>
          <w:rFonts w:ascii="Arial" w:eastAsia="Arial" w:hAnsi="Arial" w:cs="Arial"/>
          <w:sz w:val="24"/>
          <w:szCs w:val="24"/>
          <w:lang w:val="en-US"/>
        </w:rPr>
        <w:t>adjudicat</w:t>
      </w:r>
      <w:r w:rsidR="00A55E7A" w:rsidRPr="004B3A13">
        <w:rPr>
          <w:rFonts w:ascii="Arial" w:eastAsia="Arial" w:hAnsi="Arial" w:cs="Arial"/>
          <w:sz w:val="24"/>
          <w:szCs w:val="24"/>
          <w:lang w:val="en-US"/>
        </w:rPr>
        <w:t>ion</w:t>
      </w:r>
      <w:r w:rsidR="00757AA4" w:rsidRPr="004B3A13">
        <w:rPr>
          <w:rFonts w:ascii="Arial" w:eastAsia="Arial" w:hAnsi="Arial" w:cs="Arial"/>
          <w:sz w:val="24"/>
          <w:szCs w:val="24"/>
          <w:lang w:val="en-US"/>
        </w:rPr>
        <w:t xml:space="preserve"> </w:t>
      </w:r>
      <w:r w:rsidR="00A55E7A" w:rsidRPr="004B3A13">
        <w:rPr>
          <w:rFonts w:ascii="Arial" w:eastAsia="Arial" w:hAnsi="Arial" w:cs="Arial"/>
          <w:sz w:val="24"/>
          <w:szCs w:val="24"/>
          <w:lang w:val="en-US"/>
        </w:rPr>
        <w:t xml:space="preserve">of </w:t>
      </w:r>
      <w:r w:rsidR="00757AA4" w:rsidRPr="004B3A13">
        <w:rPr>
          <w:rFonts w:ascii="Arial" w:eastAsia="Arial" w:hAnsi="Arial" w:cs="Arial"/>
          <w:sz w:val="24"/>
          <w:szCs w:val="24"/>
          <w:lang w:val="en-US"/>
        </w:rPr>
        <w:t xml:space="preserve">the merits of the appeal. </w:t>
      </w:r>
      <w:r w:rsidR="00A55E7A" w:rsidRPr="004B3A13">
        <w:rPr>
          <w:rFonts w:ascii="Arial" w:eastAsia="Arial" w:hAnsi="Arial" w:cs="Arial"/>
          <w:sz w:val="24"/>
          <w:szCs w:val="24"/>
          <w:lang w:val="en-US"/>
        </w:rPr>
        <w:t xml:space="preserve">The appellant </w:t>
      </w:r>
      <w:r w:rsidR="00757AA4" w:rsidRPr="004B3A13">
        <w:rPr>
          <w:rFonts w:ascii="Arial" w:eastAsia="Arial" w:hAnsi="Arial" w:cs="Arial"/>
          <w:sz w:val="24"/>
          <w:szCs w:val="24"/>
          <w:lang w:val="en-US"/>
        </w:rPr>
        <w:t>also m</w:t>
      </w:r>
      <w:r w:rsidR="00A55E7A" w:rsidRPr="004B3A13">
        <w:rPr>
          <w:rFonts w:ascii="Arial" w:eastAsia="Arial" w:hAnsi="Arial" w:cs="Arial"/>
          <w:sz w:val="24"/>
          <w:szCs w:val="24"/>
          <w:lang w:val="en-US"/>
        </w:rPr>
        <w:t>ounted</w:t>
      </w:r>
      <w:r w:rsidR="00757AA4" w:rsidRPr="004B3A13">
        <w:rPr>
          <w:rFonts w:ascii="Arial" w:eastAsia="Arial" w:hAnsi="Arial" w:cs="Arial"/>
          <w:sz w:val="24"/>
          <w:szCs w:val="24"/>
          <w:lang w:val="en-US"/>
        </w:rPr>
        <w:t xml:space="preserve"> un</w:t>
      </w:r>
      <w:r w:rsidR="00A55E7A" w:rsidRPr="004B3A13">
        <w:rPr>
          <w:rFonts w:ascii="Arial" w:eastAsia="Arial" w:hAnsi="Arial" w:cs="Arial"/>
          <w:sz w:val="24"/>
          <w:szCs w:val="24"/>
          <w:lang w:val="en-US"/>
        </w:rPr>
        <w:t xml:space="preserve">justifiable </w:t>
      </w:r>
      <w:r w:rsidR="00757AA4" w:rsidRPr="004B3A13">
        <w:rPr>
          <w:rFonts w:ascii="Arial" w:eastAsia="Arial" w:hAnsi="Arial" w:cs="Arial"/>
          <w:sz w:val="24"/>
          <w:szCs w:val="24"/>
          <w:lang w:val="en-US"/>
        </w:rPr>
        <w:t>c</w:t>
      </w:r>
      <w:r w:rsidR="00A55E7A" w:rsidRPr="004B3A13">
        <w:rPr>
          <w:rFonts w:ascii="Arial" w:eastAsia="Arial" w:hAnsi="Arial" w:cs="Arial"/>
          <w:sz w:val="24"/>
          <w:szCs w:val="24"/>
          <w:lang w:val="en-US"/>
        </w:rPr>
        <w:t xml:space="preserve">riticism of </w:t>
      </w:r>
      <w:r w:rsidR="00757AA4" w:rsidRPr="004B3A13">
        <w:rPr>
          <w:rFonts w:ascii="Arial" w:eastAsia="Arial" w:hAnsi="Arial" w:cs="Arial"/>
          <w:sz w:val="24"/>
          <w:szCs w:val="24"/>
          <w:lang w:val="en-US"/>
        </w:rPr>
        <w:t xml:space="preserve">the court </w:t>
      </w:r>
      <w:r w:rsidR="00757AA4" w:rsidRPr="006F3405">
        <w:rPr>
          <w:rFonts w:ascii="Arial" w:eastAsia="Arial" w:hAnsi="Arial" w:cs="Arial"/>
          <w:iCs/>
          <w:sz w:val="24"/>
          <w:szCs w:val="24"/>
          <w:lang w:val="en-US"/>
        </w:rPr>
        <w:t>a quo</w:t>
      </w:r>
      <w:r w:rsidR="00757AA4" w:rsidRPr="004B3A13">
        <w:rPr>
          <w:rFonts w:ascii="Arial" w:eastAsia="Arial" w:hAnsi="Arial" w:cs="Arial"/>
          <w:i/>
          <w:iCs/>
          <w:sz w:val="24"/>
          <w:szCs w:val="24"/>
          <w:lang w:val="en-US"/>
        </w:rPr>
        <w:t xml:space="preserve">’s </w:t>
      </w:r>
      <w:r w:rsidR="00757AA4" w:rsidRPr="004B3A13">
        <w:rPr>
          <w:rFonts w:ascii="Arial" w:eastAsia="Arial" w:hAnsi="Arial" w:cs="Arial"/>
          <w:sz w:val="24"/>
          <w:szCs w:val="24"/>
          <w:lang w:val="en-US"/>
        </w:rPr>
        <w:t xml:space="preserve">findings regarding the credibility of Inspector Anton. </w:t>
      </w:r>
      <w:r w:rsidR="00A55E7A" w:rsidRPr="004B3A13">
        <w:rPr>
          <w:rFonts w:ascii="Arial" w:eastAsia="Arial" w:hAnsi="Arial" w:cs="Arial"/>
          <w:sz w:val="24"/>
          <w:szCs w:val="24"/>
          <w:lang w:val="en-US"/>
        </w:rPr>
        <w:t>Al</w:t>
      </w:r>
      <w:r w:rsidR="00757AA4" w:rsidRPr="004B3A13">
        <w:rPr>
          <w:rFonts w:ascii="Arial" w:eastAsia="Arial" w:hAnsi="Arial" w:cs="Arial"/>
          <w:sz w:val="24"/>
          <w:szCs w:val="24"/>
          <w:lang w:val="en-US"/>
        </w:rPr>
        <w:t xml:space="preserve">though Inspector Anton’s </w:t>
      </w:r>
      <w:r w:rsidR="00A55E7A" w:rsidRPr="004B3A13">
        <w:rPr>
          <w:rFonts w:ascii="Arial" w:eastAsia="Arial" w:hAnsi="Arial" w:cs="Arial"/>
          <w:sz w:val="24"/>
          <w:szCs w:val="24"/>
          <w:lang w:val="en-US"/>
        </w:rPr>
        <w:t xml:space="preserve">original </w:t>
      </w:r>
      <w:r w:rsidR="006508CC" w:rsidRPr="004B3A13">
        <w:rPr>
          <w:rFonts w:ascii="Arial" w:eastAsia="Arial" w:hAnsi="Arial" w:cs="Arial"/>
          <w:sz w:val="24"/>
          <w:szCs w:val="24"/>
          <w:lang w:val="en-US"/>
        </w:rPr>
        <w:t xml:space="preserve">police statement </w:t>
      </w:r>
      <w:r w:rsidR="00757AA4" w:rsidRPr="004B3A13">
        <w:rPr>
          <w:rFonts w:ascii="Arial" w:eastAsia="Arial" w:hAnsi="Arial" w:cs="Arial"/>
          <w:sz w:val="24"/>
          <w:szCs w:val="24"/>
          <w:lang w:val="en-US"/>
        </w:rPr>
        <w:t xml:space="preserve">was excluded </w:t>
      </w:r>
      <w:r w:rsidR="00A55E7A" w:rsidRPr="004B3A13">
        <w:rPr>
          <w:rFonts w:ascii="Arial" w:eastAsia="Arial" w:hAnsi="Arial" w:cs="Arial"/>
          <w:sz w:val="24"/>
          <w:szCs w:val="24"/>
          <w:lang w:val="en-US"/>
        </w:rPr>
        <w:t>from the record</w:t>
      </w:r>
      <w:r w:rsidR="00757AA4" w:rsidRPr="004B3A13">
        <w:rPr>
          <w:rFonts w:ascii="Arial" w:eastAsia="Arial" w:hAnsi="Arial" w:cs="Arial"/>
          <w:sz w:val="24"/>
          <w:szCs w:val="24"/>
          <w:lang w:val="en-US"/>
        </w:rPr>
        <w:t xml:space="preserve">, it forms part of the transcribed </w:t>
      </w:r>
      <w:r w:rsidR="000B0F9F" w:rsidRPr="004B3A13">
        <w:rPr>
          <w:rFonts w:ascii="Arial" w:eastAsia="Arial" w:hAnsi="Arial" w:cs="Arial"/>
          <w:sz w:val="24"/>
          <w:szCs w:val="24"/>
          <w:lang w:val="en-US"/>
        </w:rPr>
        <w:t>text,</w:t>
      </w:r>
      <w:r w:rsidR="00A55E7A"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 xml:space="preserve">and </w:t>
      </w:r>
      <w:r w:rsidR="00A55E7A" w:rsidRPr="004B3A13">
        <w:rPr>
          <w:rFonts w:ascii="Arial" w:eastAsia="Arial" w:hAnsi="Arial" w:cs="Arial"/>
          <w:sz w:val="24"/>
          <w:szCs w:val="24"/>
          <w:lang w:val="en-US"/>
        </w:rPr>
        <w:t xml:space="preserve">a copy thereof was annexed </w:t>
      </w:r>
      <w:r w:rsidR="00757AA4" w:rsidRPr="004B3A13">
        <w:rPr>
          <w:rFonts w:ascii="Arial" w:eastAsia="Arial" w:hAnsi="Arial" w:cs="Arial"/>
          <w:sz w:val="24"/>
          <w:szCs w:val="24"/>
          <w:lang w:val="en-US"/>
        </w:rPr>
        <w:t>to the respondent’s head</w:t>
      </w:r>
      <w:r w:rsidR="009B38CC" w:rsidRPr="004B3A13">
        <w:rPr>
          <w:rFonts w:ascii="Arial" w:eastAsia="Arial" w:hAnsi="Arial" w:cs="Arial"/>
          <w:sz w:val="24"/>
          <w:szCs w:val="24"/>
          <w:lang w:val="en-US"/>
        </w:rPr>
        <w:t>s</w:t>
      </w:r>
      <w:r w:rsidR="00757AA4" w:rsidRPr="004B3A13">
        <w:rPr>
          <w:rFonts w:ascii="Arial" w:eastAsia="Arial" w:hAnsi="Arial" w:cs="Arial"/>
          <w:sz w:val="24"/>
          <w:szCs w:val="24"/>
          <w:lang w:val="en-US"/>
        </w:rPr>
        <w:t xml:space="preserve"> of argument. We agree with the court </w:t>
      </w:r>
      <w:r w:rsidR="00757AA4" w:rsidRPr="006F3405">
        <w:rPr>
          <w:rFonts w:ascii="Arial" w:eastAsia="Arial" w:hAnsi="Arial" w:cs="Arial"/>
          <w:iCs/>
          <w:sz w:val="24"/>
          <w:szCs w:val="24"/>
          <w:lang w:val="en-US"/>
        </w:rPr>
        <w:t>a quo</w:t>
      </w:r>
      <w:r w:rsidR="00757AA4" w:rsidRPr="004B3A13">
        <w:rPr>
          <w:rFonts w:ascii="Arial" w:eastAsia="Arial" w:hAnsi="Arial" w:cs="Arial"/>
          <w:i/>
          <w:iCs/>
          <w:sz w:val="24"/>
          <w:szCs w:val="24"/>
          <w:lang w:val="en-US"/>
        </w:rPr>
        <w:t>’s</w:t>
      </w:r>
      <w:r w:rsidR="00757AA4" w:rsidRPr="004B3A13">
        <w:rPr>
          <w:rFonts w:ascii="Arial" w:eastAsia="Arial" w:hAnsi="Arial" w:cs="Arial"/>
          <w:sz w:val="24"/>
          <w:szCs w:val="24"/>
          <w:lang w:val="en-US"/>
        </w:rPr>
        <w:t xml:space="preserve"> conclusion that Inspector Anton’s testimony seem</w:t>
      </w:r>
      <w:r w:rsidR="009A7A89" w:rsidRPr="004B3A13">
        <w:rPr>
          <w:rFonts w:ascii="Arial" w:eastAsia="Arial" w:hAnsi="Arial" w:cs="Arial"/>
          <w:sz w:val="24"/>
          <w:szCs w:val="24"/>
          <w:lang w:val="en-US"/>
        </w:rPr>
        <w:t>ed</w:t>
      </w:r>
      <w:r w:rsidR="00757AA4" w:rsidRPr="004B3A13">
        <w:rPr>
          <w:rFonts w:ascii="Arial" w:eastAsia="Arial" w:hAnsi="Arial" w:cs="Arial"/>
          <w:sz w:val="24"/>
          <w:szCs w:val="24"/>
          <w:lang w:val="en-US"/>
        </w:rPr>
        <w:t xml:space="preserve"> untruthful because it suffer</w:t>
      </w:r>
      <w:r w:rsidR="009A7A89" w:rsidRPr="004B3A13">
        <w:rPr>
          <w:rFonts w:ascii="Arial" w:eastAsia="Arial" w:hAnsi="Arial" w:cs="Arial"/>
          <w:sz w:val="24"/>
          <w:szCs w:val="24"/>
          <w:lang w:val="en-US"/>
        </w:rPr>
        <w:t>ed</w:t>
      </w:r>
      <w:r w:rsidR="00757AA4" w:rsidRPr="004B3A13">
        <w:rPr>
          <w:rFonts w:ascii="Arial" w:eastAsia="Arial" w:hAnsi="Arial" w:cs="Arial"/>
          <w:sz w:val="24"/>
          <w:szCs w:val="24"/>
          <w:lang w:val="en-US"/>
        </w:rPr>
        <w:t xml:space="preserve"> from material contradictions.</w:t>
      </w:r>
    </w:p>
    <w:p w14:paraId="01C6877B" w14:textId="77777777" w:rsidR="00C01741" w:rsidRPr="004B3A13" w:rsidRDefault="00C01741" w:rsidP="00966268">
      <w:pPr>
        <w:pStyle w:val="Body"/>
        <w:spacing w:after="0" w:line="480" w:lineRule="auto"/>
        <w:ind w:left="0"/>
        <w:jc w:val="both"/>
        <w:rPr>
          <w:rFonts w:ascii="Arial" w:eastAsia="Arial" w:hAnsi="Arial" w:cs="Arial"/>
          <w:sz w:val="24"/>
          <w:szCs w:val="24"/>
          <w:lang w:val="en-US"/>
        </w:rPr>
      </w:pPr>
    </w:p>
    <w:p w14:paraId="549349A6" w14:textId="6DD04100" w:rsidR="00C01741" w:rsidRPr="004B3A13" w:rsidRDefault="00E822E3" w:rsidP="00E822E3">
      <w:pPr>
        <w:pStyle w:val="Body"/>
        <w:spacing w:after="0" w:line="480" w:lineRule="auto"/>
        <w:ind w:left="0"/>
        <w:jc w:val="both"/>
        <w:rPr>
          <w:rFonts w:ascii="Arial" w:eastAsia="Times New Roman" w:hAnsi="Arial" w:cs="Arial"/>
          <w:sz w:val="24"/>
          <w:szCs w:val="24"/>
          <w:lang w:val="en-US"/>
        </w:rPr>
      </w:pPr>
      <w:r w:rsidRPr="004B3A13">
        <w:rPr>
          <w:rFonts w:ascii="Arial" w:eastAsia="Times New Roman" w:hAnsi="Arial" w:cs="Arial"/>
          <w:sz w:val="24"/>
          <w:szCs w:val="24"/>
          <w:lang w:val="en-US"/>
        </w:rPr>
        <w:t>[39]</w:t>
      </w:r>
      <w:r w:rsidRPr="004B3A13">
        <w:rPr>
          <w:rFonts w:ascii="Arial" w:eastAsia="Times New Roman" w:hAnsi="Arial" w:cs="Arial"/>
          <w:sz w:val="24"/>
          <w:szCs w:val="24"/>
          <w:lang w:val="en-US"/>
        </w:rPr>
        <w:tab/>
      </w:r>
      <w:r w:rsidR="00757AA4" w:rsidRPr="004B3A13">
        <w:rPr>
          <w:rFonts w:ascii="Arial" w:eastAsia="Arial" w:hAnsi="Arial" w:cs="Arial"/>
          <w:sz w:val="24"/>
          <w:szCs w:val="24"/>
          <w:lang w:val="en-US"/>
        </w:rPr>
        <w:t xml:space="preserve">This </w:t>
      </w:r>
      <w:r w:rsidR="009D36C4" w:rsidRPr="004B3A13">
        <w:rPr>
          <w:rFonts w:ascii="Arial" w:eastAsia="Arial" w:hAnsi="Arial" w:cs="Arial"/>
          <w:sz w:val="24"/>
          <w:szCs w:val="24"/>
          <w:lang w:val="en-US"/>
        </w:rPr>
        <w:t>c</w:t>
      </w:r>
      <w:r w:rsidR="00757AA4" w:rsidRPr="004B3A13">
        <w:rPr>
          <w:rFonts w:ascii="Arial" w:eastAsia="Arial" w:hAnsi="Arial" w:cs="Arial"/>
          <w:sz w:val="24"/>
          <w:szCs w:val="24"/>
          <w:lang w:val="en-US"/>
        </w:rPr>
        <w:t xml:space="preserve">ourt </w:t>
      </w:r>
      <w:r w:rsidR="009B38CC" w:rsidRPr="004B3A13">
        <w:rPr>
          <w:rFonts w:ascii="Arial" w:eastAsia="Arial" w:hAnsi="Arial" w:cs="Arial"/>
          <w:sz w:val="24"/>
          <w:szCs w:val="24"/>
          <w:lang w:val="en-US"/>
        </w:rPr>
        <w:t>held</w:t>
      </w:r>
      <w:r w:rsidR="00757AA4" w:rsidRPr="004B3A13">
        <w:rPr>
          <w:rFonts w:ascii="Arial" w:eastAsia="Arial" w:hAnsi="Arial" w:cs="Arial"/>
          <w:sz w:val="24"/>
          <w:szCs w:val="24"/>
          <w:lang w:val="en-US"/>
        </w:rPr>
        <w:t xml:space="preserve"> in </w:t>
      </w:r>
      <w:r w:rsidR="008F7086" w:rsidRPr="004B3A13">
        <w:rPr>
          <w:rFonts w:ascii="Arial" w:eastAsia="Arial" w:hAnsi="Arial" w:cs="Arial"/>
          <w:i/>
          <w:iCs/>
          <w:sz w:val="24"/>
          <w:szCs w:val="24"/>
          <w:lang w:val="en-US"/>
        </w:rPr>
        <w:t>Ndjembo</w:t>
      </w:r>
      <w:r w:rsidR="009A7A89" w:rsidRPr="004B3A13">
        <w:rPr>
          <w:rStyle w:val="FootnoteReference"/>
          <w:rFonts w:ascii="Arial" w:eastAsia="Arial" w:hAnsi="Arial" w:cs="Arial"/>
          <w:i/>
          <w:iCs/>
          <w:sz w:val="24"/>
          <w:szCs w:val="24"/>
          <w:lang w:val="en-US"/>
        </w:rPr>
        <w:footnoteReference w:id="16"/>
      </w:r>
      <w:r w:rsidR="00D16745" w:rsidRPr="004B3A13">
        <w:rPr>
          <w:rFonts w:ascii="Arial" w:eastAsia="Arial" w:hAnsi="Arial" w:cs="Arial"/>
          <w:sz w:val="24"/>
          <w:szCs w:val="24"/>
          <w:lang w:val="en-US"/>
        </w:rPr>
        <w:t xml:space="preserve"> that for a </w:t>
      </w:r>
      <w:r w:rsidR="00D16745" w:rsidRPr="004B3A13">
        <w:rPr>
          <w:rFonts w:ascii="Arial" w:eastAsia="Times New Roman" w:hAnsi="Arial" w:cs="Arial"/>
          <w:sz w:val="24"/>
          <w:szCs w:val="24"/>
        </w:rPr>
        <w:t>peace officer to exercise the power granted by s 40(1)(</w:t>
      </w:r>
      <w:r w:rsidR="00D16745" w:rsidRPr="004B3A13">
        <w:rPr>
          <w:rFonts w:ascii="Arial" w:eastAsia="Times New Roman" w:hAnsi="Arial" w:cs="Arial"/>
          <w:i/>
          <w:sz w:val="24"/>
          <w:szCs w:val="24"/>
        </w:rPr>
        <w:t>b</w:t>
      </w:r>
      <w:r w:rsidR="00D16745" w:rsidRPr="004B3A13">
        <w:rPr>
          <w:rFonts w:ascii="Arial" w:eastAsia="Times New Roman" w:hAnsi="Arial" w:cs="Arial"/>
          <w:sz w:val="24"/>
          <w:szCs w:val="24"/>
        </w:rPr>
        <w:t>), he or she must</w:t>
      </w:r>
      <w:r w:rsidR="009D36C4" w:rsidRPr="004B3A13">
        <w:rPr>
          <w:rFonts w:ascii="Arial" w:eastAsia="Times New Roman" w:hAnsi="Arial" w:cs="Arial"/>
          <w:sz w:val="24"/>
          <w:szCs w:val="24"/>
        </w:rPr>
        <w:t>, amongst others,</w:t>
      </w:r>
      <w:r w:rsidR="00D16745" w:rsidRPr="004B3A13">
        <w:rPr>
          <w:rFonts w:ascii="Arial" w:eastAsia="Times New Roman" w:hAnsi="Arial" w:cs="Arial"/>
          <w:sz w:val="24"/>
          <w:szCs w:val="24"/>
        </w:rPr>
        <w:t xml:space="preserve"> entertain a ‘suspicion’</w:t>
      </w:r>
      <w:r w:rsidR="00A43978">
        <w:rPr>
          <w:rFonts w:ascii="Arial" w:eastAsia="Times New Roman" w:hAnsi="Arial" w:cs="Arial"/>
          <w:sz w:val="24"/>
          <w:szCs w:val="24"/>
        </w:rPr>
        <w:t>,</w:t>
      </w:r>
      <w:r w:rsidR="00D16745" w:rsidRPr="004B3A13">
        <w:rPr>
          <w:rFonts w:ascii="Arial" w:eastAsia="Times New Roman" w:hAnsi="Arial" w:cs="Arial"/>
          <w:sz w:val="24"/>
          <w:szCs w:val="24"/>
        </w:rPr>
        <w:t xml:space="preserve"> based on objectively reasonable grounds that the person being arrested has committed an offence under </w:t>
      </w:r>
      <w:r w:rsidR="009B38CC" w:rsidRPr="004B3A13">
        <w:rPr>
          <w:rFonts w:ascii="Arial" w:eastAsia="Times New Roman" w:hAnsi="Arial" w:cs="Arial"/>
          <w:sz w:val="24"/>
          <w:szCs w:val="24"/>
        </w:rPr>
        <w:t>S</w:t>
      </w:r>
      <w:r w:rsidR="00D16745" w:rsidRPr="004B3A13">
        <w:rPr>
          <w:rFonts w:ascii="Arial" w:eastAsia="Times New Roman" w:hAnsi="Arial" w:cs="Arial"/>
          <w:sz w:val="24"/>
          <w:szCs w:val="24"/>
        </w:rPr>
        <w:t xml:space="preserve">chedule 1 </w:t>
      </w:r>
      <w:r w:rsidR="009D36C4" w:rsidRPr="004B3A13">
        <w:rPr>
          <w:rFonts w:ascii="Arial" w:eastAsia="Times New Roman" w:hAnsi="Arial" w:cs="Arial"/>
          <w:sz w:val="24"/>
          <w:szCs w:val="24"/>
        </w:rPr>
        <w:t>t</w:t>
      </w:r>
      <w:r w:rsidR="00D16745" w:rsidRPr="004B3A13">
        <w:rPr>
          <w:rFonts w:ascii="Arial" w:eastAsia="Times New Roman" w:hAnsi="Arial" w:cs="Arial"/>
          <w:sz w:val="24"/>
          <w:szCs w:val="24"/>
        </w:rPr>
        <w:t xml:space="preserve">o the Act. </w:t>
      </w:r>
      <w:r w:rsidR="00757AA4" w:rsidRPr="004B3A13">
        <w:rPr>
          <w:rFonts w:ascii="Arial" w:hAnsi="Arial" w:cs="Arial"/>
          <w:sz w:val="24"/>
          <w:szCs w:val="24"/>
        </w:rPr>
        <w:t xml:space="preserve"> </w:t>
      </w:r>
      <w:r w:rsidR="00D16745" w:rsidRPr="004B3A13">
        <w:rPr>
          <w:rFonts w:ascii="Arial" w:hAnsi="Arial" w:cs="Arial"/>
          <w:sz w:val="24"/>
          <w:szCs w:val="24"/>
        </w:rPr>
        <w:t xml:space="preserve">It </w:t>
      </w:r>
      <w:r w:rsidR="009B38CC" w:rsidRPr="004B3A13">
        <w:rPr>
          <w:rFonts w:ascii="Arial" w:hAnsi="Arial" w:cs="Arial"/>
          <w:sz w:val="24"/>
          <w:szCs w:val="24"/>
        </w:rPr>
        <w:t xml:space="preserve">was further </w:t>
      </w:r>
      <w:r w:rsidR="00D16745" w:rsidRPr="004B3A13">
        <w:rPr>
          <w:rFonts w:ascii="Arial" w:hAnsi="Arial" w:cs="Arial"/>
          <w:sz w:val="24"/>
          <w:szCs w:val="24"/>
        </w:rPr>
        <w:t xml:space="preserve">held that the test for reasonable suspicion </w:t>
      </w:r>
      <w:r w:rsidR="00757AA4" w:rsidRPr="004B3A13">
        <w:rPr>
          <w:rFonts w:ascii="Arial" w:hAnsi="Arial" w:cs="Arial"/>
          <w:sz w:val="24"/>
          <w:szCs w:val="24"/>
        </w:rPr>
        <w:t>is not whether a peace officer believed that he or she had reason to suspect, but rather whether on an objective approach, the officer in fact had reasonable grounds for the suspicion.</w:t>
      </w:r>
      <w:r w:rsidR="00757AA4" w:rsidRPr="004B3A13">
        <w:rPr>
          <w:rStyle w:val="FootnoteReference"/>
          <w:rFonts w:ascii="Arial" w:hAnsi="Arial" w:cs="Arial"/>
          <w:sz w:val="24"/>
          <w:szCs w:val="24"/>
        </w:rPr>
        <w:footnoteReference w:id="17"/>
      </w:r>
    </w:p>
    <w:p w14:paraId="6D82FB89" w14:textId="77777777" w:rsidR="000C0408" w:rsidRPr="004B3A13" w:rsidRDefault="000C0408" w:rsidP="000C0408">
      <w:pPr>
        <w:pStyle w:val="ListParagraph"/>
        <w:spacing w:line="480" w:lineRule="auto"/>
        <w:rPr>
          <w:rFonts w:ascii="Arial" w:eastAsia="Times New Roman" w:hAnsi="Arial" w:cs="Arial"/>
          <w:lang w:val="en-US"/>
        </w:rPr>
      </w:pPr>
    </w:p>
    <w:p w14:paraId="6A351BAA" w14:textId="296048A9" w:rsidR="008F7086"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[40]</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In the present case, the ground for reasonable suspicion pleaded was </w:t>
      </w:r>
      <w:r w:rsidR="009B38CC" w:rsidRPr="004B3A13">
        <w:rPr>
          <w:rFonts w:ascii="Arial" w:eastAsia="Arial" w:hAnsi="Arial" w:cs="Arial"/>
          <w:sz w:val="24"/>
          <w:szCs w:val="24"/>
          <w:lang w:val="en-US"/>
        </w:rPr>
        <w:t>the respondent’s alleged identification on</w:t>
      </w:r>
      <w:r w:rsidR="00757AA4" w:rsidRPr="004B3A13">
        <w:rPr>
          <w:rFonts w:ascii="Arial" w:eastAsia="Arial" w:hAnsi="Arial" w:cs="Arial"/>
          <w:sz w:val="24"/>
          <w:szCs w:val="24"/>
          <w:lang w:val="en-US"/>
        </w:rPr>
        <w:t xml:space="preserve"> the CCTV footage. On an objective assessment, </w:t>
      </w:r>
      <w:r w:rsidR="009B38CC" w:rsidRPr="004B3A13">
        <w:rPr>
          <w:rFonts w:ascii="Arial" w:eastAsia="Arial" w:hAnsi="Arial" w:cs="Arial"/>
          <w:sz w:val="24"/>
          <w:szCs w:val="24"/>
          <w:lang w:val="en-US"/>
        </w:rPr>
        <w:t>the evidence of the alleged identification</w:t>
      </w:r>
      <w:r w:rsidR="000B0F9F" w:rsidRPr="004B3A13">
        <w:rPr>
          <w:rFonts w:ascii="Arial" w:eastAsia="Arial" w:hAnsi="Arial" w:cs="Arial"/>
          <w:sz w:val="24"/>
          <w:szCs w:val="24"/>
          <w:lang w:val="en-US"/>
        </w:rPr>
        <w:t>,</w:t>
      </w:r>
      <w:r w:rsidR="009B38CC" w:rsidRPr="004B3A13">
        <w:rPr>
          <w:rFonts w:ascii="Arial" w:eastAsia="Arial" w:hAnsi="Arial" w:cs="Arial"/>
          <w:sz w:val="24"/>
          <w:szCs w:val="24"/>
          <w:lang w:val="en-US"/>
        </w:rPr>
        <w:t xml:space="preserve"> based as it was on the say </w:t>
      </w:r>
      <w:r w:rsidR="00860559">
        <w:rPr>
          <w:rFonts w:ascii="Arial" w:eastAsia="Arial" w:hAnsi="Arial" w:cs="Arial"/>
          <w:sz w:val="24"/>
          <w:szCs w:val="24"/>
          <w:lang w:val="en-US"/>
        </w:rPr>
        <w:t xml:space="preserve">so </w:t>
      </w:r>
      <w:r w:rsidR="009B38CC" w:rsidRPr="004B3A13">
        <w:rPr>
          <w:rFonts w:ascii="Arial" w:eastAsia="Arial" w:hAnsi="Arial" w:cs="Arial"/>
          <w:sz w:val="24"/>
          <w:szCs w:val="24"/>
          <w:lang w:val="en-US"/>
        </w:rPr>
        <w:t>of Inspector Anton</w:t>
      </w:r>
      <w:r w:rsidR="000B0F9F" w:rsidRPr="004B3A13">
        <w:rPr>
          <w:rFonts w:ascii="Arial" w:eastAsia="Arial" w:hAnsi="Arial" w:cs="Arial"/>
          <w:sz w:val="24"/>
          <w:szCs w:val="24"/>
          <w:lang w:val="en-US"/>
        </w:rPr>
        <w:t>,</w:t>
      </w:r>
      <w:r w:rsidR="009B38CC" w:rsidRPr="004B3A13">
        <w:rPr>
          <w:rFonts w:ascii="Arial" w:eastAsia="Arial" w:hAnsi="Arial" w:cs="Arial"/>
          <w:sz w:val="24"/>
          <w:szCs w:val="24"/>
          <w:lang w:val="en-US"/>
        </w:rPr>
        <w:t xml:space="preserve"> is false. A</w:t>
      </w:r>
      <w:r w:rsidR="00757AA4" w:rsidRPr="004B3A13">
        <w:rPr>
          <w:rFonts w:ascii="Arial" w:eastAsia="Arial" w:hAnsi="Arial" w:cs="Arial"/>
          <w:sz w:val="24"/>
          <w:szCs w:val="24"/>
          <w:lang w:val="en-US"/>
        </w:rPr>
        <w:t xml:space="preserve">t least three </w:t>
      </w:r>
      <w:r w:rsidR="009B38CC" w:rsidRPr="004B3A13">
        <w:rPr>
          <w:rFonts w:ascii="Arial" w:eastAsia="Arial" w:hAnsi="Arial" w:cs="Arial"/>
          <w:sz w:val="24"/>
          <w:szCs w:val="24"/>
          <w:lang w:val="en-US"/>
        </w:rPr>
        <w:t xml:space="preserve">other </w:t>
      </w:r>
      <w:r w:rsidR="00757AA4" w:rsidRPr="004B3A13">
        <w:rPr>
          <w:rFonts w:ascii="Arial" w:eastAsia="Arial" w:hAnsi="Arial" w:cs="Arial"/>
          <w:sz w:val="24"/>
          <w:szCs w:val="24"/>
          <w:lang w:val="en-US"/>
        </w:rPr>
        <w:t xml:space="preserve">police officers </w:t>
      </w:r>
      <w:r w:rsidR="009B38CC" w:rsidRPr="004B3A13">
        <w:rPr>
          <w:rFonts w:ascii="Arial" w:eastAsia="Arial" w:hAnsi="Arial" w:cs="Arial"/>
          <w:sz w:val="24"/>
          <w:szCs w:val="24"/>
          <w:lang w:val="en-US"/>
        </w:rPr>
        <w:t xml:space="preserve">who viewed the footage </w:t>
      </w:r>
      <w:r w:rsidR="00757AA4" w:rsidRPr="004B3A13">
        <w:rPr>
          <w:rFonts w:ascii="Arial" w:eastAsia="Arial" w:hAnsi="Arial" w:cs="Arial"/>
          <w:sz w:val="24"/>
          <w:szCs w:val="24"/>
          <w:lang w:val="en-US"/>
        </w:rPr>
        <w:t xml:space="preserve">concluded that the respondent was not visible </w:t>
      </w:r>
      <w:r w:rsidR="009B38CC" w:rsidRPr="004B3A13">
        <w:rPr>
          <w:rFonts w:ascii="Arial" w:eastAsia="Arial" w:hAnsi="Arial" w:cs="Arial"/>
          <w:sz w:val="24"/>
          <w:szCs w:val="24"/>
          <w:lang w:val="en-US"/>
        </w:rPr>
        <w:t>thereon</w:t>
      </w:r>
      <w:r w:rsidR="00757AA4" w:rsidRPr="004B3A13">
        <w:rPr>
          <w:rFonts w:ascii="Arial" w:eastAsia="Arial" w:hAnsi="Arial" w:cs="Arial"/>
          <w:sz w:val="24"/>
          <w:szCs w:val="24"/>
          <w:lang w:val="en-US"/>
        </w:rPr>
        <w:t xml:space="preserve">. Moreover, the arrest was unlawful because it was made for alleged malicious damage to property and </w:t>
      </w:r>
      <w:r w:rsidR="00757AA4" w:rsidRPr="004B3A13">
        <w:rPr>
          <w:rFonts w:ascii="Arial" w:eastAsia="Arial" w:hAnsi="Arial" w:cs="Arial"/>
          <w:sz w:val="24"/>
          <w:szCs w:val="24"/>
          <w:lang w:val="en-US"/>
        </w:rPr>
        <w:lastRenderedPageBreak/>
        <w:t>trespassing, neither of which is part of Schedule 1.</w:t>
      </w:r>
      <w:r w:rsidR="008F7086" w:rsidRPr="004B3A13">
        <w:rPr>
          <w:rFonts w:ascii="Arial" w:eastAsia="Arial" w:hAnsi="Arial" w:cs="Arial"/>
          <w:sz w:val="24"/>
          <w:szCs w:val="24"/>
          <w:lang w:val="en-US"/>
        </w:rPr>
        <w:t xml:space="preserve"> </w:t>
      </w:r>
      <w:r w:rsidR="009B38CC" w:rsidRPr="004B3A13">
        <w:rPr>
          <w:rFonts w:ascii="Arial" w:eastAsia="Arial" w:hAnsi="Arial" w:cs="Arial"/>
          <w:sz w:val="24"/>
          <w:szCs w:val="24"/>
          <w:lang w:val="en-US"/>
        </w:rPr>
        <w:t xml:space="preserve">It is clear as </w:t>
      </w:r>
      <w:r w:rsidR="000B0F9F" w:rsidRPr="004B3A13">
        <w:rPr>
          <w:rFonts w:ascii="Arial" w:eastAsia="Arial" w:hAnsi="Arial" w:cs="Arial"/>
          <w:sz w:val="24"/>
          <w:szCs w:val="24"/>
          <w:lang w:val="en-US"/>
        </w:rPr>
        <w:t>daylight</w:t>
      </w:r>
      <w:r w:rsidR="009B38CC" w:rsidRPr="004B3A13">
        <w:rPr>
          <w:rFonts w:ascii="Arial" w:eastAsia="Arial" w:hAnsi="Arial" w:cs="Arial"/>
          <w:sz w:val="24"/>
          <w:szCs w:val="24"/>
          <w:lang w:val="en-US"/>
        </w:rPr>
        <w:t xml:space="preserve"> that t</w:t>
      </w:r>
      <w:r w:rsidR="00757AA4" w:rsidRPr="004B3A13">
        <w:rPr>
          <w:rFonts w:ascii="Arial" w:eastAsia="Arial" w:hAnsi="Arial" w:cs="Arial"/>
          <w:sz w:val="24"/>
          <w:szCs w:val="24"/>
          <w:lang w:val="en-US"/>
        </w:rPr>
        <w:t xml:space="preserve">he appellant failed to justify the lawfulness of the </w:t>
      </w:r>
      <w:r w:rsidR="009B38CC" w:rsidRPr="004B3A13">
        <w:rPr>
          <w:rFonts w:ascii="Arial" w:eastAsia="Arial" w:hAnsi="Arial" w:cs="Arial"/>
          <w:sz w:val="24"/>
          <w:szCs w:val="24"/>
          <w:lang w:val="en-US"/>
        </w:rPr>
        <w:t xml:space="preserve">respondent’s </w:t>
      </w:r>
      <w:r w:rsidR="00757AA4" w:rsidRPr="004B3A13">
        <w:rPr>
          <w:rFonts w:ascii="Arial" w:eastAsia="Arial" w:hAnsi="Arial" w:cs="Arial"/>
          <w:sz w:val="24"/>
          <w:szCs w:val="24"/>
          <w:lang w:val="en-US"/>
        </w:rPr>
        <w:t>arrest in the present case.</w:t>
      </w:r>
    </w:p>
    <w:p w14:paraId="23F3370A" w14:textId="77777777" w:rsidR="008F7086" w:rsidRPr="004B3A13" w:rsidRDefault="008F7086" w:rsidP="00966268">
      <w:pPr>
        <w:pStyle w:val="Body"/>
        <w:spacing w:after="0" w:line="480" w:lineRule="auto"/>
        <w:ind w:left="0"/>
        <w:jc w:val="both"/>
        <w:rPr>
          <w:rFonts w:ascii="Arial" w:eastAsia="Arial" w:hAnsi="Arial" w:cs="Arial"/>
          <w:sz w:val="24"/>
          <w:szCs w:val="24"/>
          <w:lang w:val="en-US"/>
        </w:rPr>
      </w:pPr>
    </w:p>
    <w:p w14:paraId="4ACD9607" w14:textId="788BE1BF" w:rsidR="0051393D"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[41]</w:t>
      </w:r>
      <w:r w:rsidRPr="004B3A13">
        <w:rPr>
          <w:rFonts w:ascii="Arial" w:eastAsia="Arial" w:hAnsi="Arial" w:cs="Arial"/>
          <w:sz w:val="24"/>
          <w:szCs w:val="24"/>
          <w:lang w:val="en-US"/>
        </w:rPr>
        <w:tab/>
      </w:r>
      <w:r w:rsidR="00D16745" w:rsidRPr="004B3A13">
        <w:rPr>
          <w:rFonts w:ascii="Arial" w:eastAsia="Arial" w:hAnsi="Arial" w:cs="Arial"/>
          <w:sz w:val="24"/>
          <w:szCs w:val="24"/>
          <w:lang w:val="en-US"/>
        </w:rPr>
        <w:t xml:space="preserve">The </w:t>
      </w:r>
      <w:r w:rsidR="00757AA4" w:rsidRPr="004B3A13">
        <w:rPr>
          <w:rFonts w:ascii="Arial" w:eastAsia="Arial" w:hAnsi="Arial" w:cs="Arial"/>
          <w:sz w:val="24"/>
          <w:szCs w:val="24"/>
          <w:lang w:val="en-US"/>
        </w:rPr>
        <w:t>appellant</w:t>
      </w:r>
      <w:r w:rsidR="00662D1E" w:rsidRPr="004B3A13">
        <w:rPr>
          <w:rFonts w:ascii="Arial" w:eastAsia="Arial" w:hAnsi="Arial" w:cs="Arial"/>
          <w:sz w:val="24"/>
          <w:szCs w:val="24"/>
          <w:lang w:val="en-US"/>
        </w:rPr>
        <w:t>’s legal practitioner</w:t>
      </w:r>
      <w:r w:rsidR="00757AA4" w:rsidRPr="004B3A13">
        <w:rPr>
          <w:rFonts w:ascii="Arial" w:eastAsia="Arial" w:hAnsi="Arial" w:cs="Arial"/>
          <w:sz w:val="24"/>
          <w:szCs w:val="24"/>
          <w:lang w:val="en-US"/>
        </w:rPr>
        <w:t xml:space="preserve"> </w:t>
      </w:r>
      <w:r w:rsidR="00662D1E" w:rsidRPr="004B3A13">
        <w:rPr>
          <w:rFonts w:ascii="Arial" w:eastAsia="Arial" w:hAnsi="Arial" w:cs="Arial"/>
          <w:sz w:val="24"/>
          <w:szCs w:val="24"/>
          <w:lang w:val="en-US"/>
        </w:rPr>
        <w:t>su</w:t>
      </w:r>
      <w:r w:rsidR="00906004" w:rsidRPr="004B3A13">
        <w:rPr>
          <w:rFonts w:ascii="Arial" w:eastAsia="Arial" w:hAnsi="Arial" w:cs="Arial"/>
          <w:sz w:val="24"/>
          <w:szCs w:val="24"/>
          <w:lang w:val="en-US"/>
        </w:rPr>
        <w:t xml:space="preserve">bmitted that </w:t>
      </w:r>
      <w:r w:rsidR="00824A5F" w:rsidRPr="004B3A13">
        <w:rPr>
          <w:rFonts w:ascii="Arial" w:eastAsia="Arial" w:hAnsi="Arial" w:cs="Arial"/>
          <w:sz w:val="24"/>
          <w:szCs w:val="24"/>
          <w:lang w:val="en-US"/>
        </w:rPr>
        <w:t>the respondent voluntarily accompanied the police to the station. For this proposition, the appellant relie</w:t>
      </w:r>
      <w:r w:rsidR="00DD3F63" w:rsidRPr="004B3A13">
        <w:rPr>
          <w:rFonts w:ascii="Arial" w:eastAsia="Arial" w:hAnsi="Arial" w:cs="Arial"/>
          <w:sz w:val="24"/>
          <w:szCs w:val="24"/>
          <w:lang w:val="en-US"/>
        </w:rPr>
        <w:t>d</w:t>
      </w:r>
      <w:r w:rsidR="00824A5F" w:rsidRPr="004B3A13">
        <w:rPr>
          <w:rFonts w:ascii="Arial" w:eastAsia="Arial" w:hAnsi="Arial" w:cs="Arial"/>
          <w:sz w:val="24"/>
          <w:szCs w:val="24"/>
          <w:lang w:val="en-US"/>
        </w:rPr>
        <w:t xml:space="preserve"> on </w:t>
      </w:r>
      <w:r w:rsidR="00D16745" w:rsidRPr="004B3A13">
        <w:rPr>
          <w:rFonts w:ascii="Arial" w:eastAsia="Arial" w:hAnsi="Arial" w:cs="Arial"/>
          <w:i/>
          <w:iCs/>
          <w:sz w:val="24"/>
          <w:szCs w:val="24"/>
          <w:lang w:val="en-US"/>
        </w:rPr>
        <w:t>Isaacs</w:t>
      </w:r>
      <w:r w:rsidR="000C0408" w:rsidRPr="004B3A13">
        <w:rPr>
          <w:rFonts w:ascii="Arial" w:eastAsia="Arial" w:hAnsi="Arial" w:cs="Arial"/>
          <w:i/>
          <w:iCs/>
          <w:sz w:val="24"/>
          <w:szCs w:val="24"/>
          <w:lang w:val="en-US"/>
        </w:rPr>
        <w:t>,</w:t>
      </w:r>
      <w:r w:rsidR="00D16745" w:rsidRPr="004B3A13">
        <w:rPr>
          <w:rStyle w:val="FootnoteReference"/>
          <w:rFonts w:ascii="Arial" w:eastAsia="Arial" w:hAnsi="Arial" w:cs="Arial"/>
          <w:i/>
          <w:iCs/>
          <w:sz w:val="24"/>
          <w:szCs w:val="24"/>
          <w:lang w:val="en-US"/>
        </w:rPr>
        <w:footnoteReference w:id="18"/>
      </w:r>
      <w:r w:rsidR="00662D1E" w:rsidRPr="004B3A13">
        <w:rPr>
          <w:rFonts w:ascii="Arial" w:eastAsia="Arial" w:hAnsi="Arial" w:cs="Arial"/>
          <w:iCs/>
          <w:sz w:val="24"/>
          <w:szCs w:val="24"/>
          <w:lang w:val="en-US"/>
        </w:rPr>
        <w:t xml:space="preserve"> which</w:t>
      </w:r>
      <w:r w:rsidR="00D16745" w:rsidRPr="004B3A13">
        <w:rPr>
          <w:rFonts w:ascii="Arial" w:eastAsia="Arial" w:hAnsi="Arial" w:cs="Arial"/>
          <w:i/>
          <w:iCs/>
          <w:sz w:val="24"/>
          <w:szCs w:val="24"/>
          <w:lang w:val="en-US"/>
        </w:rPr>
        <w:t xml:space="preserve"> </w:t>
      </w:r>
      <w:r w:rsidR="00C50471" w:rsidRPr="004B3A13">
        <w:rPr>
          <w:rFonts w:ascii="Arial" w:eastAsia="Arial" w:hAnsi="Arial" w:cs="Arial"/>
          <w:iCs/>
          <w:sz w:val="24"/>
          <w:szCs w:val="24"/>
          <w:lang w:val="en-US"/>
        </w:rPr>
        <w:t xml:space="preserve">matter </w:t>
      </w:r>
      <w:r w:rsidR="00757AA4" w:rsidRPr="004B3A13">
        <w:rPr>
          <w:rFonts w:ascii="Arial" w:eastAsia="Arial" w:hAnsi="Arial" w:cs="Arial"/>
          <w:sz w:val="24"/>
          <w:szCs w:val="24"/>
          <w:lang w:val="en-US"/>
        </w:rPr>
        <w:t xml:space="preserve">contrasted between two situations: (i) where a suspect voluntarily accompanies the police to the station and (ii) where a suspect is told to wait at a police station for a police officer to arrive and whose request that he be permitted to go home </w:t>
      </w:r>
      <w:r w:rsidR="00662D1E" w:rsidRPr="004B3A13">
        <w:rPr>
          <w:rFonts w:ascii="Arial" w:eastAsia="Arial" w:hAnsi="Arial" w:cs="Arial"/>
          <w:sz w:val="24"/>
          <w:szCs w:val="24"/>
          <w:lang w:val="en-US"/>
        </w:rPr>
        <w:t>wa</w:t>
      </w:r>
      <w:r w:rsidR="00757AA4" w:rsidRPr="004B3A13">
        <w:rPr>
          <w:rFonts w:ascii="Arial" w:eastAsia="Arial" w:hAnsi="Arial" w:cs="Arial"/>
          <w:sz w:val="24"/>
          <w:szCs w:val="24"/>
          <w:lang w:val="en-US"/>
        </w:rPr>
        <w:t>s refused.</w:t>
      </w:r>
      <w:r w:rsidR="0051393D" w:rsidRPr="004B3A13">
        <w:rPr>
          <w:rStyle w:val="FootnoteReference"/>
          <w:rFonts w:ascii="Arial" w:eastAsia="Arial" w:hAnsi="Arial" w:cs="Arial"/>
          <w:sz w:val="24"/>
          <w:szCs w:val="24"/>
          <w:lang w:val="en-US"/>
        </w:rPr>
        <w:footnoteReference w:id="19"/>
      </w:r>
      <w:r w:rsidR="00757AA4" w:rsidRPr="004B3A13">
        <w:rPr>
          <w:rFonts w:ascii="Arial" w:eastAsia="Arial" w:hAnsi="Arial" w:cs="Arial"/>
          <w:sz w:val="24"/>
          <w:szCs w:val="24"/>
          <w:lang w:val="en-US"/>
        </w:rPr>
        <w:t xml:space="preserve"> Only the latter amounts to arrest</w:t>
      </w:r>
      <w:r w:rsidR="00836ED9" w:rsidRPr="004B3A13">
        <w:rPr>
          <w:rFonts w:ascii="Arial" w:eastAsia="Arial" w:hAnsi="Arial" w:cs="Arial"/>
          <w:iCs/>
          <w:sz w:val="24"/>
          <w:szCs w:val="24"/>
          <w:lang w:val="en-US"/>
        </w:rPr>
        <w:t>,</w:t>
      </w:r>
      <w:r w:rsidR="00A576C8" w:rsidRPr="004B3A13">
        <w:rPr>
          <w:rFonts w:ascii="Arial" w:eastAsia="Arial" w:hAnsi="Arial" w:cs="Arial"/>
          <w:sz w:val="24"/>
          <w:szCs w:val="24"/>
          <w:lang w:val="en-US"/>
        </w:rPr>
        <w:t xml:space="preserve"> because </w:t>
      </w:r>
      <w:r w:rsidR="00757AA4" w:rsidRPr="004B3A13">
        <w:rPr>
          <w:rFonts w:ascii="Arial" w:eastAsia="Arial" w:hAnsi="Arial" w:cs="Arial"/>
          <w:sz w:val="24"/>
          <w:szCs w:val="24"/>
          <w:lang w:val="en-US"/>
        </w:rPr>
        <w:t xml:space="preserve">as per </w:t>
      </w:r>
      <w:r w:rsidR="00757AA4" w:rsidRPr="004B3A13">
        <w:rPr>
          <w:rFonts w:ascii="Arial" w:eastAsia="Arial" w:hAnsi="Arial" w:cs="Arial"/>
          <w:i/>
          <w:iCs/>
          <w:sz w:val="24"/>
          <w:szCs w:val="24"/>
          <w:lang w:val="en-US"/>
        </w:rPr>
        <w:t>R v Mazema</w:t>
      </w:r>
      <w:r w:rsidR="00164B51" w:rsidRPr="004B3A13">
        <w:rPr>
          <w:rFonts w:ascii="Arial" w:eastAsia="Arial" w:hAnsi="Arial" w:cs="Arial"/>
          <w:sz w:val="24"/>
          <w:szCs w:val="24"/>
          <w:lang w:val="en-US"/>
        </w:rPr>
        <w:t>,</w:t>
      </w:r>
      <w:r w:rsidR="00164B51" w:rsidRPr="004B3A13">
        <w:rPr>
          <w:rStyle w:val="FootnoteReference"/>
          <w:rFonts w:ascii="Arial" w:eastAsia="Arial" w:hAnsi="Arial" w:cs="Arial"/>
          <w:sz w:val="24"/>
          <w:szCs w:val="24"/>
          <w:lang w:val="en-US"/>
        </w:rPr>
        <w:footnoteReference w:id="20"/>
      </w:r>
      <w:r w:rsidR="00164B51"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quoted with approval by the</w:t>
      </w:r>
      <w:r w:rsidR="00824A5F" w:rsidRPr="004B3A13">
        <w:rPr>
          <w:rFonts w:ascii="Arial" w:eastAsia="Arial" w:hAnsi="Arial" w:cs="Arial"/>
          <w:sz w:val="24"/>
          <w:szCs w:val="24"/>
          <w:lang w:val="en-US"/>
        </w:rPr>
        <w:t xml:space="preserve"> South Africa</w:t>
      </w:r>
      <w:r w:rsidR="00C77396" w:rsidRPr="004B3A13">
        <w:rPr>
          <w:rFonts w:ascii="Arial" w:eastAsia="Arial" w:hAnsi="Arial" w:cs="Arial"/>
          <w:sz w:val="24"/>
          <w:szCs w:val="24"/>
          <w:lang w:val="en-US"/>
        </w:rPr>
        <w:t>n Appellate Division</w:t>
      </w:r>
      <w:r w:rsidR="00824A5F"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 xml:space="preserve">in </w:t>
      </w:r>
      <w:r w:rsidR="00757AA4" w:rsidRPr="004B3A13">
        <w:rPr>
          <w:rFonts w:ascii="Arial" w:eastAsia="Arial" w:hAnsi="Arial" w:cs="Arial"/>
          <w:i/>
          <w:iCs/>
          <w:sz w:val="24"/>
          <w:szCs w:val="24"/>
          <w:lang w:val="en-US"/>
        </w:rPr>
        <w:t>Isaacs</w:t>
      </w:r>
      <w:r w:rsidR="00164B51" w:rsidRPr="004B3A13">
        <w:rPr>
          <w:rFonts w:ascii="Arial" w:eastAsia="Arial" w:hAnsi="Arial" w:cs="Arial"/>
          <w:sz w:val="24"/>
          <w:szCs w:val="24"/>
          <w:lang w:val="en-US"/>
        </w:rPr>
        <w:t>,</w:t>
      </w:r>
      <w:r w:rsidR="00164B51" w:rsidRPr="004B3A13">
        <w:rPr>
          <w:rStyle w:val="FootnoteReference"/>
          <w:rFonts w:ascii="Arial" w:eastAsia="Arial" w:hAnsi="Arial" w:cs="Arial"/>
          <w:sz w:val="24"/>
          <w:szCs w:val="24"/>
          <w:lang w:val="en-US"/>
        </w:rPr>
        <w:footnoteReference w:id="21"/>
      </w:r>
      <w:r w:rsidR="00757AA4" w:rsidRPr="004B3A13">
        <w:rPr>
          <w:rFonts w:ascii="Arial" w:eastAsia="Arial" w:hAnsi="Arial" w:cs="Arial"/>
          <w:sz w:val="24"/>
          <w:szCs w:val="24"/>
          <w:lang w:val="en-US"/>
        </w:rPr>
        <w:t xml:space="preserve"> </w:t>
      </w:r>
      <w:r w:rsidR="0051393D" w:rsidRPr="004B3A13">
        <w:rPr>
          <w:rFonts w:ascii="Arial" w:eastAsia="Arial" w:hAnsi="Arial" w:cs="Arial"/>
          <w:sz w:val="24"/>
          <w:szCs w:val="24"/>
          <w:lang w:val="en-US"/>
        </w:rPr>
        <w:t>‘</w:t>
      </w:r>
      <w:r w:rsidR="00836ED9" w:rsidRPr="004B3A13">
        <w:rPr>
          <w:rFonts w:ascii="Arial" w:eastAsia="Arial" w:hAnsi="Arial" w:cs="Arial"/>
          <w:sz w:val="24"/>
          <w:szCs w:val="24"/>
          <w:lang w:val="en-US"/>
        </w:rPr>
        <w:t>[</w:t>
      </w:r>
      <w:r w:rsidR="0051393D" w:rsidRPr="004B3A13">
        <w:rPr>
          <w:rFonts w:ascii="Arial" w:eastAsia="Arial" w:hAnsi="Arial" w:cs="Arial"/>
          <w:sz w:val="24"/>
          <w:szCs w:val="24"/>
          <w:lang w:val="en-US"/>
        </w:rPr>
        <w:t>A</w:t>
      </w:r>
      <w:r w:rsidR="00836ED9" w:rsidRPr="004B3A13">
        <w:rPr>
          <w:rFonts w:ascii="Arial" w:eastAsia="Arial" w:hAnsi="Arial" w:cs="Arial"/>
          <w:sz w:val="24"/>
          <w:szCs w:val="24"/>
          <w:lang w:val="en-US"/>
        </w:rPr>
        <w:t>]</w:t>
      </w:r>
      <w:r w:rsidR="00757AA4" w:rsidRPr="004B3A13">
        <w:rPr>
          <w:rFonts w:ascii="Arial" w:eastAsia="Arial" w:hAnsi="Arial" w:cs="Arial"/>
          <w:sz w:val="24"/>
          <w:szCs w:val="24"/>
          <w:lang w:val="en-US"/>
        </w:rPr>
        <w:t xml:space="preserve"> person is under arrest as soon as the police assume control over his movements</w:t>
      </w:r>
      <w:r w:rsidR="0051393D" w:rsidRPr="004B3A13">
        <w:rPr>
          <w:rFonts w:ascii="Arial" w:eastAsia="Arial" w:hAnsi="Arial" w:cs="Arial"/>
          <w:sz w:val="24"/>
          <w:szCs w:val="24"/>
          <w:lang w:val="en-US"/>
        </w:rPr>
        <w:t>’</w:t>
      </w:r>
      <w:r w:rsidR="00D10DE9">
        <w:rPr>
          <w:rFonts w:ascii="Arial" w:eastAsia="Arial" w:hAnsi="Arial" w:cs="Arial"/>
          <w:sz w:val="24"/>
          <w:szCs w:val="24"/>
          <w:lang w:val="en-US"/>
        </w:rPr>
        <w:t>.</w:t>
      </w:r>
      <w:r w:rsidR="0051393D"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Th</w:t>
      </w:r>
      <w:r w:rsidR="00DA10E3" w:rsidRPr="004B3A13">
        <w:rPr>
          <w:rFonts w:ascii="Arial" w:eastAsia="Arial" w:hAnsi="Arial" w:cs="Arial"/>
          <w:sz w:val="24"/>
          <w:szCs w:val="24"/>
          <w:lang w:val="en-US"/>
        </w:rPr>
        <w:t xml:space="preserve">ese </w:t>
      </w:r>
      <w:r w:rsidR="00836ED9" w:rsidRPr="004B3A13">
        <w:rPr>
          <w:rFonts w:ascii="Arial" w:eastAsia="Arial" w:hAnsi="Arial" w:cs="Arial"/>
          <w:sz w:val="24"/>
          <w:szCs w:val="24"/>
          <w:lang w:val="en-US"/>
        </w:rPr>
        <w:t>observation</w:t>
      </w:r>
      <w:r w:rsidR="00DA10E3" w:rsidRPr="004B3A13">
        <w:rPr>
          <w:rFonts w:ascii="Arial" w:eastAsia="Arial" w:hAnsi="Arial" w:cs="Arial"/>
          <w:sz w:val="24"/>
          <w:szCs w:val="24"/>
          <w:lang w:val="en-US"/>
        </w:rPr>
        <w:t>s highlight that</w:t>
      </w:r>
      <w:r w:rsidR="00757AA4" w:rsidRPr="004B3A13">
        <w:rPr>
          <w:rFonts w:ascii="Arial" w:eastAsia="Arial" w:hAnsi="Arial" w:cs="Arial"/>
          <w:sz w:val="24"/>
          <w:szCs w:val="24"/>
          <w:lang w:val="en-US"/>
        </w:rPr>
        <w:t xml:space="preserve"> the deprivation of personal liberty does not have to be absolute and if the person is not in control of his movements at will, he would be under arrest.</w:t>
      </w:r>
    </w:p>
    <w:p w14:paraId="6C3F973D" w14:textId="77777777" w:rsidR="00E60985" w:rsidRPr="004B3A13" w:rsidRDefault="00E60985" w:rsidP="00966268">
      <w:pPr>
        <w:pStyle w:val="Body"/>
        <w:spacing w:after="0" w:line="480" w:lineRule="auto"/>
        <w:ind w:left="0"/>
        <w:jc w:val="both"/>
        <w:rPr>
          <w:rFonts w:ascii="Arial" w:eastAsia="Arial" w:hAnsi="Arial" w:cs="Arial"/>
          <w:sz w:val="24"/>
          <w:szCs w:val="24"/>
          <w:lang w:val="en-US"/>
        </w:rPr>
      </w:pPr>
    </w:p>
    <w:p w14:paraId="012555E3" w14:textId="1276F46E" w:rsidR="0051393D"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t>[42]</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However, the difference between these situations does not </w:t>
      </w:r>
      <w:r w:rsidR="0051393D" w:rsidRPr="004B3A13">
        <w:rPr>
          <w:rFonts w:ascii="Arial" w:eastAsia="Arial" w:hAnsi="Arial" w:cs="Arial"/>
          <w:sz w:val="24"/>
          <w:szCs w:val="24"/>
          <w:lang w:val="en-US"/>
        </w:rPr>
        <w:t>assist</w:t>
      </w:r>
      <w:r w:rsidR="00757AA4" w:rsidRPr="004B3A13">
        <w:rPr>
          <w:rFonts w:ascii="Arial" w:eastAsia="Arial" w:hAnsi="Arial" w:cs="Arial"/>
          <w:sz w:val="24"/>
          <w:szCs w:val="24"/>
          <w:lang w:val="en-US"/>
        </w:rPr>
        <w:t xml:space="preserve"> the appellant. The element of the respondent’s voluntariness in accompanying the police to the station is a mere assertion of the appellant, which when combined with their witnesses’ contradictory versions</w:t>
      </w:r>
      <w:r w:rsidR="00824A5F" w:rsidRPr="004B3A13">
        <w:rPr>
          <w:rFonts w:ascii="Arial" w:eastAsia="Arial" w:hAnsi="Arial" w:cs="Arial"/>
          <w:sz w:val="24"/>
          <w:szCs w:val="24"/>
          <w:lang w:val="en-US"/>
        </w:rPr>
        <w:t xml:space="preserve"> on this aspect</w:t>
      </w:r>
      <w:r w:rsidR="00757AA4" w:rsidRPr="004B3A13">
        <w:rPr>
          <w:rFonts w:ascii="Arial" w:eastAsia="Arial" w:hAnsi="Arial" w:cs="Arial"/>
          <w:sz w:val="24"/>
          <w:szCs w:val="24"/>
          <w:lang w:val="en-US"/>
        </w:rPr>
        <w:t xml:space="preserve">, </w:t>
      </w:r>
      <w:r w:rsidR="00C50471" w:rsidRPr="004B3A13">
        <w:rPr>
          <w:rFonts w:ascii="Arial" w:eastAsia="Arial" w:hAnsi="Arial" w:cs="Arial"/>
          <w:sz w:val="24"/>
          <w:szCs w:val="24"/>
          <w:lang w:val="en-US"/>
        </w:rPr>
        <w:t>simply</w:t>
      </w:r>
      <w:r w:rsidR="00DD3F63" w:rsidRPr="004B3A13">
        <w:rPr>
          <w:rFonts w:ascii="Arial" w:eastAsia="Arial" w:hAnsi="Arial" w:cs="Arial"/>
          <w:sz w:val="24"/>
          <w:szCs w:val="24"/>
          <w:lang w:val="en-US"/>
        </w:rPr>
        <w:t xml:space="preserve"> does</w:t>
      </w:r>
      <w:r w:rsidR="00C50471" w:rsidRPr="004B3A13">
        <w:rPr>
          <w:rFonts w:ascii="Arial" w:eastAsia="Arial" w:hAnsi="Arial" w:cs="Arial"/>
          <w:sz w:val="24"/>
          <w:szCs w:val="24"/>
          <w:lang w:val="en-US"/>
        </w:rPr>
        <w:t xml:space="preserve"> </w:t>
      </w:r>
      <w:r w:rsidR="00757AA4" w:rsidRPr="004B3A13">
        <w:rPr>
          <w:rFonts w:ascii="Arial" w:eastAsia="Arial" w:hAnsi="Arial" w:cs="Arial"/>
          <w:sz w:val="24"/>
          <w:szCs w:val="24"/>
          <w:lang w:val="en-US"/>
        </w:rPr>
        <w:t xml:space="preserve">not </w:t>
      </w:r>
      <w:r w:rsidR="00C50471" w:rsidRPr="004B3A13">
        <w:rPr>
          <w:rFonts w:ascii="Arial" w:eastAsia="Arial" w:hAnsi="Arial" w:cs="Arial"/>
          <w:sz w:val="24"/>
          <w:szCs w:val="24"/>
          <w:lang w:val="en-US"/>
        </w:rPr>
        <w:t>add up</w:t>
      </w:r>
      <w:r w:rsidR="00757AA4" w:rsidRPr="004B3A13">
        <w:rPr>
          <w:rFonts w:ascii="Arial" w:eastAsia="Arial" w:hAnsi="Arial" w:cs="Arial"/>
          <w:sz w:val="24"/>
          <w:szCs w:val="24"/>
          <w:lang w:val="en-US"/>
        </w:rPr>
        <w:t>.</w:t>
      </w:r>
    </w:p>
    <w:p w14:paraId="5F4F1C57" w14:textId="77777777" w:rsidR="00E60985" w:rsidRPr="004B3A13" w:rsidRDefault="00E60985" w:rsidP="00966268">
      <w:pPr>
        <w:pStyle w:val="Body"/>
        <w:spacing w:after="0" w:line="480" w:lineRule="auto"/>
        <w:ind w:left="0"/>
        <w:jc w:val="both"/>
        <w:rPr>
          <w:rFonts w:ascii="Arial" w:eastAsia="Arial" w:hAnsi="Arial" w:cs="Arial"/>
          <w:sz w:val="24"/>
          <w:szCs w:val="24"/>
          <w:lang w:val="en-US"/>
        </w:rPr>
      </w:pPr>
    </w:p>
    <w:p w14:paraId="3ADB553C" w14:textId="167B479C" w:rsidR="00D64BF0" w:rsidRPr="004B3A13" w:rsidRDefault="00E822E3" w:rsidP="00E822E3">
      <w:pPr>
        <w:pStyle w:val="Body"/>
        <w:spacing w:after="0" w:line="480" w:lineRule="auto"/>
        <w:ind w:left="0"/>
        <w:jc w:val="both"/>
        <w:rPr>
          <w:rFonts w:ascii="Arial" w:eastAsia="Arial" w:hAnsi="Arial" w:cs="Arial"/>
          <w:sz w:val="24"/>
          <w:szCs w:val="24"/>
          <w:lang w:val="en-US"/>
        </w:rPr>
      </w:pPr>
      <w:r w:rsidRPr="004B3A13">
        <w:rPr>
          <w:rFonts w:ascii="Arial" w:eastAsia="Arial" w:hAnsi="Arial" w:cs="Arial"/>
          <w:sz w:val="24"/>
          <w:szCs w:val="24"/>
          <w:lang w:val="en-US"/>
        </w:rPr>
        <w:lastRenderedPageBreak/>
        <w:t>[43]</w:t>
      </w:r>
      <w:r w:rsidRPr="004B3A13">
        <w:rPr>
          <w:rFonts w:ascii="Arial" w:eastAsia="Arial" w:hAnsi="Arial" w:cs="Arial"/>
          <w:sz w:val="24"/>
          <w:szCs w:val="24"/>
          <w:lang w:val="en-US"/>
        </w:rPr>
        <w:tab/>
      </w:r>
      <w:r w:rsidR="00757AA4" w:rsidRPr="004B3A13">
        <w:rPr>
          <w:rFonts w:ascii="Arial" w:eastAsia="Arial" w:hAnsi="Arial" w:cs="Arial"/>
          <w:sz w:val="24"/>
          <w:szCs w:val="24"/>
          <w:lang w:val="en-US"/>
        </w:rPr>
        <w:t xml:space="preserve">The respondent’s version that he was arrested at Mr Haasbroek’s house corresponds </w:t>
      </w:r>
      <w:r w:rsidR="00DD3F63" w:rsidRPr="004B3A13">
        <w:rPr>
          <w:rFonts w:ascii="Arial" w:eastAsia="Arial" w:hAnsi="Arial" w:cs="Arial"/>
          <w:sz w:val="24"/>
          <w:szCs w:val="24"/>
          <w:lang w:val="en-US"/>
        </w:rPr>
        <w:t xml:space="preserve">with </w:t>
      </w:r>
      <w:r w:rsidR="00757AA4" w:rsidRPr="004B3A13">
        <w:rPr>
          <w:rFonts w:ascii="Arial" w:eastAsia="Arial" w:hAnsi="Arial" w:cs="Arial"/>
          <w:sz w:val="24"/>
          <w:szCs w:val="24"/>
          <w:lang w:val="en-US"/>
        </w:rPr>
        <w:t>the original witness statement and police statement of Inspector Anton</w:t>
      </w:r>
      <w:r w:rsidR="00DD3F63" w:rsidRPr="004B3A13">
        <w:rPr>
          <w:rFonts w:ascii="Arial" w:eastAsia="Arial" w:hAnsi="Arial" w:cs="Arial"/>
          <w:sz w:val="24"/>
          <w:szCs w:val="24"/>
          <w:lang w:val="en-US"/>
        </w:rPr>
        <w:t>,</w:t>
      </w:r>
      <w:r w:rsidR="00757AA4" w:rsidRPr="004B3A13">
        <w:rPr>
          <w:rFonts w:ascii="Arial" w:eastAsia="Arial" w:hAnsi="Arial" w:cs="Arial"/>
          <w:sz w:val="24"/>
          <w:szCs w:val="24"/>
          <w:lang w:val="en-US"/>
        </w:rPr>
        <w:t xml:space="preserve"> as well as W/O Machado’s testimony that he found the respondent ‘already in the waiting cells’ at the Swakop</w:t>
      </w:r>
      <w:r w:rsidR="00836ED9" w:rsidRPr="004B3A13">
        <w:rPr>
          <w:rFonts w:ascii="Arial" w:eastAsia="Arial" w:hAnsi="Arial" w:cs="Arial"/>
          <w:sz w:val="24"/>
          <w:szCs w:val="24"/>
          <w:lang w:val="en-US"/>
        </w:rPr>
        <w:t>mund</w:t>
      </w:r>
      <w:r w:rsidR="00757AA4" w:rsidRPr="004B3A13">
        <w:rPr>
          <w:rFonts w:ascii="Arial" w:eastAsia="Arial" w:hAnsi="Arial" w:cs="Arial"/>
          <w:sz w:val="24"/>
          <w:szCs w:val="24"/>
          <w:lang w:val="en-US"/>
        </w:rPr>
        <w:t xml:space="preserve"> Police Station. On a balance of probabilities, the </w:t>
      </w:r>
      <w:r w:rsidR="00836ED9" w:rsidRPr="004B3A13">
        <w:rPr>
          <w:rFonts w:ascii="Arial" w:eastAsia="Arial" w:hAnsi="Arial" w:cs="Arial"/>
          <w:sz w:val="24"/>
          <w:szCs w:val="24"/>
          <w:lang w:val="en-US"/>
        </w:rPr>
        <w:t xml:space="preserve">court below </w:t>
      </w:r>
      <w:r w:rsidR="000A5619" w:rsidRPr="004B3A13">
        <w:rPr>
          <w:rFonts w:ascii="Arial" w:eastAsia="Arial" w:hAnsi="Arial" w:cs="Arial"/>
          <w:sz w:val="24"/>
          <w:szCs w:val="24"/>
          <w:lang w:val="en-US"/>
        </w:rPr>
        <w:t xml:space="preserve">was correct in accepting the </w:t>
      </w:r>
      <w:r w:rsidR="00757AA4" w:rsidRPr="004B3A13">
        <w:rPr>
          <w:rFonts w:ascii="Arial" w:eastAsia="Arial" w:hAnsi="Arial" w:cs="Arial"/>
          <w:sz w:val="24"/>
          <w:szCs w:val="24"/>
          <w:lang w:val="en-US"/>
        </w:rPr>
        <w:t xml:space="preserve">respondent’s version </w:t>
      </w:r>
      <w:r w:rsidR="000A5619" w:rsidRPr="004B3A13">
        <w:rPr>
          <w:rFonts w:ascii="Arial" w:eastAsia="Arial" w:hAnsi="Arial" w:cs="Arial"/>
          <w:sz w:val="24"/>
          <w:szCs w:val="24"/>
          <w:lang w:val="en-US"/>
        </w:rPr>
        <w:t>and rejecting that of the appellant</w:t>
      </w:r>
      <w:r w:rsidR="00757AA4" w:rsidRPr="004B3A13">
        <w:rPr>
          <w:rFonts w:ascii="Arial" w:eastAsia="Arial" w:hAnsi="Arial" w:cs="Arial"/>
          <w:sz w:val="24"/>
          <w:szCs w:val="24"/>
          <w:lang w:val="en-US"/>
        </w:rPr>
        <w:t xml:space="preserve">. </w:t>
      </w:r>
    </w:p>
    <w:p w14:paraId="446F6B3B" w14:textId="77777777" w:rsidR="00966268" w:rsidRPr="004B3A13" w:rsidRDefault="00966268" w:rsidP="000C0408">
      <w:pPr>
        <w:pStyle w:val="Body"/>
        <w:spacing w:after="0" w:line="480" w:lineRule="auto"/>
        <w:ind w:left="0"/>
        <w:jc w:val="both"/>
        <w:rPr>
          <w:rFonts w:ascii="Arial" w:eastAsia="Arial" w:hAnsi="Arial" w:cs="Arial"/>
          <w:color w:val="000000" w:themeColor="text1"/>
          <w:sz w:val="24"/>
          <w:szCs w:val="24"/>
          <w:u w:val="single"/>
          <w:lang w:val="en-US"/>
        </w:rPr>
      </w:pPr>
    </w:p>
    <w:p w14:paraId="50B7A9E3" w14:textId="034DAD0B" w:rsidR="00757AA4" w:rsidRPr="004B3A13" w:rsidRDefault="00757AA4" w:rsidP="000C0408">
      <w:pPr>
        <w:pStyle w:val="Body"/>
        <w:spacing w:after="0" w:line="480" w:lineRule="auto"/>
        <w:ind w:left="0"/>
        <w:jc w:val="both"/>
        <w:rPr>
          <w:rFonts w:ascii="Arial" w:eastAsia="Arial" w:hAnsi="Arial" w:cs="Arial"/>
          <w:color w:val="000000" w:themeColor="text1"/>
          <w:sz w:val="24"/>
          <w:szCs w:val="24"/>
          <w:u w:val="single"/>
          <w:lang w:val="en-US"/>
        </w:rPr>
      </w:pPr>
      <w:r w:rsidRPr="004B3A13">
        <w:rPr>
          <w:rFonts w:ascii="Arial" w:eastAsia="Arial" w:hAnsi="Arial" w:cs="Arial"/>
          <w:color w:val="000000" w:themeColor="text1"/>
          <w:sz w:val="24"/>
          <w:szCs w:val="24"/>
          <w:u w:val="single"/>
          <w:lang w:val="en-US"/>
        </w:rPr>
        <w:t xml:space="preserve">Quantum of </w:t>
      </w:r>
      <w:r w:rsidR="000A5619" w:rsidRPr="004B3A13">
        <w:rPr>
          <w:rFonts w:ascii="Arial" w:eastAsia="Arial" w:hAnsi="Arial" w:cs="Arial"/>
          <w:color w:val="000000" w:themeColor="text1"/>
          <w:sz w:val="24"/>
          <w:szCs w:val="24"/>
          <w:u w:val="single"/>
          <w:lang w:val="en-US"/>
        </w:rPr>
        <w:t>d</w:t>
      </w:r>
      <w:r w:rsidRPr="004B3A13">
        <w:rPr>
          <w:rFonts w:ascii="Arial" w:eastAsia="Arial" w:hAnsi="Arial" w:cs="Arial"/>
          <w:color w:val="000000" w:themeColor="text1"/>
          <w:sz w:val="24"/>
          <w:szCs w:val="24"/>
          <w:u w:val="single"/>
          <w:lang w:val="en-US"/>
        </w:rPr>
        <w:t>amages</w:t>
      </w:r>
    </w:p>
    <w:p w14:paraId="2FB5CFC9" w14:textId="76181F72"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[44]</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The court </w:t>
      </w:r>
      <w:r w:rsidR="00757AA4" w:rsidRPr="00E822E3">
        <w:rPr>
          <w:rFonts w:ascii="Arial" w:hAnsi="Arial" w:cs="Arial"/>
          <w:iCs/>
          <w:color w:val="000000" w:themeColor="text1"/>
          <w:lang w:val="en-US"/>
        </w:rPr>
        <w:t>a quo</w:t>
      </w:r>
      <w:r w:rsidR="00757AA4" w:rsidRPr="00E822E3">
        <w:rPr>
          <w:rFonts w:ascii="Arial" w:hAnsi="Arial" w:cs="Arial"/>
          <w:color w:val="000000" w:themeColor="text1"/>
          <w:lang w:val="en-US"/>
        </w:rPr>
        <w:t xml:space="preserve"> took its </w:t>
      </w:r>
      <w:r w:rsidR="00DA10E3" w:rsidRPr="00E822E3">
        <w:rPr>
          <w:rFonts w:ascii="Arial" w:hAnsi="Arial" w:cs="Arial"/>
          <w:color w:val="000000" w:themeColor="text1"/>
          <w:lang w:val="en-US"/>
        </w:rPr>
        <w:t>‘</w:t>
      </w:r>
      <w:r w:rsidR="00757AA4" w:rsidRPr="00E822E3">
        <w:rPr>
          <w:rFonts w:ascii="Arial" w:hAnsi="Arial" w:cs="Arial"/>
          <w:color w:val="000000" w:themeColor="text1"/>
          <w:lang w:val="en-US"/>
        </w:rPr>
        <w:t>main cue</w:t>
      </w:r>
      <w:r w:rsidR="00DA10E3" w:rsidRPr="00E822E3">
        <w:rPr>
          <w:rFonts w:ascii="Arial" w:hAnsi="Arial" w:cs="Arial"/>
          <w:color w:val="000000" w:themeColor="text1"/>
          <w:lang w:val="en-US"/>
        </w:rPr>
        <w:t>’</w:t>
      </w:r>
      <w:r w:rsidR="00757AA4" w:rsidRPr="00E822E3">
        <w:rPr>
          <w:rFonts w:ascii="Arial" w:hAnsi="Arial" w:cs="Arial"/>
          <w:color w:val="000000" w:themeColor="text1"/>
          <w:lang w:val="en-US"/>
        </w:rPr>
        <w:t xml:space="preserve"> from </w:t>
      </w:r>
      <w:r w:rsidR="00757AA4" w:rsidRPr="00E822E3">
        <w:rPr>
          <w:rFonts w:ascii="Arial" w:hAnsi="Arial" w:cs="Arial"/>
          <w:i/>
          <w:iCs/>
          <w:color w:val="000000" w:themeColor="text1"/>
          <w:lang w:val="en-US"/>
        </w:rPr>
        <w:t>Lazarus</w:t>
      </w:r>
      <w:r w:rsidR="00757AA4" w:rsidRPr="00E822E3">
        <w:rPr>
          <w:rFonts w:ascii="Arial" w:hAnsi="Arial" w:cs="Arial"/>
          <w:color w:val="000000" w:themeColor="text1"/>
          <w:lang w:val="en-US"/>
        </w:rPr>
        <w:t xml:space="preserve"> and embraced its </w:t>
      </w:r>
      <w:r w:rsidR="00757AA4" w:rsidRPr="00E822E3">
        <w:rPr>
          <w:rFonts w:ascii="Arial" w:hAnsi="Arial" w:cs="Arial"/>
          <w:i/>
          <w:color w:val="000000" w:themeColor="text1"/>
          <w:lang w:val="en-US"/>
        </w:rPr>
        <w:t>dicta</w:t>
      </w:r>
      <w:r w:rsidR="00811155" w:rsidRPr="00E822E3">
        <w:rPr>
          <w:rFonts w:ascii="Arial" w:hAnsi="Arial" w:cs="Arial"/>
          <w:color w:val="000000" w:themeColor="text1"/>
          <w:lang w:val="en-US"/>
        </w:rPr>
        <w:t xml:space="preserve"> at paras </w:t>
      </w:r>
      <w:r w:rsidR="00757AA4" w:rsidRPr="00E822E3">
        <w:rPr>
          <w:rFonts w:ascii="Arial" w:hAnsi="Arial" w:cs="Arial"/>
          <w:color w:val="000000" w:themeColor="text1"/>
          <w:lang w:val="en-US"/>
        </w:rPr>
        <w:t xml:space="preserve">27 to 32, which evidently demonstrates that no mathematical formula was adopted to determine the </w:t>
      </w:r>
      <w:r w:rsidR="000A5619" w:rsidRPr="00E822E3">
        <w:rPr>
          <w:rFonts w:ascii="Arial" w:hAnsi="Arial" w:cs="Arial"/>
          <w:color w:val="000000" w:themeColor="text1"/>
          <w:lang w:val="en-US"/>
        </w:rPr>
        <w:t xml:space="preserve">quantum of </w:t>
      </w:r>
      <w:r w:rsidR="00757AA4" w:rsidRPr="00E822E3">
        <w:rPr>
          <w:rFonts w:ascii="Arial" w:hAnsi="Arial" w:cs="Arial"/>
          <w:color w:val="000000" w:themeColor="text1"/>
          <w:lang w:val="en-US"/>
        </w:rPr>
        <w:t>damages.</w:t>
      </w:r>
      <w:r w:rsidR="000A5619" w:rsidRPr="00E822E3">
        <w:rPr>
          <w:rFonts w:ascii="Arial" w:hAnsi="Arial" w:cs="Arial"/>
          <w:color w:val="000000" w:themeColor="text1"/>
          <w:lang w:val="en-US"/>
        </w:rPr>
        <w:t xml:space="preserve"> </w:t>
      </w:r>
      <w:r w:rsidR="00757AA4" w:rsidRPr="00E822E3">
        <w:rPr>
          <w:rFonts w:ascii="Arial" w:hAnsi="Arial" w:cs="Arial"/>
          <w:color w:val="000000" w:themeColor="text1"/>
          <w:lang w:val="en-US"/>
        </w:rPr>
        <w:t xml:space="preserve">Courts have a wide discretion in assessing the quantum of damages based on the relevant facts and circumstances of each case. As it stands, </w:t>
      </w:r>
      <w:r w:rsidR="00757AA4" w:rsidRPr="00E822E3">
        <w:rPr>
          <w:rFonts w:ascii="Arial" w:hAnsi="Arial" w:cs="Arial"/>
          <w:i/>
          <w:iCs/>
          <w:color w:val="000000" w:themeColor="text1"/>
          <w:lang w:val="en-US"/>
        </w:rPr>
        <w:t>Lazarus</w:t>
      </w:r>
      <w:r w:rsidR="00757AA4" w:rsidRPr="00E822E3">
        <w:rPr>
          <w:rFonts w:ascii="Arial" w:hAnsi="Arial" w:cs="Arial"/>
          <w:color w:val="000000" w:themeColor="text1"/>
          <w:lang w:val="en-US"/>
        </w:rPr>
        <w:t xml:space="preserve"> is an authoritative pronouncement of this Court </w:t>
      </w:r>
      <w:r w:rsidR="000A5619" w:rsidRPr="00E822E3">
        <w:rPr>
          <w:rFonts w:ascii="Arial" w:hAnsi="Arial" w:cs="Arial"/>
          <w:color w:val="000000" w:themeColor="text1"/>
          <w:lang w:val="en-US"/>
        </w:rPr>
        <w:t>in the</w:t>
      </w:r>
      <w:r w:rsidR="00757AA4" w:rsidRPr="00E822E3">
        <w:rPr>
          <w:rFonts w:ascii="Arial" w:hAnsi="Arial" w:cs="Arial"/>
          <w:color w:val="000000" w:themeColor="text1"/>
          <w:lang w:val="en-US"/>
        </w:rPr>
        <w:t xml:space="preserve"> assess</w:t>
      </w:r>
      <w:r w:rsidR="000A5619" w:rsidRPr="00E822E3">
        <w:rPr>
          <w:rFonts w:ascii="Arial" w:hAnsi="Arial" w:cs="Arial"/>
          <w:color w:val="000000" w:themeColor="text1"/>
          <w:lang w:val="en-US"/>
        </w:rPr>
        <w:t>ment</w:t>
      </w:r>
      <w:r w:rsidR="00757AA4" w:rsidRPr="00E822E3">
        <w:rPr>
          <w:rFonts w:ascii="Arial" w:hAnsi="Arial" w:cs="Arial"/>
          <w:color w:val="000000" w:themeColor="text1"/>
          <w:lang w:val="en-US"/>
        </w:rPr>
        <w:t xml:space="preserve"> </w:t>
      </w:r>
      <w:r w:rsidR="000A5619" w:rsidRPr="00E822E3">
        <w:rPr>
          <w:rFonts w:ascii="Arial" w:hAnsi="Arial" w:cs="Arial"/>
          <w:color w:val="000000" w:themeColor="text1"/>
          <w:lang w:val="en-US"/>
        </w:rPr>
        <w:t xml:space="preserve">of </w:t>
      </w:r>
      <w:r w:rsidR="00757AA4" w:rsidRPr="00E822E3">
        <w:rPr>
          <w:rFonts w:ascii="Arial" w:hAnsi="Arial" w:cs="Arial"/>
          <w:color w:val="000000" w:themeColor="text1"/>
          <w:lang w:val="en-US"/>
        </w:rPr>
        <w:t xml:space="preserve">an appropriate award for damages in respect of a claim for unlawful arrest. </w:t>
      </w:r>
      <w:r w:rsidR="000A5619" w:rsidRPr="00E822E3">
        <w:rPr>
          <w:rFonts w:ascii="Arial" w:hAnsi="Arial" w:cs="Arial"/>
          <w:color w:val="000000" w:themeColor="text1"/>
          <w:lang w:val="en-US"/>
        </w:rPr>
        <w:t xml:space="preserve">It is binding on the court </w:t>
      </w:r>
      <w:r w:rsidR="000A5619" w:rsidRPr="00E822E3">
        <w:rPr>
          <w:rFonts w:ascii="Arial" w:hAnsi="Arial" w:cs="Arial"/>
          <w:iCs/>
          <w:color w:val="000000" w:themeColor="text1"/>
          <w:lang w:val="en-US"/>
        </w:rPr>
        <w:t>a quo</w:t>
      </w:r>
      <w:r w:rsidR="0037354B" w:rsidRPr="00E822E3">
        <w:rPr>
          <w:rFonts w:ascii="Arial" w:hAnsi="Arial" w:cs="Arial"/>
          <w:color w:val="000000" w:themeColor="text1"/>
          <w:lang w:val="en-US"/>
        </w:rPr>
        <w:t>, h</w:t>
      </w:r>
      <w:r w:rsidR="00757AA4" w:rsidRPr="00E822E3">
        <w:rPr>
          <w:rFonts w:ascii="Arial" w:hAnsi="Arial" w:cs="Arial"/>
          <w:color w:val="000000" w:themeColor="text1"/>
          <w:lang w:val="en-US"/>
        </w:rPr>
        <w:t xml:space="preserve">ence </w:t>
      </w:r>
      <w:r w:rsidR="0037354B" w:rsidRPr="00E822E3">
        <w:rPr>
          <w:rFonts w:ascii="Arial" w:hAnsi="Arial" w:cs="Arial"/>
          <w:color w:val="000000" w:themeColor="text1"/>
          <w:lang w:val="en-US"/>
        </w:rPr>
        <w:t xml:space="preserve">its </w:t>
      </w:r>
      <w:r w:rsidR="00757AA4" w:rsidRPr="00E822E3">
        <w:rPr>
          <w:rFonts w:ascii="Arial" w:hAnsi="Arial" w:cs="Arial"/>
          <w:color w:val="000000" w:themeColor="text1"/>
          <w:lang w:val="en-US"/>
        </w:rPr>
        <w:t>reliance on t</w:t>
      </w:r>
      <w:r w:rsidR="0037354B" w:rsidRPr="00E822E3">
        <w:rPr>
          <w:rFonts w:ascii="Arial" w:hAnsi="Arial" w:cs="Arial"/>
          <w:color w:val="000000" w:themeColor="text1"/>
          <w:lang w:val="en-US"/>
        </w:rPr>
        <w:t>he authority</w:t>
      </w:r>
      <w:r w:rsidR="00757AA4" w:rsidRPr="00E822E3">
        <w:rPr>
          <w:rFonts w:ascii="Arial" w:hAnsi="Arial" w:cs="Arial"/>
          <w:color w:val="000000" w:themeColor="text1"/>
          <w:lang w:val="en-US"/>
        </w:rPr>
        <w:t xml:space="preserve"> was </w:t>
      </w:r>
      <w:r w:rsidR="000A5619" w:rsidRPr="00E822E3">
        <w:rPr>
          <w:rFonts w:ascii="Arial" w:hAnsi="Arial" w:cs="Arial"/>
          <w:color w:val="000000" w:themeColor="text1"/>
          <w:lang w:val="en-US"/>
        </w:rPr>
        <w:t>entirely correct</w:t>
      </w:r>
      <w:r w:rsidR="00757AA4" w:rsidRPr="00E822E3">
        <w:rPr>
          <w:rFonts w:ascii="Arial" w:hAnsi="Arial" w:cs="Arial"/>
          <w:color w:val="000000" w:themeColor="text1"/>
          <w:lang w:val="en-US"/>
        </w:rPr>
        <w:t>.</w:t>
      </w:r>
    </w:p>
    <w:p w14:paraId="2A15528B"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735AAC57" w14:textId="7A9D3B56"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[45]</w:t>
      </w:r>
      <w:r w:rsidRPr="004B3A13">
        <w:rPr>
          <w:rFonts w:ascii="Arial" w:hAnsi="Arial" w:cs="Arial"/>
          <w:color w:val="000000" w:themeColor="text1"/>
          <w:lang w:val="en-US"/>
        </w:rPr>
        <w:tab/>
      </w:r>
      <w:r w:rsidR="0037354B" w:rsidRPr="00E822E3">
        <w:rPr>
          <w:rFonts w:ascii="Arial" w:hAnsi="Arial" w:cs="Arial"/>
          <w:color w:val="000000" w:themeColor="text1"/>
          <w:lang w:val="en-US"/>
        </w:rPr>
        <w:t xml:space="preserve">The court below was not precluded by the differences </w:t>
      </w:r>
      <w:r w:rsidR="00757AA4" w:rsidRPr="00E822E3">
        <w:rPr>
          <w:rFonts w:ascii="Arial" w:hAnsi="Arial" w:cs="Arial"/>
          <w:color w:val="000000" w:themeColor="text1"/>
          <w:lang w:val="en-US"/>
        </w:rPr>
        <w:t xml:space="preserve">of fact </w:t>
      </w:r>
      <w:r w:rsidR="0037354B" w:rsidRPr="00E822E3">
        <w:rPr>
          <w:rFonts w:ascii="Arial" w:hAnsi="Arial" w:cs="Arial"/>
          <w:color w:val="000000" w:themeColor="text1"/>
          <w:lang w:val="en-US"/>
        </w:rPr>
        <w:t xml:space="preserve">in </w:t>
      </w:r>
      <w:r w:rsidR="00757AA4" w:rsidRPr="00E822E3">
        <w:rPr>
          <w:rFonts w:ascii="Arial" w:hAnsi="Arial" w:cs="Arial"/>
          <w:i/>
          <w:iCs/>
          <w:color w:val="000000" w:themeColor="text1"/>
          <w:lang w:val="en-US"/>
        </w:rPr>
        <w:t>Lazarus</w:t>
      </w:r>
      <w:r w:rsidR="00757AA4" w:rsidRPr="00E822E3">
        <w:rPr>
          <w:rFonts w:ascii="Arial" w:hAnsi="Arial" w:cs="Arial"/>
          <w:color w:val="000000" w:themeColor="text1"/>
          <w:lang w:val="en-US"/>
        </w:rPr>
        <w:t xml:space="preserve"> and the present case </w:t>
      </w:r>
      <w:r w:rsidR="0037354B" w:rsidRPr="00E822E3">
        <w:rPr>
          <w:rFonts w:ascii="Arial" w:hAnsi="Arial" w:cs="Arial"/>
          <w:color w:val="000000" w:themeColor="text1"/>
          <w:lang w:val="en-US"/>
        </w:rPr>
        <w:t xml:space="preserve">from relying </w:t>
      </w:r>
      <w:r w:rsidR="00757AA4" w:rsidRPr="00E822E3">
        <w:rPr>
          <w:rFonts w:ascii="Arial" w:hAnsi="Arial" w:cs="Arial"/>
          <w:color w:val="000000" w:themeColor="text1"/>
          <w:lang w:val="en-US"/>
        </w:rPr>
        <w:t xml:space="preserve">on the </w:t>
      </w:r>
      <w:r w:rsidR="0037354B" w:rsidRPr="00E822E3">
        <w:rPr>
          <w:rFonts w:ascii="Arial" w:hAnsi="Arial" w:cs="Arial"/>
          <w:color w:val="000000" w:themeColor="text1"/>
          <w:lang w:val="en-US"/>
        </w:rPr>
        <w:t xml:space="preserve">principles enunciated in </w:t>
      </w:r>
      <w:r w:rsidR="0037354B" w:rsidRPr="00E822E3">
        <w:rPr>
          <w:rFonts w:ascii="Arial" w:hAnsi="Arial" w:cs="Arial"/>
          <w:i/>
          <w:color w:val="000000" w:themeColor="text1"/>
          <w:lang w:val="en-US"/>
        </w:rPr>
        <w:t>Lazarus</w:t>
      </w:r>
      <w:r w:rsidR="0037354B" w:rsidRPr="00E822E3">
        <w:rPr>
          <w:rFonts w:ascii="Arial" w:hAnsi="Arial" w:cs="Arial"/>
          <w:color w:val="000000" w:themeColor="text1"/>
          <w:lang w:val="en-US"/>
        </w:rPr>
        <w:t xml:space="preserve"> in the assessment of </w:t>
      </w:r>
      <w:r w:rsidR="00757AA4" w:rsidRPr="00E822E3">
        <w:rPr>
          <w:rFonts w:ascii="Arial" w:hAnsi="Arial" w:cs="Arial"/>
          <w:color w:val="000000" w:themeColor="text1"/>
          <w:lang w:val="en-US"/>
        </w:rPr>
        <w:t xml:space="preserve">damages. Further, the award </w:t>
      </w:r>
      <w:r w:rsidR="0037354B" w:rsidRPr="00E822E3">
        <w:rPr>
          <w:rFonts w:ascii="Arial" w:hAnsi="Arial" w:cs="Arial"/>
          <w:color w:val="000000" w:themeColor="text1"/>
          <w:lang w:val="en-US"/>
        </w:rPr>
        <w:t xml:space="preserve">of damages </w:t>
      </w:r>
      <w:r w:rsidR="00757AA4" w:rsidRPr="00E822E3">
        <w:rPr>
          <w:rFonts w:ascii="Arial" w:hAnsi="Arial" w:cs="Arial"/>
          <w:color w:val="000000" w:themeColor="text1"/>
          <w:lang w:val="en-US"/>
        </w:rPr>
        <w:t xml:space="preserve">in </w:t>
      </w:r>
      <w:r w:rsidR="0037354B" w:rsidRPr="00E822E3">
        <w:rPr>
          <w:rFonts w:ascii="Arial" w:hAnsi="Arial" w:cs="Arial"/>
          <w:i/>
          <w:color w:val="000000" w:themeColor="text1"/>
          <w:lang w:val="en-US"/>
        </w:rPr>
        <w:t>Lazarus</w:t>
      </w:r>
      <w:r w:rsidR="0037354B" w:rsidRPr="00E822E3">
        <w:rPr>
          <w:rFonts w:ascii="Arial" w:hAnsi="Arial" w:cs="Arial"/>
          <w:color w:val="000000" w:themeColor="text1"/>
          <w:lang w:val="en-US"/>
        </w:rPr>
        <w:t xml:space="preserve"> </w:t>
      </w:r>
      <w:r w:rsidR="00757AA4" w:rsidRPr="00E822E3">
        <w:rPr>
          <w:rFonts w:ascii="Arial" w:hAnsi="Arial" w:cs="Arial"/>
          <w:color w:val="000000" w:themeColor="text1"/>
          <w:lang w:val="en-US"/>
        </w:rPr>
        <w:t xml:space="preserve">was </w:t>
      </w:r>
      <w:r w:rsidR="0037354B" w:rsidRPr="00E822E3">
        <w:rPr>
          <w:rFonts w:ascii="Arial" w:hAnsi="Arial" w:cs="Arial"/>
          <w:color w:val="000000" w:themeColor="text1"/>
          <w:lang w:val="en-US"/>
        </w:rPr>
        <w:t xml:space="preserve">made </w:t>
      </w:r>
      <w:r w:rsidR="00757AA4" w:rsidRPr="00E822E3">
        <w:rPr>
          <w:rFonts w:ascii="Arial" w:hAnsi="Arial" w:cs="Arial"/>
          <w:color w:val="000000" w:themeColor="text1"/>
          <w:lang w:val="en-US"/>
        </w:rPr>
        <w:t xml:space="preserve">in 2017. We reiterate this </w:t>
      </w:r>
      <w:r w:rsidR="0037354B" w:rsidRPr="00E822E3">
        <w:rPr>
          <w:rFonts w:ascii="Arial" w:hAnsi="Arial" w:cs="Arial"/>
          <w:color w:val="000000" w:themeColor="text1"/>
          <w:lang w:val="en-US"/>
        </w:rPr>
        <w:t>c</w:t>
      </w:r>
      <w:r w:rsidR="00757AA4" w:rsidRPr="00E822E3">
        <w:rPr>
          <w:rFonts w:ascii="Arial" w:hAnsi="Arial" w:cs="Arial"/>
          <w:color w:val="000000" w:themeColor="text1"/>
          <w:lang w:val="en-US"/>
        </w:rPr>
        <w:t xml:space="preserve">ourt’s holding in </w:t>
      </w:r>
      <w:r w:rsidR="00757AA4" w:rsidRPr="00E822E3">
        <w:rPr>
          <w:rFonts w:ascii="Arial" w:hAnsi="Arial" w:cs="Arial"/>
          <w:i/>
          <w:iCs/>
          <w:color w:val="000000" w:themeColor="text1"/>
          <w:lang w:val="en-US"/>
        </w:rPr>
        <w:t xml:space="preserve">Lazarus </w:t>
      </w:r>
      <w:r w:rsidR="00757AA4" w:rsidRPr="00E822E3">
        <w:rPr>
          <w:rFonts w:ascii="Arial" w:hAnsi="Arial" w:cs="Arial"/>
          <w:color w:val="000000" w:themeColor="text1"/>
          <w:lang w:val="en-US"/>
        </w:rPr>
        <w:t>that in arriving at the appropriate award, the effect of inflation on the value of money should also be factored in.</w:t>
      </w:r>
      <w:r w:rsidR="00757AA4" w:rsidRPr="004B3A13">
        <w:rPr>
          <w:rStyle w:val="FootnoteReference"/>
          <w:rFonts w:ascii="Arial" w:hAnsi="Arial" w:cs="Arial"/>
          <w:color w:val="000000" w:themeColor="text1"/>
          <w:lang w:val="en-US"/>
        </w:rPr>
        <w:footnoteReference w:id="22"/>
      </w:r>
    </w:p>
    <w:p w14:paraId="69FB76AD"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3A88553B" w14:textId="2D2BB387" w:rsidR="005239B9"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lastRenderedPageBreak/>
        <w:t>[46]</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The appellant’s counsel pleaded that the aggravating factors in </w:t>
      </w:r>
      <w:r w:rsidR="00757AA4" w:rsidRPr="00E822E3">
        <w:rPr>
          <w:rFonts w:ascii="Arial" w:hAnsi="Arial" w:cs="Arial"/>
          <w:i/>
          <w:iCs/>
          <w:color w:val="000000" w:themeColor="text1"/>
          <w:lang w:val="en-US"/>
        </w:rPr>
        <w:t>Lazarus</w:t>
      </w:r>
      <w:r w:rsidR="00757AA4" w:rsidRPr="00E822E3">
        <w:rPr>
          <w:rFonts w:ascii="Arial" w:hAnsi="Arial" w:cs="Arial"/>
          <w:color w:val="000000" w:themeColor="text1"/>
          <w:lang w:val="en-US"/>
        </w:rPr>
        <w:t xml:space="preserve"> included threat to life and blatant misuse of power to a degree absent in the present case. </w:t>
      </w:r>
      <w:r w:rsidR="0037354B" w:rsidRPr="00E822E3">
        <w:rPr>
          <w:rFonts w:ascii="Arial" w:hAnsi="Arial" w:cs="Arial"/>
          <w:color w:val="000000" w:themeColor="text1"/>
          <w:lang w:val="en-US"/>
        </w:rPr>
        <w:t xml:space="preserve">We </w:t>
      </w:r>
      <w:r w:rsidR="00C50471" w:rsidRPr="00E822E3">
        <w:rPr>
          <w:rFonts w:ascii="Arial" w:hAnsi="Arial" w:cs="Arial"/>
          <w:color w:val="000000" w:themeColor="text1"/>
          <w:lang w:val="en-US"/>
        </w:rPr>
        <w:t>consider</w:t>
      </w:r>
      <w:r w:rsidR="0037354B" w:rsidRPr="00E822E3">
        <w:rPr>
          <w:rFonts w:ascii="Arial" w:hAnsi="Arial" w:cs="Arial"/>
          <w:color w:val="000000" w:themeColor="text1"/>
          <w:lang w:val="en-US"/>
        </w:rPr>
        <w:t xml:space="preserve"> that an allowance should </w:t>
      </w:r>
      <w:r w:rsidR="00757AA4" w:rsidRPr="00E822E3">
        <w:rPr>
          <w:rFonts w:ascii="Arial" w:hAnsi="Arial" w:cs="Arial"/>
          <w:color w:val="000000" w:themeColor="text1"/>
          <w:lang w:val="en-US"/>
        </w:rPr>
        <w:t>be made for the change in the value of money between 2017 and 2023 owing to inflation.</w:t>
      </w:r>
    </w:p>
    <w:p w14:paraId="4AF1D515" w14:textId="77777777" w:rsidR="005239B9" w:rsidRPr="004B3A13" w:rsidRDefault="005239B9" w:rsidP="00966268">
      <w:pPr>
        <w:pStyle w:val="ListParagraph"/>
        <w:spacing w:line="480" w:lineRule="auto"/>
        <w:ind w:left="0"/>
        <w:jc w:val="both"/>
        <w:rPr>
          <w:rFonts w:ascii="Arial" w:hAnsi="Arial" w:cs="Arial"/>
          <w:color w:val="000000" w:themeColor="text1"/>
          <w:lang w:val="en-US"/>
        </w:rPr>
      </w:pPr>
    </w:p>
    <w:p w14:paraId="7E1BEFBD" w14:textId="5704B21A"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[47]</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Furthermore, an appeal is directed against the outcome of a case and not </w:t>
      </w:r>
      <w:r w:rsidR="00C50471" w:rsidRPr="00E822E3">
        <w:rPr>
          <w:rFonts w:ascii="Arial" w:hAnsi="Arial" w:cs="Arial"/>
          <w:color w:val="000000" w:themeColor="text1"/>
          <w:lang w:val="en-US"/>
        </w:rPr>
        <w:t xml:space="preserve">essentially </w:t>
      </w:r>
      <w:r w:rsidR="00757AA4" w:rsidRPr="00E822E3">
        <w:rPr>
          <w:rFonts w:ascii="Arial" w:hAnsi="Arial" w:cs="Arial"/>
          <w:color w:val="000000" w:themeColor="text1"/>
          <w:lang w:val="en-US"/>
        </w:rPr>
        <w:t xml:space="preserve">against </w:t>
      </w:r>
      <w:r w:rsidR="00D22619" w:rsidRPr="00E822E3">
        <w:rPr>
          <w:rFonts w:ascii="Arial" w:hAnsi="Arial" w:cs="Arial"/>
          <w:color w:val="000000" w:themeColor="text1"/>
          <w:lang w:val="en-US"/>
        </w:rPr>
        <w:t xml:space="preserve">the court’s </w:t>
      </w:r>
      <w:r w:rsidR="00757AA4" w:rsidRPr="00E822E3">
        <w:rPr>
          <w:rFonts w:ascii="Arial" w:hAnsi="Arial" w:cs="Arial"/>
          <w:color w:val="000000" w:themeColor="text1"/>
          <w:lang w:val="en-US"/>
        </w:rPr>
        <w:t xml:space="preserve">reasoning. In this case, we do not consider that the award of damages by the court </w:t>
      </w:r>
      <w:r w:rsidR="00757AA4" w:rsidRPr="00E822E3">
        <w:rPr>
          <w:rFonts w:ascii="Arial" w:hAnsi="Arial" w:cs="Arial"/>
          <w:iCs/>
          <w:color w:val="000000" w:themeColor="text1"/>
          <w:lang w:val="en-US"/>
        </w:rPr>
        <w:t>a quo</w:t>
      </w:r>
      <w:r w:rsidR="00757AA4" w:rsidRPr="00E822E3">
        <w:rPr>
          <w:rFonts w:ascii="Arial" w:hAnsi="Arial" w:cs="Arial"/>
          <w:color w:val="000000" w:themeColor="text1"/>
          <w:lang w:val="en-US"/>
        </w:rPr>
        <w:t xml:space="preserve"> is excessive. Therefore, it does not merit interference.</w:t>
      </w:r>
    </w:p>
    <w:p w14:paraId="221A4F7F"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6B17D85F" w14:textId="7EA6B19D"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[48]</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However, in </w:t>
      </w:r>
      <w:r w:rsidR="00D22619" w:rsidRPr="00E822E3">
        <w:rPr>
          <w:rFonts w:ascii="Arial" w:hAnsi="Arial" w:cs="Arial"/>
          <w:color w:val="000000" w:themeColor="text1"/>
          <w:lang w:val="en-US"/>
        </w:rPr>
        <w:t xml:space="preserve">addressing </w:t>
      </w:r>
      <w:r w:rsidR="0088274A" w:rsidRPr="00E822E3">
        <w:rPr>
          <w:rFonts w:ascii="Arial" w:hAnsi="Arial" w:cs="Arial"/>
          <w:color w:val="000000" w:themeColor="text1"/>
          <w:lang w:val="en-US"/>
        </w:rPr>
        <w:t xml:space="preserve">the appellant’s </w:t>
      </w:r>
      <w:r w:rsidR="00757AA4" w:rsidRPr="00E822E3">
        <w:rPr>
          <w:rFonts w:ascii="Arial" w:hAnsi="Arial" w:cs="Arial"/>
          <w:color w:val="000000" w:themeColor="text1"/>
          <w:lang w:val="en-US"/>
        </w:rPr>
        <w:t xml:space="preserve">apprehensions that this judgment would have far-reaching consequences when it comes to </w:t>
      </w:r>
      <w:r w:rsidR="008A6917" w:rsidRPr="00E822E3">
        <w:rPr>
          <w:rFonts w:ascii="Arial" w:hAnsi="Arial" w:cs="Arial"/>
          <w:color w:val="000000" w:themeColor="text1"/>
          <w:lang w:val="en-US"/>
        </w:rPr>
        <w:t xml:space="preserve">assessing </w:t>
      </w:r>
      <w:r w:rsidR="00757AA4" w:rsidRPr="00E822E3">
        <w:rPr>
          <w:rFonts w:ascii="Arial" w:hAnsi="Arial" w:cs="Arial"/>
          <w:color w:val="000000" w:themeColor="text1"/>
          <w:lang w:val="en-US"/>
        </w:rPr>
        <w:t xml:space="preserve">damages, we urge </w:t>
      </w:r>
      <w:r w:rsidR="008A6917" w:rsidRPr="00E822E3">
        <w:rPr>
          <w:rFonts w:ascii="Arial" w:hAnsi="Arial" w:cs="Arial"/>
          <w:color w:val="000000" w:themeColor="text1"/>
          <w:lang w:val="en-US"/>
        </w:rPr>
        <w:t>c</w:t>
      </w:r>
      <w:r w:rsidR="00757AA4" w:rsidRPr="00E822E3">
        <w:rPr>
          <w:rFonts w:ascii="Arial" w:hAnsi="Arial" w:cs="Arial"/>
          <w:color w:val="000000" w:themeColor="text1"/>
          <w:lang w:val="en-US"/>
        </w:rPr>
        <w:t xml:space="preserve">ourts to </w:t>
      </w:r>
      <w:r w:rsidR="00DD3F63" w:rsidRPr="00E822E3">
        <w:rPr>
          <w:rFonts w:ascii="Arial" w:hAnsi="Arial" w:cs="Arial"/>
          <w:color w:val="000000" w:themeColor="text1"/>
          <w:lang w:val="en-US"/>
        </w:rPr>
        <w:t xml:space="preserve">clearly articulate the </w:t>
      </w:r>
      <w:r w:rsidR="008A6917" w:rsidRPr="00E822E3">
        <w:rPr>
          <w:rFonts w:ascii="Arial" w:hAnsi="Arial" w:cs="Arial"/>
          <w:color w:val="000000" w:themeColor="text1"/>
          <w:lang w:val="en-US"/>
        </w:rPr>
        <w:t xml:space="preserve">factors and principles </w:t>
      </w:r>
      <w:r w:rsidR="00DD3F63" w:rsidRPr="00E822E3">
        <w:rPr>
          <w:rFonts w:ascii="Arial" w:hAnsi="Arial" w:cs="Arial"/>
          <w:color w:val="000000" w:themeColor="text1"/>
          <w:lang w:val="en-US"/>
        </w:rPr>
        <w:t xml:space="preserve">that </w:t>
      </w:r>
      <w:r w:rsidR="008A6917" w:rsidRPr="00E822E3">
        <w:rPr>
          <w:rFonts w:ascii="Arial" w:hAnsi="Arial" w:cs="Arial"/>
          <w:color w:val="000000" w:themeColor="text1"/>
          <w:lang w:val="en-US"/>
        </w:rPr>
        <w:t xml:space="preserve">informed </w:t>
      </w:r>
      <w:r w:rsidR="00757AA4" w:rsidRPr="00E822E3">
        <w:rPr>
          <w:rFonts w:ascii="Arial" w:hAnsi="Arial" w:cs="Arial"/>
          <w:color w:val="000000" w:themeColor="text1"/>
          <w:lang w:val="en-US"/>
        </w:rPr>
        <w:t>their award of damages for the sake of legal certainty and predictability. The fact</w:t>
      </w:r>
      <w:r w:rsidR="00121A04" w:rsidRPr="00E822E3">
        <w:rPr>
          <w:rFonts w:ascii="Arial" w:hAnsi="Arial" w:cs="Arial"/>
          <w:color w:val="000000" w:themeColor="text1"/>
          <w:lang w:val="en-US"/>
        </w:rPr>
        <w:t>-</w:t>
      </w:r>
      <w:r w:rsidR="00757AA4" w:rsidRPr="00E822E3">
        <w:rPr>
          <w:rFonts w:ascii="Arial" w:hAnsi="Arial" w:cs="Arial"/>
          <w:color w:val="000000" w:themeColor="text1"/>
          <w:lang w:val="en-US"/>
        </w:rPr>
        <w:t xml:space="preserve">specific nature of the assessment can lend itself to arbitrariness if standards in accordance with existing case law are not applied to the particular facts of the case. </w:t>
      </w:r>
      <w:r w:rsidR="008A6917" w:rsidRPr="00E822E3">
        <w:rPr>
          <w:rFonts w:ascii="Arial" w:hAnsi="Arial" w:cs="Arial"/>
        </w:rPr>
        <w:t>U</w:t>
      </w:r>
      <w:r w:rsidR="00757AA4" w:rsidRPr="00E822E3">
        <w:rPr>
          <w:rFonts w:ascii="Arial" w:hAnsi="Arial" w:cs="Arial"/>
        </w:rPr>
        <w:t>ltimately</w:t>
      </w:r>
      <w:r w:rsidR="008A6917" w:rsidRPr="00E822E3">
        <w:rPr>
          <w:rFonts w:ascii="Arial" w:hAnsi="Arial" w:cs="Arial"/>
        </w:rPr>
        <w:t>,</w:t>
      </w:r>
      <w:r w:rsidR="00757AA4" w:rsidRPr="00E822E3">
        <w:rPr>
          <w:rFonts w:ascii="Arial" w:hAnsi="Arial" w:cs="Arial"/>
        </w:rPr>
        <w:t xml:space="preserve"> an award of damages is discretionary. It is made </w:t>
      </w:r>
      <w:r w:rsidR="00DD3F63" w:rsidRPr="00E822E3">
        <w:rPr>
          <w:rFonts w:ascii="Arial" w:hAnsi="Arial" w:cs="Arial"/>
        </w:rPr>
        <w:t>o</w:t>
      </w:r>
      <w:r w:rsidR="00757AA4" w:rsidRPr="00E822E3">
        <w:rPr>
          <w:rFonts w:ascii="Arial" w:hAnsi="Arial" w:cs="Arial"/>
        </w:rPr>
        <w:t xml:space="preserve">n an overall assessment of </w:t>
      </w:r>
      <w:r w:rsidR="00C50471" w:rsidRPr="00E822E3">
        <w:rPr>
          <w:rFonts w:ascii="Arial" w:hAnsi="Arial" w:cs="Arial"/>
        </w:rPr>
        <w:t xml:space="preserve">the relevant legal principles and </w:t>
      </w:r>
      <w:r w:rsidR="00757AA4" w:rsidRPr="00E822E3">
        <w:rPr>
          <w:rFonts w:ascii="Arial" w:hAnsi="Arial" w:cs="Arial"/>
        </w:rPr>
        <w:t xml:space="preserve">facts. As long as the sum arrived at is just and fair on the facts of the case, it cannot be assailed merely for non-compliance with some rule-based formula by distinguishing one minor fact from another. This is because the award in most cases </w:t>
      </w:r>
      <w:r w:rsidR="00A1690D" w:rsidRPr="00E822E3">
        <w:rPr>
          <w:rFonts w:ascii="Arial" w:hAnsi="Arial" w:cs="Arial"/>
        </w:rPr>
        <w:t>is decided narrowly</w:t>
      </w:r>
      <w:r w:rsidR="00757AA4" w:rsidRPr="00E822E3">
        <w:rPr>
          <w:rFonts w:ascii="Arial" w:hAnsi="Arial" w:cs="Arial"/>
        </w:rPr>
        <w:t xml:space="preserve"> on the unique facts of the case, and can only be used as a guide in subsequent cases instead of a rule to be followed slavishly.</w:t>
      </w:r>
    </w:p>
    <w:p w14:paraId="52FA6595"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194E2C97" w14:textId="4ACA31A9" w:rsidR="00A1690D"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lastRenderedPageBreak/>
        <w:t>[49]</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We reiterate the holding in </w:t>
      </w:r>
      <w:r w:rsidR="00757AA4" w:rsidRPr="00E822E3">
        <w:rPr>
          <w:rFonts w:ascii="Arial" w:hAnsi="Arial" w:cs="Arial"/>
          <w:i/>
          <w:iCs/>
          <w:color w:val="000000" w:themeColor="text1"/>
          <w:lang w:val="en-US"/>
        </w:rPr>
        <w:t>Lazarus</w:t>
      </w:r>
      <w:r w:rsidR="00966268" w:rsidRPr="00E822E3">
        <w:rPr>
          <w:rFonts w:ascii="Arial" w:hAnsi="Arial" w:cs="Arial"/>
          <w:i/>
          <w:iCs/>
          <w:color w:val="000000" w:themeColor="text1"/>
          <w:lang w:val="en-US"/>
        </w:rPr>
        <w:t>,</w:t>
      </w:r>
      <w:r w:rsidR="008A6917" w:rsidRPr="004B3A13">
        <w:rPr>
          <w:rStyle w:val="FootnoteReference"/>
          <w:rFonts w:ascii="Arial" w:hAnsi="Arial" w:cs="Arial"/>
          <w:i/>
          <w:iCs/>
          <w:color w:val="000000" w:themeColor="text1"/>
          <w:lang w:val="en-US"/>
        </w:rPr>
        <w:footnoteReference w:id="23"/>
      </w:r>
      <w:r w:rsidR="00757AA4" w:rsidRPr="00E822E3">
        <w:rPr>
          <w:rFonts w:ascii="Arial" w:hAnsi="Arial" w:cs="Arial"/>
          <w:color w:val="000000" w:themeColor="text1"/>
          <w:lang w:val="en-US"/>
        </w:rPr>
        <w:t xml:space="preserve"> that (a) there can be no mathematical accuracy in determining damages for infringements of personal liberty and (b) awards of damages for such violations should reflect the importance of the right and the serious legal consequences of any arbitrary interference with it.</w:t>
      </w:r>
    </w:p>
    <w:p w14:paraId="32273D1F" w14:textId="77777777" w:rsidR="00A63A09" w:rsidRPr="004B3A13" w:rsidRDefault="00A63A09" w:rsidP="00966268">
      <w:pPr>
        <w:pStyle w:val="ListParagraph"/>
        <w:spacing w:line="480" w:lineRule="auto"/>
        <w:ind w:left="0"/>
        <w:jc w:val="both"/>
        <w:rPr>
          <w:rFonts w:ascii="Arial" w:hAnsi="Arial" w:cs="Arial"/>
          <w:color w:val="000000" w:themeColor="text1"/>
          <w:lang w:val="en-US"/>
        </w:rPr>
      </w:pPr>
    </w:p>
    <w:p w14:paraId="19D3409B" w14:textId="5D64EBB9"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[50]</w:t>
      </w:r>
      <w:r w:rsidRPr="004B3A13">
        <w:rPr>
          <w:rFonts w:ascii="Arial" w:hAnsi="Arial" w:cs="Arial"/>
          <w:color w:val="000000" w:themeColor="text1"/>
          <w:lang w:val="en-US"/>
        </w:rPr>
        <w:tab/>
      </w:r>
      <w:r w:rsidR="00143704" w:rsidRPr="00E822E3">
        <w:rPr>
          <w:rFonts w:ascii="Arial" w:hAnsi="Arial" w:cs="Arial"/>
          <w:color w:val="000000" w:themeColor="text1"/>
          <w:lang w:val="en-US"/>
        </w:rPr>
        <w:t xml:space="preserve">The court </w:t>
      </w:r>
      <w:r w:rsidR="00143704" w:rsidRPr="00E822E3">
        <w:rPr>
          <w:rFonts w:ascii="Arial" w:hAnsi="Arial" w:cs="Arial"/>
          <w:i/>
          <w:iCs/>
          <w:color w:val="000000" w:themeColor="text1"/>
          <w:lang w:val="en-US"/>
        </w:rPr>
        <w:t>a quo</w:t>
      </w:r>
      <w:r w:rsidR="00143704" w:rsidRPr="00E822E3">
        <w:rPr>
          <w:rFonts w:ascii="Arial" w:hAnsi="Arial" w:cs="Arial"/>
          <w:color w:val="000000" w:themeColor="text1"/>
          <w:lang w:val="en-US"/>
        </w:rPr>
        <w:t xml:space="preserve"> expressly noted that it used </w:t>
      </w:r>
      <w:r w:rsidR="00143704" w:rsidRPr="00E822E3">
        <w:rPr>
          <w:rFonts w:ascii="Arial" w:hAnsi="Arial" w:cs="Arial"/>
          <w:i/>
          <w:iCs/>
          <w:color w:val="000000" w:themeColor="text1"/>
          <w:lang w:val="en-US"/>
        </w:rPr>
        <w:t>Lazarus</w:t>
      </w:r>
      <w:r w:rsidR="00143704" w:rsidRPr="00E822E3">
        <w:rPr>
          <w:rFonts w:ascii="Arial" w:hAnsi="Arial" w:cs="Arial"/>
          <w:color w:val="000000" w:themeColor="text1"/>
          <w:lang w:val="en-US"/>
        </w:rPr>
        <w:t xml:space="preserve"> as a ‘guideline’ and had the ‘importance of liberty in mind, </w:t>
      </w:r>
      <w:r w:rsidR="008A6917" w:rsidRPr="00E822E3">
        <w:rPr>
          <w:rFonts w:ascii="Arial" w:hAnsi="Arial" w:cs="Arial"/>
          <w:color w:val="000000" w:themeColor="text1"/>
          <w:lang w:val="en-US"/>
        </w:rPr>
        <w:t>[considering]</w:t>
      </w:r>
      <w:r w:rsidR="00143704" w:rsidRPr="00E822E3">
        <w:rPr>
          <w:rFonts w:ascii="Arial" w:hAnsi="Arial" w:cs="Arial"/>
          <w:color w:val="000000" w:themeColor="text1"/>
          <w:lang w:val="en-US"/>
        </w:rPr>
        <w:t xml:space="preserve"> the conditions plaintiff had to endure’ while assessing its award of damages. This approach appropriately takes guidance from existing case law and </w:t>
      </w:r>
      <w:r w:rsidR="00BC6B40" w:rsidRPr="00E822E3">
        <w:rPr>
          <w:rFonts w:ascii="Arial" w:hAnsi="Arial" w:cs="Arial"/>
          <w:color w:val="000000" w:themeColor="text1"/>
          <w:lang w:val="en-US"/>
        </w:rPr>
        <w:t>considers</w:t>
      </w:r>
      <w:r w:rsidR="00143704" w:rsidRPr="00E822E3">
        <w:rPr>
          <w:rFonts w:ascii="Arial" w:hAnsi="Arial" w:cs="Arial"/>
          <w:color w:val="000000" w:themeColor="text1"/>
          <w:lang w:val="en-US"/>
        </w:rPr>
        <w:t xml:space="preserve"> the specific facts of the present case</w:t>
      </w:r>
      <w:r w:rsidR="00A1690D" w:rsidRPr="00E822E3">
        <w:rPr>
          <w:rFonts w:ascii="Arial" w:hAnsi="Arial" w:cs="Arial"/>
          <w:color w:val="000000" w:themeColor="text1"/>
          <w:lang w:val="en-US"/>
        </w:rPr>
        <w:t xml:space="preserve"> while reflecting the </w:t>
      </w:r>
      <w:r w:rsidR="00744F5D" w:rsidRPr="00E822E3">
        <w:rPr>
          <w:rFonts w:ascii="Arial" w:hAnsi="Arial" w:cs="Arial"/>
          <w:color w:val="000000" w:themeColor="text1"/>
          <w:lang w:val="en-US"/>
        </w:rPr>
        <w:t xml:space="preserve">premium placed on the constitutional right to </w:t>
      </w:r>
      <w:r w:rsidR="00A1690D" w:rsidRPr="00E822E3">
        <w:rPr>
          <w:rFonts w:ascii="Arial" w:hAnsi="Arial" w:cs="Arial"/>
          <w:color w:val="000000" w:themeColor="text1"/>
          <w:lang w:val="en-US"/>
        </w:rPr>
        <w:t>personal liberty.</w:t>
      </w:r>
    </w:p>
    <w:p w14:paraId="584329EF"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3C0C73D4" w14:textId="2B7E9BB0"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[51]</w:t>
      </w:r>
      <w:r w:rsidRPr="004B3A13">
        <w:rPr>
          <w:rFonts w:ascii="Arial" w:hAnsi="Arial" w:cs="Arial"/>
          <w:color w:val="000000" w:themeColor="text1"/>
          <w:lang w:val="en-US"/>
        </w:rPr>
        <w:tab/>
      </w:r>
      <w:r w:rsidR="00757AA4" w:rsidRPr="00E822E3">
        <w:rPr>
          <w:rFonts w:ascii="Arial" w:hAnsi="Arial" w:cs="Arial"/>
          <w:color w:val="000000" w:themeColor="text1"/>
          <w:lang w:val="en-US"/>
        </w:rPr>
        <w:t xml:space="preserve">In </w:t>
      </w:r>
      <w:r w:rsidR="00757AA4" w:rsidRPr="00E822E3">
        <w:rPr>
          <w:rFonts w:ascii="Arial" w:hAnsi="Arial" w:cs="Arial"/>
          <w:i/>
          <w:iCs/>
          <w:color w:val="000000" w:themeColor="text1"/>
          <w:lang w:val="en-US"/>
        </w:rPr>
        <w:t>Tyulu</w:t>
      </w:r>
      <w:r w:rsidR="00757AA4" w:rsidRPr="00E822E3">
        <w:rPr>
          <w:rFonts w:ascii="Arial" w:hAnsi="Arial" w:cs="Arial"/>
          <w:color w:val="000000" w:themeColor="text1"/>
          <w:lang w:val="en-US"/>
        </w:rPr>
        <w:t xml:space="preserve">, the </w:t>
      </w:r>
      <w:r w:rsidR="00744F5D" w:rsidRPr="00E822E3">
        <w:rPr>
          <w:rFonts w:ascii="Arial" w:hAnsi="Arial" w:cs="Arial"/>
          <w:color w:val="000000" w:themeColor="text1"/>
          <w:lang w:val="en-US"/>
        </w:rPr>
        <w:t xml:space="preserve">South African Supreme Court of Appeal </w:t>
      </w:r>
      <w:r w:rsidR="00757AA4" w:rsidRPr="00E822E3">
        <w:rPr>
          <w:rFonts w:ascii="Arial" w:hAnsi="Arial" w:cs="Arial"/>
          <w:color w:val="000000" w:themeColor="text1"/>
          <w:lang w:val="en-US"/>
        </w:rPr>
        <w:t xml:space="preserve">considered various factors in determining damages which included: </w:t>
      </w:r>
      <w:r w:rsidR="00757AA4" w:rsidRPr="00E822E3">
        <w:rPr>
          <w:rFonts w:ascii="Arial" w:hAnsi="Arial" w:cs="Arial"/>
        </w:rPr>
        <w:t xml:space="preserve">age, circumstances of arrest, its nature and duration, the suspect’s social and professional standing and the improper motive for arrest. </w:t>
      </w:r>
      <w:r w:rsidR="00757AA4" w:rsidRPr="00E822E3">
        <w:rPr>
          <w:rFonts w:ascii="Arial" w:hAnsi="Arial" w:cs="Arial"/>
          <w:color w:val="000000" w:themeColor="text1"/>
          <w:lang w:val="en-US"/>
        </w:rPr>
        <w:t xml:space="preserve">Similarly, in </w:t>
      </w:r>
      <w:r w:rsidR="00757AA4" w:rsidRPr="00E822E3">
        <w:rPr>
          <w:rFonts w:ascii="Arial" w:hAnsi="Arial" w:cs="Arial"/>
          <w:i/>
          <w:iCs/>
        </w:rPr>
        <w:t>Iyambo</w:t>
      </w:r>
      <w:r w:rsidR="00757AA4" w:rsidRPr="00E822E3">
        <w:rPr>
          <w:rFonts w:ascii="Arial" w:hAnsi="Arial" w:cs="Arial"/>
        </w:rPr>
        <w:t>,</w:t>
      </w:r>
      <w:r w:rsidR="00757AA4" w:rsidRPr="004B3A13">
        <w:rPr>
          <w:rStyle w:val="FootnoteReference"/>
          <w:rFonts w:ascii="Arial" w:hAnsi="Arial" w:cs="Arial"/>
        </w:rPr>
        <w:footnoteReference w:id="24"/>
      </w:r>
      <w:r w:rsidR="00757AA4" w:rsidRPr="00E822E3">
        <w:rPr>
          <w:rFonts w:ascii="Arial" w:hAnsi="Arial" w:cs="Arial"/>
        </w:rPr>
        <w:t xml:space="preserve"> </w:t>
      </w:r>
      <w:r w:rsidR="00744F5D" w:rsidRPr="00E822E3">
        <w:rPr>
          <w:rFonts w:ascii="Arial" w:hAnsi="Arial" w:cs="Arial"/>
        </w:rPr>
        <w:t xml:space="preserve">also </w:t>
      </w:r>
      <w:r w:rsidR="00757AA4" w:rsidRPr="00E822E3">
        <w:rPr>
          <w:rFonts w:ascii="Arial" w:hAnsi="Arial" w:cs="Arial"/>
        </w:rPr>
        <w:t xml:space="preserve">cited in </w:t>
      </w:r>
      <w:r w:rsidR="00757AA4" w:rsidRPr="00E822E3">
        <w:rPr>
          <w:rFonts w:ascii="Arial" w:hAnsi="Arial" w:cs="Arial"/>
          <w:i/>
          <w:iCs/>
        </w:rPr>
        <w:t>Lazarus</w:t>
      </w:r>
      <w:r w:rsidR="00757AA4" w:rsidRPr="00E822E3">
        <w:rPr>
          <w:rFonts w:ascii="Arial" w:hAnsi="Arial" w:cs="Arial"/>
        </w:rPr>
        <w:t>,</w:t>
      </w:r>
      <w:r w:rsidR="00757AA4" w:rsidRPr="00E822E3">
        <w:rPr>
          <w:rFonts w:ascii="Arial" w:hAnsi="Arial" w:cs="Arial"/>
          <w:i/>
          <w:iCs/>
        </w:rPr>
        <w:t xml:space="preserve"> </w:t>
      </w:r>
      <w:r w:rsidR="00757AA4" w:rsidRPr="00E822E3">
        <w:rPr>
          <w:rFonts w:ascii="Arial" w:hAnsi="Arial" w:cs="Arial"/>
        </w:rPr>
        <w:t xml:space="preserve">the court </w:t>
      </w:r>
      <w:r w:rsidR="00742B5B" w:rsidRPr="00E822E3">
        <w:rPr>
          <w:rFonts w:ascii="Arial" w:hAnsi="Arial" w:cs="Arial"/>
        </w:rPr>
        <w:t>considered</w:t>
      </w:r>
      <w:r w:rsidR="00757AA4" w:rsidRPr="00E822E3">
        <w:rPr>
          <w:rFonts w:ascii="Arial" w:hAnsi="Arial" w:cs="Arial"/>
        </w:rPr>
        <w:t xml:space="preserve"> inter alia the circumstances surrounding the plaintiff’s arrest and his loss of esteem among members of the local community where he worked as a primary school teacher.</w:t>
      </w:r>
    </w:p>
    <w:p w14:paraId="2DD10147"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4D58D818" w14:textId="6CFBBFCB" w:rsidR="004077B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[52]</w:t>
      </w:r>
      <w:r w:rsidRPr="004B3A13">
        <w:rPr>
          <w:rFonts w:ascii="Arial" w:hAnsi="Arial" w:cs="Arial"/>
          <w:color w:val="000000" w:themeColor="text1"/>
          <w:lang w:val="en-US"/>
        </w:rPr>
        <w:tab/>
      </w:r>
      <w:r w:rsidR="00757AA4" w:rsidRPr="00E822E3">
        <w:rPr>
          <w:rFonts w:ascii="Arial" w:hAnsi="Arial" w:cs="Arial"/>
        </w:rPr>
        <w:t>In the present case, relevant factors include the circumstances and conditions of the respondent’s arrest a</w:t>
      </w:r>
      <w:r w:rsidR="00744F5D" w:rsidRPr="00E822E3">
        <w:rPr>
          <w:rFonts w:ascii="Arial" w:hAnsi="Arial" w:cs="Arial"/>
        </w:rPr>
        <w:t xml:space="preserve">s well as </w:t>
      </w:r>
      <w:r w:rsidR="00757AA4" w:rsidRPr="00E822E3">
        <w:rPr>
          <w:rFonts w:ascii="Arial" w:hAnsi="Arial" w:cs="Arial"/>
        </w:rPr>
        <w:t>the unnecessar</w:t>
      </w:r>
      <w:r w:rsidR="00744F5D" w:rsidRPr="00E822E3">
        <w:rPr>
          <w:rFonts w:ascii="Arial" w:hAnsi="Arial" w:cs="Arial"/>
        </w:rPr>
        <w:t xml:space="preserve">ily </w:t>
      </w:r>
      <w:r w:rsidR="00757AA4" w:rsidRPr="00E822E3">
        <w:rPr>
          <w:rFonts w:ascii="Arial" w:hAnsi="Arial" w:cs="Arial"/>
        </w:rPr>
        <w:t>arbitrary interference with his personal liberty when he was not even alleged to have committed a Schedule 1 offence. Further</w:t>
      </w:r>
      <w:r w:rsidR="00744F5D" w:rsidRPr="00E822E3">
        <w:rPr>
          <w:rFonts w:ascii="Arial" w:hAnsi="Arial" w:cs="Arial"/>
        </w:rPr>
        <w:t>more</w:t>
      </w:r>
      <w:r w:rsidR="00757AA4" w:rsidRPr="00E822E3">
        <w:rPr>
          <w:rFonts w:ascii="Arial" w:hAnsi="Arial" w:cs="Arial"/>
        </w:rPr>
        <w:t xml:space="preserve">, he testified that he was detained in </w:t>
      </w:r>
      <w:r w:rsidR="00757AA4" w:rsidRPr="00E822E3">
        <w:rPr>
          <w:rFonts w:ascii="Arial" w:hAnsi="Arial" w:cs="Arial"/>
        </w:rPr>
        <w:lastRenderedPageBreak/>
        <w:t xml:space="preserve">a filthy cell with hardened criminals, given inedible food and made to wash vehicles. </w:t>
      </w:r>
      <w:r w:rsidR="00C50471" w:rsidRPr="00E822E3">
        <w:rPr>
          <w:rFonts w:ascii="Arial" w:hAnsi="Arial" w:cs="Arial"/>
        </w:rPr>
        <w:t>The respondent stated that the quality of the food given to him was so bad that he did not eat until after h</w:t>
      </w:r>
      <w:r w:rsidR="00543A98" w:rsidRPr="00E822E3">
        <w:rPr>
          <w:rFonts w:ascii="Arial" w:hAnsi="Arial" w:cs="Arial"/>
        </w:rPr>
        <w:t>is</w:t>
      </w:r>
      <w:r w:rsidR="00C50471" w:rsidRPr="00E822E3">
        <w:rPr>
          <w:rFonts w:ascii="Arial" w:hAnsi="Arial" w:cs="Arial"/>
        </w:rPr>
        <w:t xml:space="preserve"> release from custody. </w:t>
      </w:r>
      <w:r w:rsidR="00543A98" w:rsidRPr="00E822E3">
        <w:rPr>
          <w:rFonts w:ascii="Arial" w:hAnsi="Arial" w:cs="Arial"/>
        </w:rPr>
        <w:t xml:space="preserve">The appellant sought to argue that the respondent could not testify about the quality of the food as he did not taste it.  </w:t>
      </w:r>
      <w:r w:rsidR="00757AA4" w:rsidRPr="00E822E3">
        <w:rPr>
          <w:rFonts w:ascii="Arial" w:hAnsi="Arial" w:cs="Arial"/>
        </w:rPr>
        <w:t>It is trite that supply</w:t>
      </w:r>
      <w:r w:rsidR="00543A98" w:rsidRPr="00E822E3">
        <w:rPr>
          <w:rFonts w:ascii="Arial" w:hAnsi="Arial" w:cs="Arial"/>
        </w:rPr>
        <w:t xml:space="preserve">ing inedible food is as good as not supplying food at all </w:t>
      </w:r>
      <w:r w:rsidR="00757AA4" w:rsidRPr="00E822E3">
        <w:rPr>
          <w:rFonts w:ascii="Arial" w:hAnsi="Arial" w:cs="Arial"/>
        </w:rPr>
        <w:t>and the appellant’s attempt to present th</w:t>
      </w:r>
      <w:r w:rsidR="00543A98" w:rsidRPr="00E822E3">
        <w:rPr>
          <w:rFonts w:ascii="Arial" w:hAnsi="Arial" w:cs="Arial"/>
        </w:rPr>
        <w:t>e situation the respondent found himself in</w:t>
      </w:r>
      <w:r w:rsidR="00757AA4" w:rsidRPr="00E822E3">
        <w:rPr>
          <w:rFonts w:ascii="Arial" w:hAnsi="Arial" w:cs="Arial"/>
        </w:rPr>
        <w:t xml:space="preserve"> as some contradiction in </w:t>
      </w:r>
      <w:r w:rsidR="00543A98" w:rsidRPr="00E822E3">
        <w:rPr>
          <w:rFonts w:ascii="Arial" w:hAnsi="Arial" w:cs="Arial"/>
        </w:rPr>
        <w:t>hi</w:t>
      </w:r>
      <w:r w:rsidR="00757AA4" w:rsidRPr="00E822E3">
        <w:rPr>
          <w:rFonts w:ascii="Arial" w:hAnsi="Arial" w:cs="Arial"/>
        </w:rPr>
        <w:t xml:space="preserve">s testimony is </w:t>
      </w:r>
      <w:r w:rsidR="00744F5D" w:rsidRPr="00E822E3">
        <w:rPr>
          <w:rFonts w:ascii="Arial" w:hAnsi="Arial" w:cs="Arial"/>
        </w:rPr>
        <w:t xml:space="preserve">evidently </w:t>
      </w:r>
      <w:r w:rsidR="00757AA4" w:rsidRPr="00E822E3">
        <w:rPr>
          <w:rFonts w:ascii="Arial" w:hAnsi="Arial" w:cs="Arial"/>
        </w:rPr>
        <w:t>misguided.</w:t>
      </w:r>
    </w:p>
    <w:p w14:paraId="7E67789B" w14:textId="77777777" w:rsidR="005239B9" w:rsidRPr="004B3A13" w:rsidRDefault="005239B9" w:rsidP="00966268">
      <w:pPr>
        <w:pStyle w:val="ListParagraph"/>
        <w:spacing w:line="480" w:lineRule="auto"/>
        <w:ind w:left="0"/>
        <w:jc w:val="both"/>
        <w:rPr>
          <w:rFonts w:ascii="Arial" w:hAnsi="Arial" w:cs="Arial"/>
          <w:color w:val="000000" w:themeColor="text1"/>
          <w:lang w:val="en-US"/>
        </w:rPr>
      </w:pPr>
    </w:p>
    <w:p w14:paraId="3F32C7E2" w14:textId="5CB2F505" w:rsidR="00757AA4" w:rsidRPr="00E822E3" w:rsidRDefault="00E822E3" w:rsidP="00E822E3">
      <w:pPr>
        <w:spacing w:line="480" w:lineRule="auto"/>
        <w:ind w:left="0"/>
        <w:jc w:val="both"/>
        <w:rPr>
          <w:rFonts w:ascii="Arial" w:hAnsi="Arial" w:cs="Arial"/>
          <w:color w:val="000000" w:themeColor="text1"/>
          <w:lang w:val="en-US"/>
        </w:rPr>
      </w:pPr>
      <w:r w:rsidRPr="004B3A13">
        <w:rPr>
          <w:rFonts w:ascii="Arial" w:hAnsi="Arial" w:cs="Arial"/>
          <w:color w:val="000000" w:themeColor="text1"/>
          <w:lang w:val="en-US"/>
        </w:rPr>
        <w:t>[53]</w:t>
      </w:r>
      <w:r w:rsidRPr="004B3A13">
        <w:rPr>
          <w:rFonts w:ascii="Arial" w:hAnsi="Arial" w:cs="Arial"/>
          <w:color w:val="000000" w:themeColor="text1"/>
          <w:lang w:val="en-US"/>
        </w:rPr>
        <w:tab/>
      </w:r>
      <w:r w:rsidR="00543A98" w:rsidRPr="00E822E3">
        <w:rPr>
          <w:rFonts w:ascii="Arial" w:hAnsi="Arial" w:cs="Arial"/>
          <w:color w:val="000000" w:themeColor="text1"/>
          <w:lang w:val="en-US"/>
        </w:rPr>
        <w:t xml:space="preserve">As to the criticism that </w:t>
      </w:r>
      <w:r w:rsidR="00A63FFC" w:rsidRPr="00E822E3">
        <w:rPr>
          <w:rFonts w:ascii="Arial" w:hAnsi="Arial" w:cs="Arial"/>
          <w:color w:val="000000" w:themeColor="text1"/>
          <w:lang w:val="en-US"/>
        </w:rPr>
        <w:t xml:space="preserve">the court </w:t>
      </w:r>
      <w:r w:rsidR="00A63FFC" w:rsidRPr="00E822E3">
        <w:rPr>
          <w:rFonts w:ascii="Arial" w:hAnsi="Arial" w:cs="Arial"/>
          <w:iCs/>
          <w:color w:val="000000" w:themeColor="text1"/>
          <w:lang w:val="en-US"/>
        </w:rPr>
        <w:t>a quo</w:t>
      </w:r>
      <w:r w:rsidR="00A63FFC" w:rsidRPr="00E822E3">
        <w:rPr>
          <w:rFonts w:ascii="Arial" w:hAnsi="Arial" w:cs="Arial"/>
          <w:color w:val="000000" w:themeColor="text1"/>
          <w:lang w:val="en-US"/>
        </w:rPr>
        <w:t xml:space="preserve"> had assessed the damages on the basis of uncorroborated evidence, the short answer is that </w:t>
      </w:r>
      <w:r w:rsidR="00757AA4" w:rsidRPr="00E822E3">
        <w:rPr>
          <w:rFonts w:ascii="Arial" w:hAnsi="Arial" w:cs="Arial"/>
          <w:color w:val="000000" w:themeColor="text1"/>
          <w:lang w:val="en-US"/>
        </w:rPr>
        <w:t xml:space="preserve">the </w:t>
      </w:r>
      <w:r w:rsidR="00A63FFC" w:rsidRPr="00E822E3">
        <w:rPr>
          <w:rFonts w:ascii="Arial" w:hAnsi="Arial" w:cs="Arial"/>
          <w:color w:val="000000" w:themeColor="text1"/>
          <w:lang w:val="en-US"/>
        </w:rPr>
        <w:t xml:space="preserve">respondent’s evidence was </w:t>
      </w:r>
      <w:r w:rsidR="00757AA4" w:rsidRPr="00E822E3">
        <w:rPr>
          <w:rFonts w:ascii="Arial" w:hAnsi="Arial" w:cs="Arial"/>
          <w:color w:val="000000" w:themeColor="text1"/>
          <w:lang w:val="en-US"/>
        </w:rPr>
        <w:t xml:space="preserve">not challenged </w:t>
      </w:r>
      <w:r w:rsidR="00A63FFC" w:rsidRPr="00E822E3">
        <w:rPr>
          <w:rFonts w:ascii="Arial" w:hAnsi="Arial" w:cs="Arial"/>
          <w:color w:val="000000" w:themeColor="text1"/>
          <w:lang w:val="en-US"/>
        </w:rPr>
        <w:t xml:space="preserve">in any meaningful way. The appellant declined to lead evidence on </w:t>
      </w:r>
      <w:r w:rsidR="00757AA4" w:rsidRPr="00E822E3">
        <w:rPr>
          <w:rFonts w:ascii="Arial" w:hAnsi="Arial" w:cs="Arial"/>
          <w:color w:val="000000" w:themeColor="text1"/>
          <w:lang w:val="en-US"/>
        </w:rPr>
        <w:t xml:space="preserve">the quantum of damages, despite being expressly invited to do so by the court </w:t>
      </w:r>
      <w:r w:rsidR="00757AA4" w:rsidRPr="00E822E3">
        <w:rPr>
          <w:rFonts w:ascii="Arial" w:hAnsi="Arial" w:cs="Arial"/>
          <w:iCs/>
          <w:color w:val="000000" w:themeColor="text1"/>
          <w:lang w:val="en-US"/>
        </w:rPr>
        <w:t>a quo</w:t>
      </w:r>
      <w:r w:rsidR="00757AA4" w:rsidRPr="00E822E3">
        <w:rPr>
          <w:rFonts w:ascii="Arial" w:hAnsi="Arial" w:cs="Arial"/>
          <w:color w:val="000000" w:themeColor="text1"/>
          <w:lang w:val="en-US"/>
        </w:rPr>
        <w:t xml:space="preserve">. Therefore, we find no reason to doubt either the credibility of the respondent’s testimony on a balance of probabilities or the court </w:t>
      </w:r>
      <w:r w:rsidR="00757AA4" w:rsidRPr="00E822E3">
        <w:rPr>
          <w:rFonts w:ascii="Arial" w:hAnsi="Arial" w:cs="Arial"/>
          <w:iCs/>
          <w:color w:val="000000" w:themeColor="text1"/>
          <w:lang w:val="en-US"/>
        </w:rPr>
        <w:t>a quo</w:t>
      </w:r>
      <w:r w:rsidR="00757AA4" w:rsidRPr="00E822E3">
        <w:rPr>
          <w:rFonts w:ascii="Arial" w:hAnsi="Arial" w:cs="Arial"/>
          <w:i/>
          <w:iCs/>
          <w:color w:val="000000" w:themeColor="text1"/>
          <w:lang w:val="en-US"/>
        </w:rPr>
        <w:t>’s</w:t>
      </w:r>
      <w:r w:rsidR="00757AA4" w:rsidRPr="00E822E3">
        <w:rPr>
          <w:rFonts w:ascii="Arial" w:hAnsi="Arial" w:cs="Arial"/>
          <w:color w:val="000000" w:themeColor="text1"/>
          <w:lang w:val="en-US"/>
        </w:rPr>
        <w:t xml:space="preserve"> decision to rely on it in arriving at its assessment of the quantum of damages. </w:t>
      </w:r>
    </w:p>
    <w:p w14:paraId="69688171" w14:textId="77777777" w:rsidR="004077B4" w:rsidRPr="004B3A13" w:rsidRDefault="004077B4" w:rsidP="00966268">
      <w:pPr>
        <w:pStyle w:val="ListParagraph"/>
        <w:spacing w:line="480" w:lineRule="auto"/>
        <w:ind w:left="0"/>
        <w:jc w:val="both"/>
        <w:rPr>
          <w:rFonts w:ascii="Arial" w:hAnsi="Arial" w:cs="Arial"/>
          <w:color w:val="000000" w:themeColor="text1"/>
          <w:lang w:val="en-US"/>
        </w:rPr>
      </w:pPr>
    </w:p>
    <w:p w14:paraId="0DEA49C9" w14:textId="11A90168" w:rsidR="004077B4" w:rsidRPr="004B3A13" w:rsidRDefault="004077B4" w:rsidP="00966268">
      <w:pPr>
        <w:spacing w:line="480" w:lineRule="auto"/>
        <w:ind w:left="0"/>
        <w:jc w:val="both"/>
        <w:rPr>
          <w:rFonts w:ascii="Arial" w:eastAsia="Arial" w:hAnsi="Arial" w:cs="Arial"/>
          <w:b/>
          <w:bCs/>
          <w:color w:val="000000" w:themeColor="text1"/>
          <w:u w:val="single"/>
          <w:lang w:val="en-US"/>
        </w:rPr>
      </w:pPr>
      <w:r w:rsidRPr="004B3A13">
        <w:rPr>
          <w:rFonts w:ascii="Arial" w:hAnsi="Arial" w:cs="Arial"/>
          <w:color w:val="000000" w:themeColor="text1"/>
          <w:u w:val="single"/>
          <w:lang w:val="en-US"/>
        </w:rPr>
        <w:t>Conclusion</w:t>
      </w:r>
    </w:p>
    <w:p w14:paraId="7FB5025D" w14:textId="1C050A7C" w:rsidR="00757AA4" w:rsidRPr="00E822E3" w:rsidRDefault="00E822E3" w:rsidP="00E822E3">
      <w:pPr>
        <w:spacing w:line="480" w:lineRule="auto"/>
        <w:ind w:left="0"/>
        <w:jc w:val="both"/>
        <w:rPr>
          <w:rFonts w:ascii="Arial" w:eastAsia="Arial" w:hAnsi="Arial" w:cs="Arial"/>
          <w:b/>
          <w:bCs/>
          <w:color w:val="000000" w:themeColor="text1"/>
          <w:lang w:val="en-US"/>
        </w:rPr>
      </w:pPr>
      <w:r w:rsidRPr="004B3A13">
        <w:rPr>
          <w:rFonts w:ascii="Arial" w:eastAsia="Arial" w:hAnsi="Arial" w:cs="Arial"/>
          <w:color w:val="000000" w:themeColor="text1"/>
          <w:lang w:val="en-US"/>
        </w:rPr>
        <w:t>[54]</w:t>
      </w:r>
      <w:r w:rsidRPr="004B3A13">
        <w:rPr>
          <w:rFonts w:ascii="Arial" w:eastAsia="Arial" w:hAnsi="Arial" w:cs="Arial"/>
          <w:color w:val="000000" w:themeColor="text1"/>
          <w:lang w:val="en-US"/>
        </w:rPr>
        <w:tab/>
      </w:r>
      <w:r w:rsidR="00757AA4" w:rsidRPr="00E822E3">
        <w:rPr>
          <w:rFonts w:ascii="Arial" w:eastAsia="Arial" w:hAnsi="Arial" w:cs="Arial"/>
          <w:color w:val="000000" w:themeColor="text1"/>
          <w:lang w:val="en-US"/>
        </w:rPr>
        <w:t xml:space="preserve">The failure </w:t>
      </w:r>
      <w:r w:rsidR="00A63FFC" w:rsidRPr="00E822E3">
        <w:rPr>
          <w:rFonts w:ascii="Arial" w:eastAsia="Arial" w:hAnsi="Arial" w:cs="Arial"/>
          <w:color w:val="000000" w:themeColor="text1"/>
          <w:lang w:val="en-US"/>
        </w:rPr>
        <w:t xml:space="preserve">to </w:t>
      </w:r>
      <w:r w:rsidR="00CC77C1" w:rsidRPr="00E822E3">
        <w:rPr>
          <w:rFonts w:ascii="Arial" w:eastAsia="Arial" w:hAnsi="Arial" w:cs="Arial"/>
          <w:color w:val="000000" w:themeColor="text1"/>
          <w:lang w:val="en-US"/>
        </w:rPr>
        <w:t xml:space="preserve">apply for condonation in respect of the incomplete record </w:t>
      </w:r>
      <w:r w:rsidR="00757AA4" w:rsidRPr="00E822E3">
        <w:rPr>
          <w:rFonts w:ascii="Arial" w:eastAsia="Arial" w:hAnsi="Arial" w:cs="Arial"/>
          <w:color w:val="000000" w:themeColor="text1"/>
          <w:lang w:val="en-US"/>
        </w:rPr>
        <w:t>as well as low prospects of success constitute insurmountable barriers to th</w:t>
      </w:r>
      <w:r w:rsidR="00744F5D" w:rsidRPr="00E822E3">
        <w:rPr>
          <w:rFonts w:ascii="Arial" w:eastAsia="Arial" w:hAnsi="Arial" w:cs="Arial"/>
          <w:color w:val="000000" w:themeColor="text1"/>
          <w:lang w:val="en-US"/>
        </w:rPr>
        <w:t>e</w:t>
      </w:r>
      <w:r w:rsidR="00757AA4" w:rsidRPr="00E822E3">
        <w:rPr>
          <w:rFonts w:ascii="Arial" w:eastAsia="Arial" w:hAnsi="Arial" w:cs="Arial"/>
          <w:color w:val="000000" w:themeColor="text1"/>
          <w:lang w:val="en-US"/>
        </w:rPr>
        <w:t xml:space="preserve"> </w:t>
      </w:r>
      <w:r w:rsidR="00A63FFC" w:rsidRPr="00E822E3">
        <w:rPr>
          <w:rFonts w:ascii="Arial" w:eastAsia="Arial" w:hAnsi="Arial" w:cs="Arial"/>
          <w:color w:val="000000" w:themeColor="text1"/>
          <w:lang w:val="en-US"/>
        </w:rPr>
        <w:t xml:space="preserve">appellant’s attempt to have the </w:t>
      </w:r>
      <w:r w:rsidR="00757AA4" w:rsidRPr="00E822E3">
        <w:rPr>
          <w:rFonts w:ascii="Arial" w:eastAsia="Arial" w:hAnsi="Arial" w:cs="Arial"/>
          <w:color w:val="000000" w:themeColor="text1"/>
          <w:lang w:val="en-US"/>
        </w:rPr>
        <w:t>appeal</w:t>
      </w:r>
      <w:r w:rsidR="00744F5D" w:rsidRPr="00E822E3">
        <w:rPr>
          <w:rFonts w:ascii="Arial" w:eastAsia="Arial" w:hAnsi="Arial" w:cs="Arial"/>
          <w:color w:val="000000" w:themeColor="text1"/>
          <w:lang w:val="en-US"/>
        </w:rPr>
        <w:t xml:space="preserve"> </w:t>
      </w:r>
      <w:r w:rsidR="00A63FFC" w:rsidRPr="00E822E3">
        <w:rPr>
          <w:rFonts w:ascii="Arial" w:eastAsia="Arial" w:hAnsi="Arial" w:cs="Arial"/>
          <w:color w:val="000000" w:themeColor="text1"/>
          <w:lang w:val="en-US"/>
        </w:rPr>
        <w:t>reinstated</w:t>
      </w:r>
      <w:r w:rsidR="00757AA4" w:rsidRPr="00E822E3">
        <w:rPr>
          <w:rFonts w:ascii="Arial" w:eastAsia="Arial" w:hAnsi="Arial" w:cs="Arial"/>
          <w:color w:val="000000" w:themeColor="text1"/>
          <w:lang w:val="en-US"/>
        </w:rPr>
        <w:t>.</w:t>
      </w:r>
      <w:r w:rsidR="00757AA4" w:rsidRPr="00E822E3">
        <w:rPr>
          <w:rFonts w:ascii="Arial" w:eastAsia="Arial" w:hAnsi="Arial" w:cs="Arial"/>
          <w:b/>
          <w:bCs/>
          <w:color w:val="000000" w:themeColor="text1"/>
          <w:lang w:val="en-US"/>
        </w:rPr>
        <w:t xml:space="preserve"> </w:t>
      </w:r>
      <w:r w:rsidR="00742B5B" w:rsidRPr="00E822E3">
        <w:rPr>
          <w:rFonts w:ascii="Arial" w:hAnsi="Arial" w:cs="Arial"/>
        </w:rPr>
        <w:t xml:space="preserve">Moreover, </w:t>
      </w:r>
      <w:r w:rsidR="00815C21" w:rsidRPr="00E822E3">
        <w:rPr>
          <w:rFonts w:ascii="Arial" w:hAnsi="Arial" w:cs="Arial"/>
        </w:rPr>
        <w:t xml:space="preserve">the appeal does </w:t>
      </w:r>
      <w:r w:rsidR="00757AA4" w:rsidRPr="00E822E3">
        <w:rPr>
          <w:rFonts w:ascii="Arial" w:hAnsi="Arial" w:cs="Arial"/>
        </w:rPr>
        <w:t>n</w:t>
      </w:r>
      <w:r w:rsidR="00815C21" w:rsidRPr="00E822E3">
        <w:rPr>
          <w:rFonts w:ascii="Arial" w:hAnsi="Arial" w:cs="Arial"/>
        </w:rPr>
        <w:t xml:space="preserve">ot raise </w:t>
      </w:r>
      <w:r w:rsidR="00757AA4" w:rsidRPr="00E822E3">
        <w:rPr>
          <w:rFonts w:ascii="Arial" w:hAnsi="Arial" w:cs="Arial"/>
        </w:rPr>
        <w:t>issue</w:t>
      </w:r>
      <w:r w:rsidR="00815C21" w:rsidRPr="00E822E3">
        <w:rPr>
          <w:rFonts w:ascii="Arial" w:hAnsi="Arial" w:cs="Arial"/>
        </w:rPr>
        <w:t>s</w:t>
      </w:r>
      <w:r w:rsidR="00757AA4" w:rsidRPr="00E822E3">
        <w:rPr>
          <w:rFonts w:ascii="Arial" w:hAnsi="Arial" w:cs="Arial"/>
        </w:rPr>
        <w:t xml:space="preserve"> of public importance which could </w:t>
      </w:r>
      <w:r w:rsidR="00742B5B" w:rsidRPr="00E822E3">
        <w:rPr>
          <w:rFonts w:ascii="Arial" w:hAnsi="Arial" w:cs="Arial"/>
        </w:rPr>
        <w:t>‘</w:t>
      </w:r>
      <w:r w:rsidR="00757AA4" w:rsidRPr="00E822E3">
        <w:rPr>
          <w:rFonts w:ascii="Arial" w:hAnsi="Arial" w:cs="Arial"/>
        </w:rPr>
        <w:t>tilt the balance in favour of condonation</w:t>
      </w:r>
      <w:r w:rsidR="00CD3AA4" w:rsidRPr="00E822E3">
        <w:rPr>
          <w:rFonts w:ascii="Arial" w:hAnsi="Arial" w:cs="Arial"/>
        </w:rPr>
        <w:t>’</w:t>
      </w:r>
      <w:r w:rsidR="006F3405" w:rsidRPr="00E822E3">
        <w:rPr>
          <w:rFonts w:ascii="Arial" w:hAnsi="Arial" w:cs="Arial"/>
        </w:rPr>
        <w:t>.</w:t>
      </w:r>
      <w:r w:rsidR="00757AA4" w:rsidRPr="004B3A13">
        <w:rPr>
          <w:rStyle w:val="FootnoteReference"/>
          <w:rFonts w:ascii="Arial" w:hAnsi="Arial" w:cs="Arial"/>
        </w:rPr>
        <w:footnoteReference w:id="25"/>
      </w:r>
      <w:r w:rsidR="00815C21" w:rsidRPr="00E822E3">
        <w:rPr>
          <w:rFonts w:ascii="Arial" w:hAnsi="Arial" w:cs="Arial"/>
        </w:rPr>
        <w:t xml:space="preserve"> It follows that as there are </w:t>
      </w:r>
      <w:r w:rsidR="00532C7C" w:rsidRPr="00E822E3">
        <w:rPr>
          <w:rFonts w:ascii="Arial" w:hAnsi="Arial" w:cs="Arial"/>
        </w:rPr>
        <w:t xml:space="preserve">low </w:t>
      </w:r>
      <w:r w:rsidR="00815C21" w:rsidRPr="00E822E3">
        <w:rPr>
          <w:rFonts w:ascii="Arial" w:hAnsi="Arial" w:cs="Arial"/>
        </w:rPr>
        <w:t>pro</w:t>
      </w:r>
      <w:r w:rsidR="001F7E56" w:rsidRPr="00E822E3">
        <w:rPr>
          <w:rFonts w:ascii="Arial" w:hAnsi="Arial" w:cs="Arial"/>
        </w:rPr>
        <w:t>s</w:t>
      </w:r>
      <w:r w:rsidR="00815C21" w:rsidRPr="00E822E3">
        <w:rPr>
          <w:rFonts w:ascii="Arial" w:hAnsi="Arial" w:cs="Arial"/>
        </w:rPr>
        <w:t>p</w:t>
      </w:r>
      <w:r w:rsidR="001F7E56" w:rsidRPr="00E822E3">
        <w:rPr>
          <w:rFonts w:ascii="Arial" w:hAnsi="Arial" w:cs="Arial"/>
        </w:rPr>
        <w:t>e</w:t>
      </w:r>
      <w:r w:rsidR="00815C21" w:rsidRPr="00E822E3">
        <w:rPr>
          <w:rFonts w:ascii="Arial" w:hAnsi="Arial" w:cs="Arial"/>
        </w:rPr>
        <w:t xml:space="preserve">cts of success on appeal, the application for condonation and reinstatement should </w:t>
      </w:r>
      <w:r w:rsidR="00CC77C1" w:rsidRPr="00E822E3">
        <w:rPr>
          <w:rFonts w:ascii="Arial" w:hAnsi="Arial" w:cs="Arial"/>
        </w:rPr>
        <w:t>be refused</w:t>
      </w:r>
      <w:r w:rsidR="00815C21" w:rsidRPr="00E822E3">
        <w:rPr>
          <w:rFonts w:ascii="Arial" w:hAnsi="Arial" w:cs="Arial"/>
        </w:rPr>
        <w:t>.</w:t>
      </w:r>
    </w:p>
    <w:p w14:paraId="1EC3773E" w14:textId="222CF1BB" w:rsidR="000C0408" w:rsidRPr="004B3A13" w:rsidRDefault="000C0408">
      <w:pPr>
        <w:rPr>
          <w:rFonts w:ascii="Arial" w:eastAsia="Arial" w:hAnsi="Arial" w:cs="Arial"/>
          <w:b/>
          <w:bCs/>
          <w:color w:val="000000" w:themeColor="text1"/>
          <w:lang w:val="en-US"/>
        </w:rPr>
      </w:pPr>
      <w:r w:rsidRPr="004B3A13">
        <w:rPr>
          <w:rFonts w:ascii="Arial" w:eastAsia="Arial" w:hAnsi="Arial" w:cs="Arial"/>
          <w:b/>
          <w:bCs/>
          <w:color w:val="000000" w:themeColor="text1"/>
          <w:lang w:val="en-US"/>
        </w:rPr>
        <w:br w:type="page"/>
      </w:r>
    </w:p>
    <w:p w14:paraId="5E28B54D" w14:textId="77777777" w:rsidR="00757AA4" w:rsidRPr="004B3A13" w:rsidRDefault="00757AA4" w:rsidP="00966268">
      <w:pPr>
        <w:spacing w:line="480" w:lineRule="auto"/>
        <w:ind w:left="0"/>
        <w:jc w:val="both"/>
        <w:rPr>
          <w:rFonts w:ascii="Arial" w:eastAsia="Arial" w:hAnsi="Arial" w:cs="Arial"/>
          <w:color w:val="000000" w:themeColor="text1"/>
          <w:u w:val="single"/>
          <w:lang w:val="en-US"/>
        </w:rPr>
      </w:pPr>
      <w:r w:rsidRPr="004B3A13">
        <w:rPr>
          <w:rFonts w:ascii="Arial" w:eastAsia="Arial" w:hAnsi="Arial" w:cs="Arial"/>
          <w:color w:val="000000" w:themeColor="text1"/>
          <w:u w:val="single"/>
          <w:lang w:val="en-US"/>
        </w:rPr>
        <w:lastRenderedPageBreak/>
        <w:t>Costs</w:t>
      </w:r>
    </w:p>
    <w:p w14:paraId="37AE19AB" w14:textId="53C879D3" w:rsidR="004077B4" w:rsidRPr="00E822E3" w:rsidRDefault="00E822E3" w:rsidP="00E822E3">
      <w:pPr>
        <w:spacing w:line="480" w:lineRule="auto"/>
        <w:ind w:left="0"/>
        <w:jc w:val="both"/>
        <w:rPr>
          <w:rFonts w:ascii="Arial" w:eastAsia="Arial" w:hAnsi="Arial" w:cs="Arial"/>
          <w:color w:val="000000" w:themeColor="text1"/>
          <w:lang w:val="en-US"/>
        </w:rPr>
      </w:pPr>
      <w:r w:rsidRPr="004B3A13">
        <w:rPr>
          <w:rFonts w:ascii="Arial" w:eastAsia="Arial" w:hAnsi="Arial" w:cs="Arial"/>
          <w:color w:val="000000" w:themeColor="text1"/>
          <w:lang w:val="en-US"/>
        </w:rPr>
        <w:t>[55]</w:t>
      </w:r>
      <w:r w:rsidRPr="004B3A13">
        <w:rPr>
          <w:rFonts w:ascii="Arial" w:eastAsia="Arial" w:hAnsi="Arial" w:cs="Arial"/>
          <w:color w:val="000000" w:themeColor="text1"/>
          <w:lang w:val="en-US"/>
        </w:rPr>
        <w:tab/>
      </w:r>
      <w:r w:rsidR="00757AA4" w:rsidRPr="00E822E3">
        <w:rPr>
          <w:rFonts w:ascii="Arial" w:hAnsi="Arial" w:cs="Arial"/>
          <w:lang w:val="en-US"/>
        </w:rPr>
        <w:t>The general rule is that costs follow the event.</w:t>
      </w:r>
      <w:r w:rsidR="00757AA4" w:rsidRPr="00E822E3">
        <w:rPr>
          <w:rFonts w:ascii="Arial" w:eastAsia="Arial" w:hAnsi="Arial" w:cs="Arial"/>
          <w:color w:val="000000" w:themeColor="text1"/>
          <w:lang w:val="en-US"/>
        </w:rPr>
        <w:t xml:space="preserve"> </w:t>
      </w:r>
      <w:r w:rsidR="00757AA4" w:rsidRPr="00E822E3">
        <w:rPr>
          <w:rFonts w:ascii="Arial" w:eastAsia="Arial" w:hAnsi="Arial" w:cs="Arial"/>
          <w:lang w:val="en-US"/>
        </w:rPr>
        <w:t xml:space="preserve">The costs order in this case reflects the rationale of </w:t>
      </w:r>
      <w:r w:rsidR="00815C21" w:rsidRPr="00E822E3">
        <w:rPr>
          <w:rFonts w:ascii="Arial" w:eastAsia="Arial" w:hAnsi="Arial" w:cs="Arial"/>
          <w:lang w:val="en-US"/>
        </w:rPr>
        <w:t>r</w:t>
      </w:r>
      <w:r w:rsidR="00757AA4" w:rsidRPr="00E822E3">
        <w:rPr>
          <w:rFonts w:ascii="Arial" w:eastAsia="Arial" w:hAnsi="Arial" w:cs="Arial"/>
          <w:lang w:val="en-US"/>
        </w:rPr>
        <w:t xml:space="preserve">ule 11(11) which awards costs against a party that does not comply with </w:t>
      </w:r>
      <w:r w:rsidR="00815C21" w:rsidRPr="00E822E3">
        <w:rPr>
          <w:rFonts w:ascii="Arial" w:eastAsia="Arial" w:hAnsi="Arial" w:cs="Arial"/>
          <w:lang w:val="en-US"/>
        </w:rPr>
        <w:t>r</w:t>
      </w:r>
      <w:r w:rsidR="00757AA4" w:rsidRPr="00E822E3">
        <w:rPr>
          <w:rFonts w:ascii="Arial" w:eastAsia="Arial" w:hAnsi="Arial" w:cs="Arial"/>
          <w:lang w:val="en-US"/>
        </w:rPr>
        <w:t>ule 11(1</w:t>
      </w:r>
      <w:r w:rsidR="00F80CAC" w:rsidRPr="00E822E3">
        <w:rPr>
          <w:rFonts w:ascii="Arial" w:eastAsia="Arial" w:hAnsi="Arial" w:cs="Arial"/>
          <w:lang w:val="en-US"/>
        </w:rPr>
        <w:t>0). In this case, the respondent’s legal practitioner</w:t>
      </w:r>
      <w:r w:rsidR="00D10DE9" w:rsidRPr="00E822E3">
        <w:rPr>
          <w:rFonts w:ascii="Arial" w:eastAsia="Arial" w:hAnsi="Arial" w:cs="Arial"/>
          <w:lang w:val="en-US"/>
        </w:rPr>
        <w:t xml:space="preserve"> was</w:t>
      </w:r>
      <w:r w:rsidR="00757AA4" w:rsidRPr="00E822E3">
        <w:rPr>
          <w:rFonts w:ascii="Arial" w:eastAsia="Arial" w:hAnsi="Arial" w:cs="Arial"/>
          <w:lang w:val="en-US"/>
        </w:rPr>
        <w:t xml:space="preserve"> part of the trial proceedings and neglected </w:t>
      </w:r>
      <w:r w:rsidR="00D10DE9" w:rsidRPr="00E822E3">
        <w:rPr>
          <w:rFonts w:ascii="Arial" w:eastAsia="Arial" w:hAnsi="Arial" w:cs="Arial"/>
          <w:lang w:val="en-US"/>
        </w:rPr>
        <w:t>his</w:t>
      </w:r>
      <w:r w:rsidR="00757AA4" w:rsidRPr="00E822E3">
        <w:rPr>
          <w:rFonts w:ascii="Arial" w:eastAsia="Arial" w:hAnsi="Arial" w:cs="Arial"/>
          <w:lang w:val="en-US"/>
        </w:rPr>
        <w:t xml:space="preserve"> duty under </w:t>
      </w:r>
      <w:r w:rsidR="00815C21" w:rsidRPr="00E822E3">
        <w:rPr>
          <w:rFonts w:ascii="Arial" w:eastAsia="Arial" w:hAnsi="Arial" w:cs="Arial"/>
          <w:lang w:val="en-US"/>
        </w:rPr>
        <w:t>r</w:t>
      </w:r>
      <w:r w:rsidR="00757AA4" w:rsidRPr="00E822E3">
        <w:rPr>
          <w:rFonts w:ascii="Arial" w:eastAsia="Arial" w:hAnsi="Arial" w:cs="Arial"/>
          <w:lang w:val="en-US"/>
        </w:rPr>
        <w:t xml:space="preserve">ule 11(10) to ensure that a timely meeting was held with a view to </w:t>
      </w:r>
      <w:r w:rsidR="00815C21" w:rsidRPr="00E822E3">
        <w:rPr>
          <w:rFonts w:ascii="Arial" w:eastAsia="Arial" w:hAnsi="Arial" w:cs="Arial"/>
          <w:lang w:val="en-US"/>
        </w:rPr>
        <w:t>agreeing to</w:t>
      </w:r>
      <w:r w:rsidR="00757AA4" w:rsidRPr="00E822E3">
        <w:rPr>
          <w:rFonts w:ascii="Arial" w:eastAsia="Arial" w:hAnsi="Arial" w:cs="Arial"/>
          <w:lang w:val="en-US"/>
        </w:rPr>
        <w:t xml:space="preserve"> the relevant portions of the record.</w:t>
      </w:r>
    </w:p>
    <w:p w14:paraId="13B8B705" w14:textId="77777777" w:rsidR="004077B4" w:rsidRPr="004B3A13" w:rsidRDefault="004077B4" w:rsidP="00966268">
      <w:pPr>
        <w:pStyle w:val="ListParagraph"/>
        <w:spacing w:line="480" w:lineRule="auto"/>
        <w:ind w:left="0"/>
        <w:jc w:val="both"/>
        <w:rPr>
          <w:rFonts w:ascii="Arial" w:eastAsia="Arial" w:hAnsi="Arial" w:cs="Arial"/>
          <w:color w:val="000000" w:themeColor="text1"/>
          <w:lang w:val="en-US"/>
        </w:rPr>
      </w:pPr>
    </w:p>
    <w:p w14:paraId="198D4303" w14:textId="7D58A36A" w:rsidR="00757AA4" w:rsidRPr="00E822E3" w:rsidRDefault="00E822E3" w:rsidP="00E822E3">
      <w:pPr>
        <w:spacing w:line="480" w:lineRule="auto"/>
        <w:ind w:left="0"/>
        <w:jc w:val="both"/>
        <w:rPr>
          <w:rFonts w:ascii="Arial" w:eastAsia="Arial" w:hAnsi="Arial" w:cs="Arial"/>
          <w:color w:val="000000" w:themeColor="text1"/>
          <w:lang w:val="en-US"/>
        </w:rPr>
      </w:pPr>
      <w:r w:rsidRPr="004B3A13">
        <w:rPr>
          <w:rFonts w:ascii="Arial" w:eastAsia="Arial" w:hAnsi="Arial" w:cs="Arial"/>
          <w:color w:val="000000" w:themeColor="text1"/>
          <w:lang w:val="en-US"/>
        </w:rPr>
        <w:t>[56]</w:t>
      </w:r>
      <w:r w:rsidRPr="004B3A13">
        <w:rPr>
          <w:rFonts w:ascii="Arial" w:eastAsia="Arial" w:hAnsi="Arial" w:cs="Arial"/>
          <w:color w:val="000000" w:themeColor="text1"/>
          <w:lang w:val="en-US"/>
        </w:rPr>
        <w:tab/>
      </w:r>
      <w:r w:rsidR="00757AA4" w:rsidRPr="00E822E3">
        <w:rPr>
          <w:rFonts w:ascii="Arial" w:eastAsia="Arial" w:hAnsi="Arial" w:cs="Arial"/>
          <w:lang w:val="en-US"/>
        </w:rPr>
        <w:t xml:space="preserve">Under </w:t>
      </w:r>
      <w:r w:rsidR="00815C21" w:rsidRPr="00E822E3">
        <w:rPr>
          <w:rFonts w:ascii="Arial" w:eastAsia="Arial" w:hAnsi="Arial" w:cs="Arial"/>
          <w:lang w:val="en-US"/>
        </w:rPr>
        <w:t>r</w:t>
      </w:r>
      <w:r w:rsidR="00757AA4" w:rsidRPr="00E822E3">
        <w:rPr>
          <w:rFonts w:ascii="Arial" w:eastAsia="Arial" w:hAnsi="Arial" w:cs="Arial"/>
          <w:lang w:val="en-US"/>
        </w:rPr>
        <w:t>ul</w:t>
      </w:r>
      <w:r w:rsidR="00860559" w:rsidRPr="00E822E3">
        <w:rPr>
          <w:rFonts w:ascii="Arial" w:eastAsia="Arial" w:hAnsi="Arial" w:cs="Arial"/>
          <w:lang w:val="en-US"/>
        </w:rPr>
        <w:t xml:space="preserve">e 11(6), the costs of attendances relating to </w:t>
      </w:r>
      <w:r w:rsidR="00815C21" w:rsidRPr="00E822E3">
        <w:rPr>
          <w:rFonts w:ascii="Arial" w:eastAsia="Arial" w:hAnsi="Arial" w:cs="Arial"/>
          <w:lang w:val="en-US"/>
        </w:rPr>
        <w:t xml:space="preserve">the </w:t>
      </w:r>
      <w:r w:rsidR="00757AA4" w:rsidRPr="00E822E3">
        <w:rPr>
          <w:rFonts w:ascii="Arial" w:eastAsia="Arial" w:hAnsi="Arial" w:cs="Arial"/>
          <w:lang w:val="en-US"/>
        </w:rPr>
        <w:t>record form part of the costs of appeal.</w:t>
      </w:r>
      <w:r w:rsidR="00CC77C1" w:rsidRPr="00E822E3">
        <w:rPr>
          <w:rFonts w:ascii="Arial" w:eastAsia="Arial" w:hAnsi="Arial" w:cs="Arial"/>
          <w:color w:val="000000" w:themeColor="text1"/>
          <w:lang w:val="en-US"/>
        </w:rPr>
        <w:t xml:space="preserve"> Thus</w:t>
      </w:r>
      <w:r w:rsidR="00757AA4" w:rsidRPr="00E822E3">
        <w:rPr>
          <w:rFonts w:ascii="Arial" w:eastAsia="Arial" w:hAnsi="Arial" w:cs="Arial"/>
          <w:color w:val="000000" w:themeColor="text1"/>
          <w:lang w:val="en-US"/>
        </w:rPr>
        <w:t xml:space="preserve">, although costs are awarded to the respondent, such costs </w:t>
      </w:r>
      <w:r w:rsidR="00815C21" w:rsidRPr="00E822E3">
        <w:rPr>
          <w:rFonts w:ascii="Arial" w:eastAsia="Arial" w:hAnsi="Arial" w:cs="Arial"/>
          <w:color w:val="000000" w:themeColor="text1"/>
          <w:lang w:val="en-US"/>
        </w:rPr>
        <w:t xml:space="preserve">should </w:t>
      </w:r>
      <w:r w:rsidR="00757AA4" w:rsidRPr="00E822E3">
        <w:rPr>
          <w:rFonts w:ascii="Arial" w:eastAsia="Arial" w:hAnsi="Arial" w:cs="Arial"/>
          <w:color w:val="000000" w:themeColor="text1"/>
          <w:lang w:val="en-US"/>
        </w:rPr>
        <w:t>exclude the cost</w:t>
      </w:r>
      <w:r w:rsidR="00815C21" w:rsidRPr="00E822E3">
        <w:rPr>
          <w:rFonts w:ascii="Arial" w:eastAsia="Arial" w:hAnsi="Arial" w:cs="Arial"/>
          <w:color w:val="000000" w:themeColor="text1"/>
          <w:lang w:val="en-US"/>
        </w:rPr>
        <w:t>s</w:t>
      </w:r>
      <w:r w:rsidR="00757AA4" w:rsidRPr="00E822E3">
        <w:rPr>
          <w:rFonts w:ascii="Arial" w:eastAsia="Arial" w:hAnsi="Arial" w:cs="Arial"/>
          <w:color w:val="000000" w:themeColor="text1"/>
          <w:lang w:val="en-US"/>
        </w:rPr>
        <w:t xml:space="preserve"> </w:t>
      </w:r>
      <w:r w:rsidR="006D36C1" w:rsidRPr="00E822E3">
        <w:rPr>
          <w:rFonts w:ascii="Arial" w:eastAsia="Arial" w:hAnsi="Arial" w:cs="Arial"/>
          <w:color w:val="000000" w:themeColor="text1"/>
          <w:lang w:val="en-US"/>
        </w:rPr>
        <w:t xml:space="preserve">relating to the record as a mark of this Court’s disapproval of the </w:t>
      </w:r>
      <w:r w:rsidR="00573F12" w:rsidRPr="00E822E3">
        <w:rPr>
          <w:rFonts w:ascii="Arial" w:eastAsia="Arial" w:hAnsi="Arial" w:cs="Arial"/>
          <w:color w:val="000000" w:themeColor="text1"/>
          <w:lang w:val="en-US"/>
        </w:rPr>
        <w:t xml:space="preserve">conduct of the </w:t>
      </w:r>
      <w:r w:rsidR="006D36C1" w:rsidRPr="00E822E3">
        <w:rPr>
          <w:rFonts w:ascii="Arial" w:eastAsia="Arial" w:hAnsi="Arial" w:cs="Arial"/>
          <w:color w:val="000000" w:themeColor="text1"/>
          <w:lang w:val="en-US"/>
        </w:rPr>
        <w:t>respondent’s legal practitioner in failing to cooperate with the appellant’s l</w:t>
      </w:r>
      <w:r w:rsidR="00573F12" w:rsidRPr="00E822E3">
        <w:rPr>
          <w:rFonts w:ascii="Arial" w:eastAsia="Arial" w:hAnsi="Arial" w:cs="Arial"/>
          <w:color w:val="000000" w:themeColor="text1"/>
          <w:lang w:val="en-US"/>
        </w:rPr>
        <w:t>egal practitioner to</w:t>
      </w:r>
      <w:r w:rsidR="006D36C1" w:rsidRPr="00E822E3">
        <w:rPr>
          <w:rFonts w:ascii="Arial" w:eastAsia="Arial" w:hAnsi="Arial" w:cs="Arial"/>
          <w:color w:val="000000" w:themeColor="text1"/>
          <w:lang w:val="en-US"/>
        </w:rPr>
        <w:t xml:space="preserve"> timeously hold the meeting contemplated by rule 11(10)</w:t>
      </w:r>
      <w:r w:rsidR="00757AA4" w:rsidRPr="00E822E3">
        <w:rPr>
          <w:rFonts w:ascii="Arial" w:eastAsia="Arial" w:hAnsi="Arial" w:cs="Arial"/>
          <w:color w:val="000000" w:themeColor="text1"/>
          <w:lang w:val="en-US"/>
        </w:rPr>
        <w:t xml:space="preserve">.  </w:t>
      </w:r>
    </w:p>
    <w:p w14:paraId="51B9AA38" w14:textId="77777777" w:rsidR="004077B4" w:rsidRPr="004B3A13" w:rsidRDefault="004077B4" w:rsidP="00966268">
      <w:pPr>
        <w:pStyle w:val="ListParagraph"/>
        <w:spacing w:line="480" w:lineRule="auto"/>
        <w:ind w:left="0"/>
        <w:jc w:val="both"/>
        <w:rPr>
          <w:rFonts w:ascii="Arial" w:eastAsia="Arial" w:hAnsi="Arial" w:cs="Arial"/>
          <w:color w:val="000000" w:themeColor="text1"/>
          <w:lang w:val="en-US"/>
        </w:rPr>
      </w:pPr>
    </w:p>
    <w:p w14:paraId="5B508428" w14:textId="2C4ED497" w:rsidR="00757AA4" w:rsidRPr="004B3A13" w:rsidRDefault="00757AA4" w:rsidP="00966268">
      <w:pPr>
        <w:spacing w:line="480" w:lineRule="auto"/>
        <w:ind w:left="0"/>
        <w:jc w:val="both"/>
        <w:rPr>
          <w:rFonts w:ascii="Arial" w:eastAsia="Arial" w:hAnsi="Arial" w:cs="Arial"/>
          <w:color w:val="000000" w:themeColor="text1"/>
          <w:u w:val="single"/>
          <w:lang w:val="en-US"/>
        </w:rPr>
      </w:pPr>
      <w:r w:rsidRPr="004B3A13">
        <w:rPr>
          <w:rFonts w:ascii="Arial" w:eastAsia="Arial" w:hAnsi="Arial" w:cs="Arial"/>
          <w:color w:val="000000" w:themeColor="text1"/>
          <w:u w:val="single"/>
          <w:lang w:val="en-US"/>
        </w:rPr>
        <w:t>Order</w:t>
      </w:r>
    </w:p>
    <w:p w14:paraId="14E96CFD" w14:textId="3590427A" w:rsidR="00966268" w:rsidRPr="00E822E3" w:rsidRDefault="00E822E3" w:rsidP="00E822E3">
      <w:pPr>
        <w:spacing w:after="120" w:line="480" w:lineRule="auto"/>
        <w:ind w:left="360" w:hanging="360"/>
        <w:jc w:val="both"/>
        <w:rPr>
          <w:rFonts w:ascii="Arial" w:hAnsi="Arial" w:cs="Arial"/>
          <w:u w:val="single"/>
        </w:rPr>
      </w:pPr>
      <w:r w:rsidRPr="006D36C1">
        <w:rPr>
          <w:rFonts w:ascii="Arial" w:hAnsi="Arial" w:cs="Arial"/>
        </w:rPr>
        <w:t>[57]</w:t>
      </w:r>
      <w:r w:rsidRPr="006D36C1">
        <w:rPr>
          <w:rFonts w:ascii="Arial" w:hAnsi="Arial" w:cs="Arial"/>
        </w:rPr>
        <w:tab/>
      </w:r>
      <w:r w:rsidR="00183913" w:rsidRPr="00E822E3">
        <w:rPr>
          <w:rFonts w:ascii="Arial" w:hAnsi="Arial" w:cs="Arial"/>
        </w:rPr>
        <w:t>In the result, the following order is made:</w:t>
      </w:r>
    </w:p>
    <w:p w14:paraId="56E19853" w14:textId="561C9682" w:rsidR="000C0408" w:rsidRPr="00E822E3" w:rsidRDefault="00E822E3" w:rsidP="00E822E3">
      <w:pPr>
        <w:spacing w:after="120" w:line="480" w:lineRule="auto"/>
        <w:ind w:left="1350" w:hanging="630"/>
        <w:jc w:val="both"/>
        <w:rPr>
          <w:rFonts w:ascii="Arial" w:hAnsi="Arial" w:cs="Arial"/>
        </w:rPr>
      </w:pPr>
      <w:r w:rsidRPr="006D36C1">
        <w:rPr>
          <w:rFonts w:ascii="Arial" w:hAnsi="Arial" w:cs="Arial"/>
        </w:rPr>
        <w:t>(a)</w:t>
      </w:r>
      <w:r w:rsidRPr="006D36C1">
        <w:rPr>
          <w:rFonts w:ascii="Arial" w:hAnsi="Arial" w:cs="Arial"/>
        </w:rPr>
        <w:tab/>
      </w:r>
      <w:r w:rsidR="00757AA4" w:rsidRPr="00E822E3">
        <w:rPr>
          <w:rFonts w:ascii="Arial" w:hAnsi="Arial" w:cs="Arial"/>
        </w:rPr>
        <w:t xml:space="preserve">The application for condonation </w:t>
      </w:r>
      <w:r w:rsidR="0021759D" w:rsidRPr="00E822E3">
        <w:rPr>
          <w:rFonts w:ascii="Arial" w:hAnsi="Arial" w:cs="Arial"/>
        </w:rPr>
        <w:t xml:space="preserve">and reinstatement </w:t>
      </w:r>
      <w:r w:rsidR="00757AA4" w:rsidRPr="00E822E3">
        <w:rPr>
          <w:rFonts w:ascii="Arial" w:hAnsi="Arial" w:cs="Arial"/>
        </w:rPr>
        <w:t xml:space="preserve">is </w:t>
      </w:r>
      <w:r w:rsidR="00815C21" w:rsidRPr="00E822E3">
        <w:rPr>
          <w:rFonts w:ascii="Arial" w:hAnsi="Arial" w:cs="Arial"/>
        </w:rPr>
        <w:t>refused</w:t>
      </w:r>
      <w:r w:rsidR="00757AA4" w:rsidRPr="00E822E3">
        <w:rPr>
          <w:rFonts w:ascii="Arial" w:hAnsi="Arial" w:cs="Arial"/>
        </w:rPr>
        <w:t>.</w:t>
      </w:r>
    </w:p>
    <w:p w14:paraId="5A06E633" w14:textId="1949B622" w:rsidR="00966268" w:rsidRPr="006D36C1" w:rsidRDefault="00E822E3" w:rsidP="00E822E3">
      <w:pPr>
        <w:pStyle w:val="Body"/>
        <w:spacing w:after="120" w:line="480" w:lineRule="auto"/>
        <w:ind w:left="1350" w:hanging="630"/>
        <w:jc w:val="both"/>
        <w:rPr>
          <w:rFonts w:ascii="Arial" w:eastAsia="Arial" w:hAnsi="Arial" w:cs="Arial"/>
          <w:sz w:val="24"/>
          <w:szCs w:val="24"/>
        </w:rPr>
      </w:pPr>
      <w:r w:rsidRPr="006D36C1">
        <w:rPr>
          <w:rFonts w:ascii="Arial" w:eastAsiaTheme="minorHAnsi" w:hAnsi="Arial" w:cs="Arial"/>
          <w:sz w:val="24"/>
          <w:szCs w:val="24"/>
        </w:rPr>
        <w:t>(b)</w:t>
      </w:r>
      <w:r w:rsidRPr="006D36C1">
        <w:rPr>
          <w:rFonts w:ascii="Arial" w:eastAsiaTheme="minorHAnsi" w:hAnsi="Arial" w:cs="Arial"/>
          <w:sz w:val="24"/>
          <w:szCs w:val="24"/>
        </w:rPr>
        <w:tab/>
      </w:r>
      <w:r w:rsidR="00815C21" w:rsidRPr="004B3A13">
        <w:rPr>
          <w:rFonts w:ascii="Arial" w:eastAsia="Arial" w:hAnsi="Arial" w:cs="Arial"/>
          <w:sz w:val="24"/>
          <w:szCs w:val="24"/>
        </w:rPr>
        <w:t xml:space="preserve">The </w:t>
      </w:r>
      <w:r w:rsidR="00952015" w:rsidRPr="004B3A13">
        <w:rPr>
          <w:rFonts w:ascii="Arial" w:eastAsia="Arial" w:hAnsi="Arial" w:cs="Arial"/>
          <w:sz w:val="24"/>
          <w:szCs w:val="24"/>
        </w:rPr>
        <w:t>matter</w:t>
      </w:r>
      <w:r w:rsidR="00815C21" w:rsidRPr="004B3A13">
        <w:rPr>
          <w:rFonts w:ascii="Arial" w:eastAsia="Arial" w:hAnsi="Arial" w:cs="Arial"/>
          <w:sz w:val="24"/>
          <w:szCs w:val="24"/>
        </w:rPr>
        <w:t xml:space="preserve"> is struck from the roll</w:t>
      </w:r>
      <w:r w:rsidR="00757AA4" w:rsidRPr="004B3A13">
        <w:rPr>
          <w:rFonts w:ascii="Arial" w:eastAsia="Arial" w:hAnsi="Arial" w:cs="Arial"/>
          <w:sz w:val="24"/>
          <w:szCs w:val="24"/>
        </w:rPr>
        <w:t>.</w:t>
      </w:r>
    </w:p>
    <w:p w14:paraId="0FCBB017" w14:textId="66FD2A39" w:rsidR="00757AA4" w:rsidRPr="004B3A13" w:rsidRDefault="00E822E3" w:rsidP="00E822E3">
      <w:pPr>
        <w:pStyle w:val="Body"/>
        <w:spacing w:after="0" w:line="480" w:lineRule="auto"/>
        <w:ind w:left="1350" w:hanging="630"/>
        <w:jc w:val="both"/>
        <w:rPr>
          <w:rFonts w:ascii="Arial" w:eastAsia="Arial" w:hAnsi="Arial" w:cs="Arial"/>
          <w:sz w:val="24"/>
          <w:szCs w:val="24"/>
        </w:rPr>
      </w:pPr>
      <w:r w:rsidRPr="004B3A13">
        <w:rPr>
          <w:rFonts w:ascii="Arial" w:eastAsiaTheme="minorHAnsi" w:hAnsi="Arial" w:cs="Arial"/>
          <w:sz w:val="24"/>
          <w:szCs w:val="24"/>
        </w:rPr>
        <w:t>(c)</w:t>
      </w:r>
      <w:r w:rsidRPr="004B3A13">
        <w:rPr>
          <w:rFonts w:ascii="Arial" w:eastAsiaTheme="minorHAnsi" w:hAnsi="Arial" w:cs="Arial"/>
          <w:sz w:val="24"/>
          <w:szCs w:val="24"/>
        </w:rPr>
        <w:tab/>
      </w:r>
      <w:r w:rsidR="00815C21" w:rsidRPr="004B3A13">
        <w:rPr>
          <w:rFonts w:ascii="Arial" w:eastAsia="Arial" w:hAnsi="Arial" w:cs="Arial"/>
          <w:sz w:val="24"/>
          <w:szCs w:val="24"/>
        </w:rPr>
        <w:t xml:space="preserve">The appellant </w:t>
      </w:r>
      <w:r w:rsidR="00BC6B40" w:rsidRPr="004B3A13">
        <w:rPr>
          <w:rFonts w:ascii="Arial" w:eastAsia="Arial" w:hAnsi="Arial" w:cs="Arial"/>
          <w:sz w:val="24"/>
          <w:szCs w:val="24"/>
        </w:rPr>
        <w:t>is to</w:t>
      </w:r>
      <w:r w:rsidR="00815C21" w:rsidRPr="004B3A13">
        <w:rPr>
          <w:rFonts w:ascii="Arial" w:eastAsia="Arial" w:hAnsi="Arial" w:cs="Arial"/>
          <w:sz w:val="24"/>
          <w:szCs w:val="24"/>
        </w:rPr>
        <w:t xml:space="preserve"> pay the respondent’s costs, both in </w:t>
      </w:r>
      <w:r w:rsidR="00CC77C1" w:rsidRPr="004B3A13">
        <w:rPr>
          <w:rFonts w:ascii="Arial" w:eastAsia="Arial" w:hAnsi="Arial" w:cs="Arial"/>
          <w:sz w:val="24"/>
          <w:szCs w:val="24"/>
        </w:rPr>
        <w:t xml:space="preserve">the </w:t>
      </w:r>
      <w:r w:rsidR="00815C21" w:rsidRPr="004B3A13">
        <w:rPr>
          <w:rFonts w:ascii="Arial" w:eastAsia="Arial" w:hAnsi="Arial" w:cs="Arial"/>
          <w:sz w:val="24"/>
          <w:szCs w:val="24"/>
        </w:rPr>
        <w:t xml:space="preserve">court </w:t>
      </w:r>
      <w:r w:rsidR="00815C21" w:rsidRPr="0083451B">
        <w:rPr>
          <w:rFonts w:ascii="Arial" w:eastAsia="Arial" w:hAnsi="Arial" w:cs="Arial"/>
          <w:iCs/>
          <w:sz w:val="24"/>
          <w:szCs w:val="24"/>
        </w:rPr>
        <w:t>a quo</w:t>
      </w:r>
      <w:r w:rsidR="00815C21" w:rsidRPr="004B3A13">
        <w:rPr>
          <w:rFonts w:ascii="Arial" w:eastAsia="Arial" w:hAnsi="Arial" w:cs="Arial"/>
          <w:sz w:val="24"/>
          <w:szCs w:val="24"/>
        </w:rPr>
        <w:t xml:space="preserve"> and in this </w:t>
      </w:r>
      <w:r w:rsidR="00934EB2">
        <w:rPr>
          <w:rFonts w:ascii="Arial" w:eastAsia="Arial" w:hAnsi="Arial" w:cs="Arial"/>
          <w:sz w:val="24"/>
          <w:szCs w:val="24"/>
        </w:rPr>
        <w:t>C</w:t>
      </w:r>
      <w:r w:rsidR="00815C21" w:rsidRPr="004B3A13">
        <w:rPr>
          <w:rFonts w:ascii="Arial" w:eastAsia="Arial" w:hAnsi="Arial" w:cs="Arial"/>
          <w:sz w:val="24"/>
          <w:szCs w:val="24"/>
        </w:rPr>
        <w:t>ourt, such costs to include the costs of one instructed and one instructing legal practi</w:t>
      </w:r>
      <w:r w:rsidR="00CC77C1" w:rsidRPr="004B3A13">
        <w:rPr>
          <w:rFonts w:ascii="Arial" w:eastAsia="Arial" w:hAnsi="Arial" w:cs="Arial"/>
          <w:sz w:val="24"/>
          <w:szCs w:val="24"/>
        </w:rPr>
        <w:t>ti</w:t>
      </w:r>
      <w:r w:rsidR="00815C21" w:rsidRPr="004B3A13">
        <w:rPr>
          <w:rFonts w:ascii="Arial" w:eastAsia="Arial" w:hAnsi="Arial" w:cs="Arial"/>
          <w:sz w:val="24"/>
          <w:szCs w:val="24"/>
        </w:rPr>
        <w:t xml:space="preserve">oner, but such costs to exclude the costs of </w:t>
      </w:r>
      <w:r w:rsidR="006D36C1">
        <w:rPr>
          <w:rFonts w:ascii="Arial" w:eastAsia="Arial" w:hAnsi="Arial" w:cs="Arial"/>
          <w:sz w:val="24"/>
          <w:szCs w:val="24"/>
        </w:rPr>
        <w:t xml:space="preserve">attendances relating to </w:t>
      </w:r>
      <w:r w:rsidR="00815C21" w:rsidRPr="004B3A13">
        <w:rPr>
          <w:rFonts w:ascii="Arial" w:eastAsia="Arial" w:hAnsi="Arial" w:cs="Arial"/>
          <w:sz w:val="24"/>
          <w:szCs w:val="24"/>
        </w:rPr>
        <w:t xml:space="preserve">the record of appeal in this </w:t>
      </w:r>
      <w:r w:rsidR="00EF6C31" w:rsidRPr="004B3A13">
        <w:rPr>
          <w:rFonts w:ascii="Arial" w:eastAsia="Arial" w:hAnsi="Arial" w:cs="Arial"/>
          <w:sz w:val="24"/>
          <w:szCs w:val="24"/>
        </w:rPr>
        <w:t>C</w:t>
      </w:r>
      <w:r w:rsidR="00815C21" w:rsidRPr="004B3A13">
        <w:rPr>
          <w:rFonts w:ascii="Arial" w:eastAsia="Arial" w:hAnsi="Arial" w:cs="Arial"/>
          <w:sz w:val="24"/>
          <w:szCs w:val="24"/>
        </w:rPr>
        <w:t xml:space="preserve">ourt.  </w:t>
      </w:r>
    </w:p>
    <w:p w14:paraId="142F08DF" w14:textId="77777777" w:rsidR="00757AA4" w:rsidRPr="004B3A13" w:rsidRDefault="00757AA4" w:rsidP="00966268">
      <w:pPr>
        <w:pStyle w:val="Body"/>
        <w:spacing w:after="0" w:line="480" w:lineRule="auto"/>
        <w:rPr>
          <w:rFonts w:ascii="Arial" w:eastAsia="Arial" w:hAnsi="Arial" w:cs="Arial"/>
          <w:sz w:val="24"/>
          <w:szCs w:val="24"/>
        </w:rPr>
      </w:pPr>
    </w:p>
    <w:p w14:paraId="6B74146C" w14:textId="2DCAE3C7" w:rsidR="00757AA4" w:rsidRPr="004B3A13" w:rsidRDefault="00757AA4" w:rsidP="00966268">
      <w:pPr>
        <w:spacing w:line="276" w:lineRule="auto"/>
        <w:ind w:left="0"/>
        <w:jc w:val="both"/>
        <w:rPr>
          <w:rFonts w:ascii="Arial" w:hAnsi="Arial" w:cs="Arial"/>
        </w:rPr>
      </w:pPr>
      <w:r w:rsidRPr="004B3A13">
        <w:rPr>
          <w:rFonts w:ascii="Arial" w:hAnsi="Arial" w:cs="Arial"/>
        </w:rPr>
        <w:t>_______________</w:t>
      </w:r>
      <w:r w:rsidR="006D36C1">
        <w:rPr>
          <w:rFonts w:ascii="Arial" w:hAnsi="Arial" w:cs="Arial"/>
        </w:rPr>
        <w:t>__</w:t>
      </w:r>
      <w:r w:rsidRPr="004B3A13">
        <w:rPr>
          <w:rFonts w:ascii="Arial" w:hAnsi="Arial" w:cs="Arial"/>
        </w:rPr>
        <w:t>___</w:t>
      </w:r>
    </w:p>
    <w:p w14:paraId="5F406307" w14:textId="77777777" w:rsidR="00757AA4" w:rsidRPr="004B3A13" w:rsidRDefault="00757AA4" w:rsidP="00966268">
      <w:pPr>
        <w:spacing w:line="276" w:lineRule="auto"/>
        <w:ind w:left="0"/>
        <w:jc w:val="both"/>
        <w:rPr>
          <w:rFonts w:ascii="Arial" w:hAnsi="Arial" w:cs="Arial"/>
          <w:b/>
        </w:rPr>
      </w:pPr>
      <w:r w:rsidRPr="004B3A13">
        <w:rPr>
          <w:rFonts w:ascii="Arial" w:hAnsi="Arial" w:cs="Arial"/>
          <w:b/>
        </w:rPr>
        <w:t>SHIVUTE CJ</w:t>
      </w:r>
    </w:p>
    <w:p w14:paraId="4423DDAF" w14:textId="77777777" w:rsidR="00757AA4" w:rsidRPr="004B3A13" w:rsidRDefault="00757AA4" w:rsidP="00966268">
      <w:pPr>
        <w:spacing w:line="276" w:lineRule="auto"/>
        <w:jc w:val="both"/>
        <w:rPr>
          <w:rFonts w:ascii="Arial" w:hAnsi="Arial" w:cs="Arial"/>
          <w:b/>
        </w:rPr>
      </w:pPr>
    </w:p>
    <w:p w14:paraId="2EFC49C2" w14:textId="77777777" w:rsidR="00757AA4" w:rsidRPr="004B3A13" w:rsidRDefault="00757AA4" w:rsidP="00966268">
      <w:pPr>
        <w:spacing w:line="276" w:lineRule="auto"/>
        <w:jc w:val="both"/>
        <w:rPr>
          <w:rFonts w:ascii="Arial" w:hAnsi="Arial" w:cs="Arial"/>
          <w:b/>
        </w:rPr>
      </w:pPr>
    </w:p>
    <w:p w14:paraId="46EEE682" w14:textId="77777777" w:rsidR="00024939" w:rsidRPr="004B3A13" w:rsidRDefault="00024939" w:rsidP="00966268">
      <w:pPr>
        <w:spacing w:line="276" w:lineRule="auto"/>
        <w:ind w:left="0"/>
        <w:jc w:val="both"/>
        <w:rPr>
          <w:rFonts w:ascii="Arial" w:hAnsi="Arial" w:cs="Arial"/>
          <w:b/>
        </w:rPr>
      </w:pPr>
    </w:p>
    <w:p w14:paraId="1FA66062" w14:textId="04E52E00" w:rsidR="00757AA4" w:rsidRPr="004B3A13" w:rsidRDefault="00757AA4" w:rsidP="00966268">
      <w:pPr>
        <w:spacing w:line="276" w:lineRule="auto"/>
        <w:ind w:left="0"/>
        <w:jc w:val="both"/>
        <w:rPr>
          <w:rFonts w:ascii="Arial" w:hAnsi="Arial" w:cs="Arial"/>
        </w:rPr>
      </w:pPr>
      <w:r w:rsidRPr="004B3A13">
        <w:rPr>
          <w:rFonts w:ascii="Arial" w:hAnsi="Arial" w:cs="Arial"/>
        </w:rPr>
        <w:t>______________</w:t>
      </w:r>
      <w:r w:rsidR="006D36C1">
        <w:rPr>
          <w:rFonts w:ascii="Arial" w:hAnsi="Arial" w:cs="Arial"/>
        </w:rPr>
        <w:t>___</w:t>
      </w:r>
      <w:r w:rsidRPr="004B3A13">
        <w:rPr>
          <w:rFonts w:ascii="Arial" w:hAnsi="Arial" w:cs="Arial"/>
        </w:rPr>
        <w:t>____</w:t>
      </w:r>
    </w:p>
    <w:p w14:paraId="4CCC5F53" w14:textId="77777777" w:rsidR="00757AA4" w:rsidRPr="004B3A13" w:rsidRDefault="00757AA4" w:rsidP="00966268">
      <w:pPr>
        <w:spacing w:line="276" w:lineRule="auto"/>
        <w:ind w:left="0"/>
        <w:jc w:val="both"/>
        <w:rPr>
          <w:rFonts w:ascii="Arial" w:hAnsi="Arial" w:cs="Arial"/>
          <w:b/>
        </w:rPr>
      </w:pPr>
      <w:r w:rsidRPr="004B3A13">
        <w:rPr>
          <w:rFonts w:ascii="Arial" w:hAnsi="Arial" w:cs="Arial"/>
          <w:b/>
        </w:rPr>
        <w:t>SMUTS JA</w:t>
      </w:r>
    </w:p>
    <w:p w14:paraId="7F70476E" w14:textId="77777777" w:rsidR="00757AA4" w:rsidRPr="004B3A13" w:rsidRDefault="00757AA4" w:rsidP="00966268">
      <w:pPr>
        <w:spacing w:line="276" w:lineRule="auto"/>
        <w:ind w:left="0"/>
        <w:jc w:val="both"/>
        <w:rPr>
          <w:rFonts w:ascii="Arial" w:hAnsi="Arial" w:cs="Arial"/>
          <w:noProof/>
          <w:lang w:eastAsia="en-ZA"/>
        </w:rPr>
      </w:pPr>
    </w:p>
    <w:p w14:paraId="5D1E9484" w14:textId="77777777" w:rsidR="004077B4" w:rsidRPr="004B3A13" w:rsidRDefault="004077B4" w:rsidP="00966268">
      <w:pPr>
        <w:spacing w:line="276" w:lineRule="auto"/>
        <w:ind w:left="0"/>
        <w:jc w:val="both"/>
        <w:rPr>
          <w:rFonts w:ascii="Arial" w:hAnsi="Arial" w:cs="Arial"/>
          <w:b/>
        </w:rPr>
      </w:pPr>
    </w:p>
    <w:p w14:paraId="279D855D" w14:textId="77777777" w:rsidR="000C0408" w:rsidRPr="004B3A13" w:rsidRDefault="000C0408" w:rsidP="00966268">
      <w:pPr>
        <w:spacing w:line="276" w:lineRule="auto"/>
        <w:ind w:left="0"/>
        <w:jc w:val="both"/>
        <w:rPr>
          <w:rFonts w:ascii="Arial" w:hAnsi="Arial" w:cs="Arial"/>
          <w:b/>
        </w:rPr>
      </w:pPr>
    </w:p>
    <w:p w14:paraId="61121920" w14:textId="77777777" w:rsidR="000C0408" w:rsidRPr="004B3A13" w:rsidRDefault="000C0408" w:rsidP="00966268">
      <w:pPr>
        <w:spacing w:line="276" w:lineRule="auto"/>
        <w:ind w:left="0"/>
        <w:jc w:val="both"/>
        <w:rPr>
          <w:rFonts w:ascii="Arial" w:hAnsi="Arial" w:cs="Arial"/>
          <w:b/>
        </w:rPr>
      </w:pPr>
    </w:p>
    <w:p w14:paraId="11714824" w14:textId="672266B4" w:rsidR="00757AA4" w:rsidRPr="004B3A13" w:rsidRDefault="00757AA4" w:rsidP="00966268">
      <w:pPr>
        <w:spacing w:line="276" w:lineRule="auto"/>
        <w:ind w:left="0"/>
        <w:jc w:val="both"/>
        <w:rPr>
          <w:rFonts w:ascii="Arial" w:hAnsi="Arial" w:cs="Arial"/>
        </w:rPr>
      </w:pPr>
      <w:r w:rsidRPr="004B3A13">
        <w:rPr>
          <w:rFonts w:ascii="Arial" w:hAnsi="Arial" w:cs="Arial"/>
        </w:rPr>
        <w:t>________________</w:t>
      </w:r>
      <w:r w:rsidR="006D36C1">
        <w:rPr>
          <w:rFonts w:ascii="Arial" w:hAnsi="Arial" w:cs="Arial"/>
        </w:rPr>
        <w:t>_</w:t>
      </w:r>
      <w:r w:rsidRPr="004B3A13">
        <w:rPr>
          <w:rFonts w:ascii="Arial" w:hAnsi="Arial" w:cs="Arial"/>
        </w:rPr>
        <w:t>__</w:t>
      </w:r>
      <w:r w:rsidR="00CC77C1" w:rsidRPr="004B3A13">
        <w:rPr>
          <w:rFonts w:ascii="Arial" w:hAnsi="Arial" w:cs="Arial"/>
        </w:rPr>
        <w:t>___</w:t>
      </w:r>
    </w:p>
    <w:p w14:paraId="3F1DFCB1" w14:textId="454C748D" w:rsidR="00593326" w:rsidRPr="004B3A13" w:rsidRDefault="004077B4" w:rsidP="00966268">
      <w:pPr>
        <w:pStyle w:val="ListParagraph"/>
        <w:spacing w:line="276" w:lineRule="auto"/>
        <w:ind w:left="0"/>
        <w:jc w:val="both"/>
        <w:rPr>
          <w:rFonts w:ascii="Arial" w:hAnsi="Arial" w:cs="Arial"/>
          <w:b/>
          <w:bCs/>
          <w:color w:val="000000" w:themeColor="text1"/>
          <w:lang w:val="en-US"/>
        </w:rPr>
      </w:pPr>
      <w:r w:rsidRPr="004B3A13">
        <w:rPr>
          <w:rFonts w:ascii="Arial" w:hAnsi="Arial" w:cs="Arial"/>
          <w:b/>
          <w:bCs/>
          <w:color w:val="000000" w:themeColor="text1"/>
          <w:lang w:val="en-US"/>
        </w:rPr>
        <w:t>SCHIMMING-CHASE AJA</w:t>
      </w:r>
    </w:p>
    <w:p w14:paraId="2D6834C1" w14:textId="77777777" w:rsidR="00DA22FA" w:rsidRPr="004B3A13" w:rsidRDefault="00DA22FA" w:rsidP="00966268">
      <w:pPr>
        <w:pStyle w:val="Default"/>
        <w:spacing w:line="480" w:lineRule="auto"/>
        <w:ind w:left="0"/>
        <w:jc w:val="both"/>
        <w:rPr>
          <w:rFonts w:ascii="Arial" w:hAnsi="Arial" w:cs="Arial"/>
        </w:rPr>
      </w:pPr>
    </w:p>
    <w:p w14:paraId="5D332097" w14:textId="55BA0685" w:rsidR="00966268" w:rsidRPr="004B3A13" w:rsidRDefault="00966268" w:rsidP="00966268">
      <w:pPr>
        <w:rPr>
          <w:rFonts w:ascii="Arial" w:hAnsi="Arial" w:cs="Arial"/>
        </w:rPr>
      </w:pPr>
      <w:r w:rsidRPr="004B3A13">
        <w:rPr>
          <w:rFonts w:ascii="Arial" w:hAnsi="Arial" w:cs="Arial"/>
        </w:rPr>
        <w:br w:type="page"/>
      </w:r>
    </w:p>
    <w:p w14:paraId="5C990DE8" w14:textId="77777777" w:rsidR="00CF0FC1" w:rsidRPr="004B3A13" w:rsidRDefault="00CF0FC1" w:rsidP="00966268">
      <w:pPr>
        <w:ind w:left="0"/>
        <w:rPr>
          <w:rFonts w:ascii="Arial" w:hAnsi="Arial" w:cs="Arial"/>
        </w:rPr>
      </w:pPr>
    </w:p>
    <w:p w14:paraId="1D58A936" w14:textId="0D761AD9" w:rsidR="00490D8D" w:rsidRPr="004B3A13" w:rsidRDefault="00CF0FC1" w:rsidP="00966268">
      <w:pPr>
        <w:spacing w:line="480" w:lineRule="auto"/>
        <w:ind w:left="0"/>
        <w:jc w:val="both"/>
        <w:rPr>
          <w:rFonts w:ascii="Arial" w:hAnsi="Arial" w:cs="Arial"/>
        </w:rPr>
      </w:pPr>
      <w:r w:rsidRPr="004B3A13">
        <w:rPr>
          <w:rFonts w:ascii="Arial" w:hAnsi="Arial" w:cs="Arial"/>
        </w:rPr>
        <w:t>APPEARANCES</w:t>
      </w:r>
    </w:p>
    <w:p w14:paraId="06F0B015" w14:textId="5A9FC069" w:rsidR="00CF0FC1" w:rsidRPr="004B3A13" w:rsidRDefault="00CF0FC1" w:rsidP="00966268">
      <w:pPr>
        <w:spacing w:line="480" w:lineRule="auto"/>
        <w:ind w:left="0"/>
        <w:jc w:val="both"/>
        <w:rPr>
          <w:rFonts w:ascii="Arial" w:hAnsi="Arial" w:cs="Arial"/>
        </w:rPr>
      </w:pPr>
    </w:p>
    <w:p w14:paraId="02320717" w14:textId="74FCE963" w:rsidR="00712CA1" w:rsidRPr="004B3A13" w:rsidRDefault="00CF0FC1" w:rsidP="00966268">
      <w:pPr>
        <w:tabs>
          <w:tab w:val="left" w:pos="3544"/>
        </w:tabs>
        <w:spacing w:line="480" w:lineRule="auto"/>
        <w:ind w:left="0"/>
        <w:jc w:val="both"/>
        <w:rPr>
          <w:rFonts w:ascii="Arial" w:hAnsi="Arial" w:cs="Arial"/>
        </w:rPr>
      </w:pPr>
      <w:r w:rsidRPr="004B3A13">
        <w:rPr>
          <w:rFonts w:ascii="Arial" w:hAnsi="Arial" w:cs="Arial"/>
        </w:rPr>
        <w:t xml:space="preserve">APPELLANT:                               </w:t>
      </w:r>
      <w:r w:rsidR="007B2466">
        <w:rPr>
          <w:rFonts w:ascii="Arial" w:hAnsi="Arial" w:cs="Arial"/>
        </w:rPr>
        <w:tab/>
      </w:r>
      <w:r w:rsidR="00025B42" w:rsidRPr="004B3A13">
        <w:rPr>
          <w:rFonts w:ascii="Arial" w:hAnsi="Arial" w:cs="Arial"/>
        </w:rPr>
        <w:t xml:space="preserve">J </w:t>
      </w:r>
      <w:r w:rsidR="00712CA1" w:rsidRPr="004B3A13">
        <w:rPr>
          <w:rFonts w:ascii="Arial" w:hAnsi="Arial" w:cs="Arial"/>
        </w:rPr>
        <w:t xml:space="preserve">Ncube (with </w:t>
      </w:r>
      <w:r w:rsidR="00DF70E0" w:rsidRPr="004B3A13">
        <w:rPr>
          <w:rFonts w:ascii="Arial" w:hAnsi="Arial" w:cs="Arial"/>
        </w:rPr>
        <w:t xml:space="preserve">him </w:t>
      </w:r>
      <w:r w:rsidR="00025B42" w:rsidRPr="004B3A13">
        <w:rPr>
          <w:rFonts w:ascii="Arial" w:hAnsi="Arial" w:cs="Arial"/>
        </w:rPr>
        <w:t>J</w:t>
      </w:r>
      <w:r w:rsidR="00B74CCA">
        <w:rPr>
          <w:rFonts w:ascii="Arial" w:hAnsi="Arial" w:cs="Arial"/>
        </w:rPr>
        <w:t xml:space="preserve"> S</w:t>
      </w:r>
      <w:r w:rsidR="00025B42" w:rsidRPr="004B3A13">
        <w:rPr>
          <w:rFonts w:ascii="Arial" w:hAnsi="Arial" w:cs="Arial"/>
        </w:rPr>
        <w:t xml:space="preserve"> </w:t>
      </w:r>
      <w:r w:rsidR="00712CA1" w:rsidRPr="004B3A13">
        <w:rPr>
          <w:rFonts w:ascii="Arial" w:hAnsi="Arial" w:cs="Arial"/>
        </w:rPr>
        <w:t>Hinda)</w:t>
      </w:r>
    </w:p>
    <w:p w14:paraId="5446ACEF" w14:textId="6D7750A6" w:rsidR="00712CA1" w:rsidRPr="004B3A13" w:rsidRDefault="00712CA1" w:rsidP="00966268">
      <w:pPr>
        <w:spacing w:line="480" w:lineRule="auto"/>
        <w:ind w:left="0"/>
        <w:jc w:val="both"/>
        <w:rPr>
          <w:rFonts w:ascii="Arial" w:hAnsi="Arial" w:cs="Arial"/>
        </w:rPr>
      </w:pPr>
      <w:r w:rsidRPr="004B3A13">
        <w:rPr>
          <w:rFonts w:ascii="Arial" w:hAnsi="Arial" w:cs="Arial"/>
        </w:rPr>
        <w:t xml:space="preserve">                                                     </w:t>
      </w:r>
      <w:r w:rsidR="007C558E" w:rsidRPr="004B3A13">
        <w:rPr>
          <w:rFonts w:ascii="Arial" w:hAnsi="Arial" w:cs="Arial"/>
        </w:rPr>
        <w:t>Of</w:t>
      </w:r>
      <w:r w:rsidRPr="004B3A13">
        <w:rPr>
          <w:rFonts w:ascii="Arial" w:hAnsi="Arial" w:cs="Arial"/>
        </w:rPr>
        <w:t xml:space="preserve"> Government Attorneys</w:t>
      </w:r>
    </w:p>
    <w:p w14:paraId="730382E5" w14:textId="68C1779C" w:rsidR="00CF0FC1" w:rsidRPr="004B3A13" w:rsidRDefault="00CF0FC1" w:rsidP="00966268">
      <w:pPr>
        <w:spacing w:line="480" w:lineRule="auto"/>
        <w:ind w:left="0"/>
        <w:jc w:val="both"/>
        <w:rPr>
          <w:rFonts w:ascii="Arial" w:hAnsi="Arial" w:cs="Arial"/>
        </w:rPr>
      </w:pPr>
    </w:p>
    <w:p w14:paraId="61169594" w14:textId="3A753CE9" w:rsidR="00CF0FC1" w:rsidRPr="004B3A13" w:rsidRDefault="00CF0FC1" w:rsidP="00966268">
      <w:pPr>
        <w:spacing w:line="480" w:lineRule="auto"/>
        <w:ind w:left="0"/>
        <w:jc w:val="both"/>
        <w:rPr>
          <w:rFonts w:ascii="Arial" w:hAnsi="Arial" w:cs="Arial"/>
        </w:rPr>
      </w:pPr>
    </w:p>
    <w:p w14:paraId="3BBA0594" w14:textId="6A74CF3D" w:rsidR="00CF0FC1" w:rsidRPr="004B3A13" w:rsidRDefault="00CF0FC1" w:rsidP="00966268">
      <w:pPr>
        <w:spacing w:line="480" w:lineRule="auto"/>
        <w:ind w:left="0"/>
        <w:jc w:val="both"/>
        <w:rPr>
          <w:rFonts w:ascii="Arial" w:hAnsi="Arial" w:cs="Arial"/>
        </w:rPr>
      </w:pPr>
    </w:p>
    <w:p w14:paraId="1E3F3426" w14:textId="2857ECA1" w:rsidR="00CF0FC1" w:rsidRPr="004B3A13" w:rsidRDefault="00CF0FC1" w:rsidP="00966268">
      <w:pPr>
        <w:spacing w:line="480" w:lineRule="auto"/>
        <w:ind w:left="0"/>
        <w:jc w:val="both"/>
        <w:rPr>
          <w:rFonts w:ascii="Arial" w:hAnsi="Arial" w:cs="Arial"/>
        </w:rPr>
      </w:pPr>
      <w:r w:rsidRPr="004B3A13">
        <w:rPr>
          <w:rFonts w:ascii="Arial" w:hAnsi="Arial" w:cs="Arial"/>
        </w:rPr>
        <w:t xml:space="preserve">RESPONDENT:                       </w:t>
      </w:r>
      <w:r w:rsidR="00050E67" w:rsidRPr="004B3A13">
        <w:rPr>
          <w:rFonts w:ascii="Arial" w:hAnsi="Arial" w:cs="Arial"/>
        </w:rPr>
        <w:t xml:space="preserve">    J J </w:t>
      </w:r>
      <w:r w:rsidR="00025B42" w:rsidRPr="004B3A13">
        <w:rPr>
          <w:rFonts w:ascii="Arial" w:hAnsi="Arial" w:cs="Arial"/>
        </w:rPr>
        <w:t>Gerber (with</w:t>
      </w:r>
      <w:r w:rsidR="00DF70E0" w:rsidRPr="004B3A13">
        <w:rPr>
          <w:rFonts w:ascii="Arial" w:hAnsi="Arial" w:cs="Arial"/>
        </w:rPr>
        <w:t xml:space="preserve"> him</w:t>
      </w:r>
      <w:r w:rsidR="00025B42" w:rsidRPr="004B3A13">
        <w:rPr>
          <w:rFonts w:ascii="Arial" w:hAnsi="Arial" w:cs="Arial"/>
        </w:rPr>
        <w:t xml:space="preserve"> </w:t>
      </w:r>
      <w:r w:rsidR="00712CA1" w:rsidRPr="004B3A13">
        <w:rPr>
          <w:rFonts w:ascii="Arial" w:hAnsi="Arial" w:cs="Arial"/>
        </w:rPr>
        <w:t xml:space="preserve">A </w:t>
      </w:r>
      <w:r w:rsidR="00481A90">
        <w:rPr>
          <w:rFonts w:ascii="Arial" w:hAnsi="Arial" w:cs="Arial"/>
        </w:rPr>
        <w:t xml:space="preserve">G </w:t>
      </w:r>
      <w:r w:rsidR="00712CA1" w:rsidRPr="004B3A13">
        <w:rPr>
          <w:rFonts w:ascii="Arial" w:hAnsi="Arial" w:cs="Arial"/>
        </w:rPr>
        <w:t>Ellis</w:t>
      </w:r>
      <w:r w:rsidR="00025B42" w:rsidRPr="004B3A13">
        <w:rPr>
          <w:rFonts w:ascii="Arial" w:hAnsi="Arial" w:cs="Arial"/>
        </w:rPr>
        <w:t>)</w:t>
      </w:r>
      <w:r w:rsidRPr="004B3A13">
        <w:rPr>
          <w:rFonts w:ascii="Arial" w:hAnsi="Arial" w:cs="Arial"/>
        </w:rPr>
        <w:t xml:space="preserve"> </w:t>
      </w:r>
    </w:p>
    <w:p w14:paraId="031CD52C" w14:textId="66ADF48B" w:rsidR="00CF0FC1" w:rsidRPr="004B3A13" w:rsidRDefault="00CF0FC1" w:rsidP="00966268">
      <w:pPr>
        <w:spacing w:line="480" w:lineRule="auto"/>
        <w:ind w:left="0"/>
        <w:jc w:val="both"/>
        <w:rPr>
          <w:rFonts w:ascii="Arial" w:hAnsi="Arial" w:cs="Arial"/>
        </w:rPr>
      </w:pPr>
      <w:r w:rsidRPr="004B3A13">
        <w:rPr>
          <w:rFonts w:ascii="Arial" w:hAnsi="Arial" w:cs="Arial"/>
        </w:rPr>
        <w:t xml:space="preserve">                                                     </w:t>
      </w:r>
      <w:r w:rsidR="00712CA1" w:rsidRPr="004B3A13">
        <w:rPr>
          <w:rFonts w:ascii="Arial" w:hAnsi="Arial" w:cs="Arial"/>
        </w:rPr>
        <w:t>Instructed by Ellis Attorneys</w:t>
      </w:r>
    </w:p>
    <w:sectPr w:rsidR="00CF0FC1" w:rsidRPr="004B3A13" w:rsidSect="00966268">
      <w:headerReference w:type="even" r:id="rId12"/>
      <w:headerReference w:type="default" r:id="rId13"/>
      <w:pgSz w:w="11906" w:h="16838"/>
      <w:pgMar w:top="1701"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92D0" w14:textId="77777777" w:rsidR="00A90E5D" w:rsidRDefault="00A90E5D" w:rsidP="00CE3EBE">
      <w:r>
        <w:separator/>
      </w:r>
    </w:p>
  </w:endnote>
  <w:endnote w:type="continuationSeparator" w:id="0">
    <w:p w14:paraId="795CDB67" w14:textId="77777777" w:rsidR="00A90E5D" w:rsidRDefault="00A90E5D" w:rsidP="00CE3EBE">
      <w:r>
        <w:continuationSeparator/>
      </w:r>
    </w:p>
  </w:endnote>
  <w:endnote w:type="continuationNotice" w:id="1">
    <w:p w14:paraId="677EC30B" w14:textId="77777777" w:rsidR="00A90E5D" w:rsidRDefault="00A90E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3B71" w14:textId="77777777" w:rsidR="00A90E5D" w:rsidRDefault="00A90E5D" w:rsidP="004C2628">
      <w:pPr>
        <w:ind w:left="0"/>
      </w:pPr>
      <w:r>
        <w:separator/>
      </w:r>
    </w:p>
  </w:footnote>
  <w:footnote w:type="continuationSeparator" w:id="0">
    <w:p w14:paraId="36A2F12E" w14:textId="77777777" w:rsidR="00A90E5D" w:rsidRDefault="00A90E5D" w:rsidP="00CE3EBE">
      <w:r>
        <w:continuationSeparator/>
      </w:r>
    </w:p>
  </w:footnote>
  <w:footnote w:type="continuationNotice" w:id="1">
    <w:p w14:paraId="5FC8B89E" w14:textId="77777777" w:rsidR="00A90E5D" w:rsidRDefault="00A90E5D">
      <w:pPr>
        <w:spacing w:line="240" w:lineRule="auto"/>
      </w:pPr>
    </w:p>
  </w:footnote>
  <w:footnote w:id="2">
    <w:p w14:paraId="34D9F8AF" w14:textId="6FA4185F"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Pr>
          <w:rFonts w:ascii="Arial" w:hAnsi="Arial" w:cs="Arial"/>
        </w:rPr>
        <w:t xml:space="preserve">In, for example, </w:t>
      </w:r>
      <w:r w:rsidRPr="006C13EF">
        <w:rPr>
          <w:rFonts w:ascii="Arial" w:hAnsi="Arial" w:cs="Arial"/>
          <w:i/>
        </w:rPr>
        <w:t xml:space="preserve">Road Fund Administration v Skorpion Mining Company (Pty) Ltd </w:t>
      </w:r>
      <w:r w:rsidRPr="006C13EF">
        <w:rPr>
          <w:rFonts w:ascii="Arial" w:hAnsi="Arial" w:cs="Arial"/>
        </w:rPr>
        <w:t xml:space="preserve">2018 (3) NR 829 (SC) paras 2-3 and </w:t>
      </w:r>
      <w:r w:rsidRPr="006C13EF">
        <w:rPr>
          <w:rFonts w:ascii="Arial" w:hAnsi="Arial" w:cs="Arial"/>
          <w:i/>
        </w:rPr>
        <w:t>Namrights Inc v Government of Namibia &amp; 18 others</w:t>
      </w:r>
      <w:r w:rsidRPr="006C13EF">
        <w:rPr>
          <w:rFonts w:ascii="Arial" w:hAnsi="Arial" w:cs="Arial"/>
        </w:rPr>
        <w:t xml:space="preserve"> (SA 87-2019) [2023] NASC (28 April 2023).</w:t>
      </w:r>
    </w:p>
  </w:footnote>
  <w:footnote w:id="3">
    <w:p w14:paraId="26462007" w14:textId="5A0B9D12"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Pr="006C13EF">
        <w:rPr>
          <w:rFonts w:ascii="Arial" w:hAnsi="Arial" w:cs="Arial"/>
          <w:i/>
          <w:iCs/>
        </w:rPr>
        <w:t xml:space="preserve">Alex Kamwi </w:t>
      </w:r>
      <w:r>
        <w:rPr>
          <w:rFonts w:ascii="Arial" w:hAnsi="Arial" w:cs="Arial"/>
          <w:i/>
          <w:iCs/>
        </w:rPr>
        <w:t xml:space="preserve">v LSN v The PG v LSN &amp; Steinmann </w:t>
      </w:r>
      <w:r w:rsidRPr="00FB1A6D">
        <w:rPr>
          <w:rFonts w:ascii="Arial" w:hAnsi="Arial" w:cs="Arial"/>
          <w:iCs/>
        </w:rPr>
        <w:t xml:space="preserve">(SA </w:t>
      </w:r>
      <w:r>
        <w:rPr>
          <w:rFonts w:ascii="Arial" w:hAnsi="Arial" w:cs="Arial"/>
          <w:iCs/>
        </w:rPr>
        <w:t>56</w:t>
      </w:r>
      <w:r w:rsidRPr="00FB1A6D">
        <w:rPr>
          <w:rFonts w:ascii="Arial" w:hAnsi="Arial" w:cs="Arial"/>
          <w:iCs/>
        </w:rPr>
        <w:t>-2020 SA 43-2021 SA 44-2021</w:t>
      </w:r>
      <w:r w:rsidR="009F42E2">
        <w:rPr>
          <w:rFonts w:ascii="Arial" w:hAnsi="Arial" w:cs="Arial"/>
          <w:iCs/>
        </w:rPr>
        <w:t>)</w:t>
      </w:r>
      <w:r w:rsidRPr="00FB1A6D">
        <w:rPr>
          <w:rFonts w:ascii="Arial" w:hAnsi="Arial" w:cs="Arial"/>
          <w:iCs/>
        </w:rPr>
        <w:t xml:space="preserve"> [2023] NASC (10 October 2023)</w:t>
      </w:r>
      <w:r>
        <w:rPr>
          <w:rFonts w:ascii="Arial" w:hAnsi="Arial" w:cs="Arial"/>
          <w:i/>
          <w:iCs/>
        </w:rPr>
        <w:t xml:space="preserve"> </w:t>
      </w:r>
      <w:r w:rsidRPr="006C13EF">
        <w:rPr>
          <w:rFonts w:ascii="Arial" w:hAnsi="Arial" w:cs="Arial"/>
        </w:rPr>
        <w:t>para 19.</w:t>
      </w:r>
    </w:p>
  </w:footnote>
  <w:footnote w:id="4">
    <w:p w14:paraId="45E08BDC" w14:textId="7BFECA70" w:rsidR="0037354B" w:rsidRPr="006C13EF" w:rsidRDefault="0037354B" w:rsidP="00BA29C0">
      <w:pPr>
        <w:pStyle w:val="FootnoteText"/>
        <w:ind w:hanging="709"/>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Pr="006C13EF">
        <w:rPr>
          <w:rFonts w:ascii="Arial" w:hAnsi="Arial" w:cs="Arial"/>
          <w:i/>
          <w:iCs/>
          <w:color w:val="000000" w:themeColor="text1"/>
          <w:lang w:val="en-US"/>
        </w:rPr>
        <w:t xml:space="preserve">De Klerk v Penderis </w:t>
      </w:r>
      <w:r>
        <w:rPr>
          <w:rFonts w:ascii="Arial" w:hAnsi="Arial" w:cs="Arial"/>
          <w:i/>
          <w:iCs/>
          <w:color w:val="000000" w:themeColor="text1"/>
          <w:lang w:val="en-US"/>
        </w:rPr>
        <w:t>&amp;</w:t>
      </w:r>
      <w:r w:rsidRPr="006C13EF">
        <w:rPr>
          <w:rFonts w:ascii="Arial" w:hAnsi="Arial" w:cs="Arial"/>
          <w:i/>
          <w:iCs/>
          <w:color w:val="000000" w:themeColor="text1"/>
          <w:lang w:val="en-US"/>
        </w:rPr>
        <w:t xml:space="preserve"> </w:t>
      </w:r>
      <w:r>
        <w:rPr>
          <w:rFonts w:ascii="Arial" w:hAnsi="Arial" w:cs="Arial"/>
          <w:i/>
          <w:iCs/>
          <w:color w:val="000000" w:themeColor="text1"/>
          <w:lang w:val="en-US"/>
        </w:rPr>
        <w:t>o</w:t>
      </w:r>
      <w:r w:rsidRPr="006C13EF">
        <w:rPr>
          <w:rFonts w:ascii="Arial" w:hAnsi="Arial" w:cs="Arial"/>
          <w:i/>
          <w:iCs/>
          <w:color w:val="000000" w:themeColor="text1"/>
          <w:lang w:val="en-US"/>
        </w:rPr>
        <w:t xml:space="preserve">thers </w:t>
      </w:r>
      <w:r w:rsidR="001F7E56">
        <w:rPr>
          <w:rFonts w:ascii="Arial" w:hAnsi="Arial" w:cs="Arial"/>
          <w:iCs/>
          <w:color w:val="000000" w:themeColor="text1"/>
          <w:lang w:val="en-US"/>
        </w:rPr>
        <w:t xml:space="preserve">2023 (1) NR 177 (SC) </w:t>
      </w:r>
      <w:r w:rsidRPr="006C13EF">
        <w:rPr>
          <w:rFonts w:ascii="Arial" w:hAnsi="Arial" w:cs="Arial"/>
          <w:color w:val="000000" w:themeColor="text1"/>
          <w:lang w:val="en-US"/>
        </w:rPr>
        <w:t>para 21.</w:t>
      </w:r>
    </w:p>
  </w:footnote>
  <w:footnote w:id="5">
    <w:p w14:paraId="16E9C676" w14:textId="5BD5A0CF" w:rsidR="0037354B" w:rsidRPr="006C13EF" w:rsidRDefault="0037354B" w:rsidP="00BA29C0">
      <w:pPr>
        <w:pStyle w:val="FootnoteText"/>
        <w:ind w:left="709" w:hanging="72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Id</w:t>
      </w:r>
      <w:r w:rsidRPr="006C13EF">
        <w:rPr>
          <w:rFonts w:ascii="Arial" w:hAnsi="Arial" w:cs="Arial"/>
          <w:i/>
          <w:iCs/>
        </w:rPr>
        <w:t xml:space="preserve"> </w:t>
      </w:r>
      <w:r w:rsidRPr="006C13EF">
        <w:rPr>
          <w:rFonts w:ascii="Arial" w:hAnsi="Arial" w:cs="Arial"/>
        </w:rPr>
        <w:t>para 49.</w:t>
      </w:r>
    </w:p>
  </w:footnote>
  <w:footnote w:id="6">
    <w:p w14:paraId="2B6B7D62" w14:textId="033338CC" w:rsidR="0037354B" w:rsidRPr="006C13EF" w:rsidRDefault="0037354B" w:rsidP="00BA29C0">
      <w:pPr>
        <w:pStyle w:val="FootnoteText"/>
        <w:ind w:hanging="709"/>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000444A0" w:rsidRPr="009840A9">
        <w:rPr>
          <w:rFonts w:ascii="Arial" w:hAnsi="Arial" w:cs="Arial"/>
          <w:i/>
          <w:iCs/>
          <w:color w:val="000000"/>
        </w:rPr>
        <w:t>Teek &amp; another v Walters &amp; another</w:t>
      </w:r>
      <w:r w:rsidR="000444A0" w:rsidRPr="006C13EF">
        <w:rPr>
          <w:rFonts w:ascii="Arial" w:hAnsi="Arial" w:cs="Arial"/>
        </w:rPr>
        <w:t xml:space="preserve"> </w:t>
      </w:r>
      <w:r w:rsidRPr="006C13EF">
        <w:rPr>
          <w:rFonts w:ascii="Arial" w:hAnsi="Arial" w:cs="Arial"/>
        </w:rPr>
        <w:t xml:space="preserve">2021 (3) NR 622 (SC) </w:t>
      </w:r>
      <w:r w:rsidRPr="006C13EF">
        <w:rPr>
          <w:rFonts w:ascii="Arial" w:hAnsi="Arial" w:cs="Arial"/>
          <w:lang w:val="en-US"/>
        </w:rPr>
        <w:t>para 21.</w:t>
      </w:r>
    </w:p>
  </w:footnote>
  <w:footnote w:id="7">
    <w:p w14:paraId="58FF2931" w14:textId="5D0C546D" w:rsidR="0037354B" w:rsidRPr="00966268" w:rsidRDefault="0037354B" w:rsidP="009B569A">
      <w:pPr>
        <w:pStyle w:val="FootnoteText"/>
        <w:ind w:left="0"/>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Pr="00966268">
        <w:rPr>
          <w:rFonts w:ascii="Arial" w:hAnsi="Arial" w:cs="Arial"/>
          <w:lang w:val="en-US"/>
        </w:rPr>
        <w:t>Id.</w:t>
      </w:r>
    </w:p>
  </w:footnote>
  <w:footnote w:id="8">
    <w:p w14:paraId="74227D5F" w14:textId="6E605A55" w:rsidR="0037354B" w:rsidRPr="00966268" w:rsidRDefault="0037354B" w:rsidP="009B569A">
      <w:pPr>
        <w:pStyle w:val="FootnoteText"/>
        <w:ind w:left="0"/>
        <w:rPr>
          <w:rFonts w:ascii="Arial" w:hAnsi="Arial" w:cs="Arial"/>
          <w:b/>
          <w:bCs/>
          <w:lang w:val="en-US"/>
        </w:rPr>
      </w:pPr>
      <w:r w:rsidRPr="00966268">
        <w:rPr>
          <w:rStyle w:val="FootnoteReference"/>
          <w:rFonts w:ascii="Arial" w:hAnsi="Arial" w:cs="Arial"/>
        </w:rPr>
        <w:footnoteRef/>
      </w:r>
      <w:r w:rsidRPr="00966268">
        <w:rPr>
          <w:rFonts w:ascii="Arial" w:hAnsi="Arial" w:cs="Arial"/>
        </w:rPr>
        <w:t xml:space="preserve"> </w:t>
      </w:r>
      <w:r w:rsidRPr="00966268">
        <w:rPr>
          <w:rFonts w:ascii="Arial" w:hAnsi="Arial" w:cs="Arial"/>
          <w:i/>
          <w:iCs/>
        </w:rPr>
        <w:t xml:space="preserve">Solsquare Energy </w:t>
      </w:r>
      <w:r w:rsidR="00C45C1D" w:rsidRPr="00966268">
        <w:rPr>
          <w:rFonts w:ascii="Arial" w:hAnsi="Arial" w:cs="Arial"/>
          <w:i/>
          <w:iCs/>
        </w:rPr>
        <w:t xml:space="preserve">(Pty) </w:t>
      </w:r>
      <w:r w:rsidRPr="00966268">
        <w:rPr>
          <w:rFonts w:ascii="Arial" w:hAnsi="Arial" w:cs="Arial"/>
          <w:i/>
          <w:iCs/>
        </w:rPr>
        <w:t xml:space="preserve">Ltd v Lühl </w:t>
      </w:r>
      <w:r w:rsidRPr="00966268">
        <w:rPr>
          <w:rFonts w:ascii="Arial" w:hAnsi="Arial" w:cs="Arial"/>
        </w:rPr>
        <w:t>2022 (3) NR 899 (SC) para 61</w:t>
      </w:r>
      <w:r w:rsidR="00881EDA">
        <w:rPr>
          <w:rFonts w:ascii="Arial" w:hAnsi="Arial" w:cs="Arial"/>
        </w:rPr>
        <w:t>.</w:t>
      </w:r>
    </w:p>
  </w:footnote>
  <w:footnote w:id="9">
    <w:p w14:paraId="49806F7F" w14:textId="13BD9084" w:rsidR="0037354B" w:rsidRPr="00966268" w:rsidRDefault="0037354B" w:rsidP="00BA29C0">
      <w:pPr>
        <w:pStyle w:val="FootnoteText"/>
        <w:ind w:hanging="709"/>
        <w:jc w:val="both"/>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Pr="00966268">
        <w:rPr>
          <w:rFonts w:ascii="Arial" w:hAnsi="Arial" w:cs="Arial"/>
          <w:i/>
          <w:iCs/>
          <w:lang w:val="en-US"/>
        </w:rPr>
        <w:t>Alex Kamwi</w:t>
      </w:r>
      <w:r w:rsidRPr="00966268">
        <w:rPr>
          <w:rFonts w:ascii="Arial" w:hAnsi="Arial" w:cs="Arial"/>
          <w:lang w:val="en-US"/>
        </w:rPr>
        <w:t xml:space="preserve"> para 24.</w:t>
      </w:r>
    </w:p>
  </w:footnote>
  <w:footnote w:id="10">
    <w:p w14:paraId="3E2E03D9" w14:textId="670500A9"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000444A0" w:rsidRPr="000B7DD2">
        <w:rPr>
          <w:rFonts w:ascii="Arial" w:hAnsi="Arial" w:cs="Arial"/>
          <w:i/>
          <w:iCs/>
          <w:lang w:val="en-US"/>
        </w:rPr>
        <w:t>Katjaimo v Katjaimo</w:t>
      </w:r>
      <w:r w:rsidR="000444A0" w:rsidRPr="006C13EF">
        <w:rPr>
          <w:rFonts w:ascii="Arial" w:hAnsi="Arial" w:cs="Arial"/>
        </w:rPr>
        <w:t xml:space="preserve"> </w:t>
      </w:r>
      <w:r w:rsidRPr="006C13EF">
        <w:rPr>
          <w:rFonts w:ascii="Arial" w:hAnsi="Arial" w:cs="Arial"/>
        </w:rPr>
        <w:t>2015 (2) NR 340 (SC) para 25.</w:t>
      </w:r>
    </w:p>
  </w:footnote>
  <w:footnote w:id="11">
    <w:p w14:paraId="1AABF19F" w14:textId="53DD4697"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000444A0" w:rsidRPr="000B7DD2">
        <w:rPr>
          <w:rFonts w:ascii="Arial" w:hAnsi="Arial" w:cs="Arial"/>
          <w:i/>
          <w:iCs/>
          <w:lang w:val="en-US"/>
        </w:rPr>
        <w:t>Arangies t/a Auto Tech v Quick Build</w:t>
      </w:r>
      <w:r w:rsidR="000444A0" w:rsidRPr="006C13EF">
        <w:rPr>
          <w:rFonts w:ascii="Arial" w:hAnsi="Arial" w:cs="Arial"/>
        </w:rPr>
        <w:t xml:space="preserve"> </w:t>
      </w:r>
      <w:r w:rsidRPr="006C13EF">
        <w:rPr>
          <w:rFonts w:ascii="Arial" w:hAnsi="Arial" w:cs="Arial"/>
        </w:rPr>
        <w:t>2014 (1) NR 187 (SC) para 4.</w:t>
      </w:r>
    </w:p>
  </w:footnote>
  <w:footnote w:id="12">
    <w:p w14:paraId="5AEEE11F" w14:textId="37062D85"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000444A0" w:rsidRPr="000B7DD2">
        <w:rPr>
          <w:rFonts w:ascii="Arial" w:hAnsi="Arial" w:cs="Arial"/>
          <w:i/>
          <w:iCs/>
          <w:lang w:val="en-US"/>
        </w:rPr>
        <w:t xml:space="preserve">Beukes </w:t>
      </w:r>
      <w:r w:rsidR="000444A0">
        <w:rPr>
          <w:rFonts w:ascii="Arial" w:hAnsi="Arial" w:cs="Arial"/>
          <w:i/>
          <w:iCs/>
          <w:lang w:val="en-US"/>
        </w:rPr>
        <w:t>&amp; a</w:t>
      </w:r>
      <w:r w:rsidR="000444A0" w:rsidRPr="000B7DD2">
        <w:rPr>
          <w:rFonts w:ascii="Arial" w:hAnsi="Arial" w:cs="Arial"/>
          <w:i/>
          <w:iCs/>
          <w:lang w:val="en-US"/>
        </w:rPr>
        <w:t>nother v South West Africa Building Society</w:t>
      </w:r>
      <w:r w:rsidR="000444A0" w:rsidRPr="000B7DD2">
        <w:rPr>
          <w:rFonts w:ascii="Arial" w:hAnsi="Arial" w:cs="Arial"/>
          <w:lang w:val="en-US"/>
        </w:rPr>
        <w:t xml:space="preserve"> </w:t>
      </w:r>
      <w:r w:rsidR="000444A0">
        <w:rPr>
          <w:rFonts w:ascii="Arial" w:hAnsi="Arial" w:cs="Arial"/>
          <w:i/>
          <w:iCs/>
          <w:lang w:val="en-US"/>
        </w:rPr>
        <w:t>&amp;</w:t>
      </w:r>
      <w:r w:rsidR="000444A0" w:rsidRPr="000B7DD2">
        <w:rPr>
          <w:rFonts w:ascii="Arial" w:hAnsi="Arial" w:cs="Arial"/>
          <w:i/>
          <w:iCs/>
          <w:lang w:val="en-US"/>
        </w:rPr>
        <w:t xml:space="preserve"> </w:t>
      </w:r>
      <w:r w:rsidR="000444A0">
        <w:rPr>
          <w:rFonts w:ascii="Arial" w:hAnsi="Arial" w:cs="Arial"/>
          <w:i/>
          <w:iCs/>
          <w:lang w:val="en-US"/>
        </w:rPr>
        <w:t>o</w:t>
      </w:r>
      <w:r w:rsidR="000444A0" w:rsidRPr="000B7DD2">
        <w:rPr>
          <w:rFonts w:ascii="Arial" w:hAnsi="Arial" w:cs="Arial"/>
          <w:i/>
          <w:iCs/>
          <w:lang w:val="en-US"/>
        </w:rPr>
        <w:t>thers</w:t>
      </w:r>
      <w:r w:rsidR="000444A0" w:rsidRPr="006C13EF">
        <w:rPr>
          <w:rFonts w:ascii="Arial" w:hAnsi="Arial" w:cs="Arial"/>
        </w:rPr>
        <w:t xml:space="preserve"> </w:t>
      </w:r>
      <w:r w:rsidRPr="006C13EF">
        <w:rPr>
          <w:rFonts w:ascii="Arial" w:hAnsi="Arial" w:cs="Arial"/>
        </w:rPr>
        <w:t>(SA 10-2006) [2010] NASC 14 (5 November 2010) para 12.</w:t>
      </w:r>
    </w:p>
  </w:footnote>
  <w:footnote w:id="13">
    <w:p w14:paraId="33FC0A71" w14:textId="78A92471" w:rsidR="0037354B" w:rsidRPr="006C13EF" w:rsidRDefault="0037354B" w:rsidP="000C0408">
      <w:pPr>
        <w:pStyle w:val="FootnoteText"/>
        <w:spacing w:line="240" w:lineRule="auto"/>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Id para 92.</w:t>
      </w:r>
    </w:p>
  </w:footnote>
  <w:footnote w:id="14">
    <w:p w14:paraId="1318AFF3" w14:textId="53C46BC4" w:rsidR="0037354B" w:rsidRPr="00FB1A6D" w:rsidRDefault="0037354B" w:rsidP="000C0408">
      <w:pPr>
        <w:pStyle w:val="FootnoteText"/>
        <w:spacing w:line="240" w:lineRule="auto"/>
        <w:ind w:left="0"/>
        <w:rPr>
          <w:rFonts w:ascii="Arial" w:hAnsi="Arial" w:cs="Arial"/>
          <w:lang w:val="en-US"/>
        </w:rPr>
      </w:pPr>
      <w:r w:rsidRPr="00FB1A6D">
        <w:rPr>
          <w:rStyle w:val="FootnoteReference"/>
          <w:rFonts w:ascii="Arial" w:hAnsi="Arial" w:cs="Arial"/>
        </w:rPr>
        <w:footnoteRef/>
      </w:r>
      <w:r w:rsidRPr="00FB1A6D">
        <w:rPr>
          <w:rFonts w:ascii="Arial" w:hAnsi="Arial" w:cs="Arial"/>
        </w:rPr>
        <w:t xml:space="preserve"> </w:t>
      </w:r>
      <w:r w:rsidRPr="00FB1A6D">
        <w:rPr>
          <w:rFonts w:ascii="Arial" w:hAnsi="Arial" w:cs="Arial"/>
          <w:i/>
        </w:rPr>
        <w:t>Channel Life Namibia (Pty) Ltd v Otto</w:t>
      </w:r>
      <w:r w:rsidRPr="00FB1A6D">
        <w:rPr>
          <w:rFonts w:ascii="Arial" w:hAnsi="Arial" w:cs="Arial"/>
        </w:rPr>
        <w:t xml:space="preserve"> 2008 (2) NR 432 (SC) paras 47– 48. </w:t>
      </w:r>
    </w:p>
    <w:p w14:paraId="3A0636A2" w14:textId="77777777" w:rsidR="0037354B" w:rsidRPr="00FB1A6D" w:rsidRDefault="0037354B" w:rsidP="000C0408">
      <w:pPr>
        <w:pStyle w:val="FootnoteText"/>
        <w:spacing w:line="240" w:lineRule="auto"/>
        <w:rPr>
          <w:lang w:val="en-US"/>
        </w:rPr>
      </w:pPr>
    </w:p>
  </w:footnote>
  <w:footnote w:id="15">
    <w:p w14:paraId="7E654D75" w14:textId="0BE809B3"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0021759D" w:rsidRPr="00FB1A6D">
        <w:rPr>
          <w:rFonts w:ascii="Arial" w:eastAsia="Arial" w:hAnsi="Arial" w:cs="Arial"/>
          <w:i/>
          <w:iCs/>
          <w:lang w:val="en-US"/>
        </w:rPr>
        <w:t>Government of the Republic of Namibia v Benhardt Lazarus</w:t>
      </w:r>
      <w:r w:rsidR="0021759D" w:rsidRPr="0021759D">
        <w:rPr>
          <w:rFonts w:ascii="Arial" w:hAnsi="Arial" w:cs="Arial"/>
        </w:rPr>
        <w:t xml:space="preserve"> </w:t>
      </w:r>
      <w:r w:rsidRPr="006C13EF">
        <w:rPr>
          <w:rFonts w:ascii="Arial" w:hAnsi="Arial" w:cs="Arial"/>
        </w:rPr>
        <w:t>(SA 54 of 2017) [2022] NASC 11 (6 April 2022) paras 27-32.</w:t>
      </w:r>
    </w:p>
  </w:footnote>
  <w:footnote w:id="16">
    <w:p w14:paraId="20ED8E06" w14:textId="793B2A4B" w:rsidR="009A7A89" w:rsidRPr="00FB1A6D" w:rsidRDefault="009A7A89" w:rsidP="00FB1A6D">
      <w:pPr>
        <w:pStyle w:val="FootnoteText"/>
        <w:ind w:left="0"/>
        <w:rPr>
          <w:lang w:val="en-US"/>
        </w:rPr>
      </w:pPr>
      <w:r w:rsidRPr="00FB1A6D">
        <w:rPr>
          <w:rStyle w:val="FootnoteReference"/>
          <w:rFonts w:ascii="Arial" w:hAnsi="Arial" w:cs="Arial"/>
        </w:rPr>
        <w:footnoteRef/>
      </w:r>
      <w:r w:rsidRPr="00FB1A6D">
        <w:rPr>
          <w:rFonts w:ascii="Arial" w:hAnsi="Arial" w:cs="Arial"/>
        </w:rPr>
        <w:t xml:space="preserve"> </w:t>
      </w:r>
      <w:r w:rsidR="009D36C4" w:rsidRPr="00FB1A6D">
        <w:rPr>
          <w:rFonts w:ascii="Arial" w:hAnsi="Arial" w:cs="Arial"/>
          <w:i/>
        </w:rPr>
        <w:t>Government of the Republic of Namibia v Ndjembo</w:t>
      </w:r>
      <w:r w:rsidR="009D36C4">
        <w:rPr>
          <w:rFonts w:ascii="Arial" w:hAnsi="Arial" w:cs="Arial"/>
        </w:rPr>
        <w:t xml:space="preserve"> 2020 (4) NR 1193 (SC)</w:t>
      </w:r>
      <w:r w:rsidRPr="00FB1A6D">
        <w:rPr>
          <w:rFonts w:ascii="Arial" w:hAnsi="Arial" w:cs="Arial"/>
        </w:rPr>
        <w:t xml:space="preserve"> par</w:t>
      </w:r>
      <w:r>
        <w:rPr>
          <w:rFonts w:ascii="Arial" w:hAnsi="Arial" w:cs="Arial"/>
        </w:rPr>
        <w:t>a</w:t>
      </w:r>
      <w:r w:rsidRPr="00FB1A6D">
        <w:rPr>
          <w:rFonts w:ascii="Arial" w:hAnsi="Arial" w:cs="Arial"/>
        </w:rPr>
        <w:t xml:space="preserve"> 15</w:t>
      </w:r>
      <w:r w:rsidR="00662D1E">
        <w:rPr>
          <w:rFonts w:ascii="Arial" w:hAnsi="Arial" w:cs="Arial"/>
        </w:rPr>
        <w:t>.</w:t>
      </w:r>
    </w:p>
  </w:footnote>
  <w:footnote w:id="17">
    <w:p w14:paraId="4723FB8C" w14:textId="1002C7B4" w:rsidR="0037354B" w:rsidRPr="00966268" w:rsidRDefault="0037354B" w:rsidP="00841105">
      <w:pPr>
        <w:pStyle w:val="Body"/>
        <w:spacing w:after="0" w:line="240" w:lineRule="auto"/>
        <w:ind w:left="0"/>
        <w:jc w:val="both"/>
        <w:rPr>
          <w:rFonts w:ascii="Arial" w:eastAsia="Arial" w:hAnsi="Arial" w:cs="Arial"/>
          <w:sz w:val="20"/>
          <w:szCs w:val="20"/>
          <w:lang w:val="en-US"/>
        </w:rPr>
      </w:pPr>
      <w:r w:rsidRPr="006C13EF">
        <w:rPr>
          <w:rStyle w:val="FootnoteReference"/>
          <w:rFonts w:ascii="Arial" w:hAnsi="Arial" w:cs="Arial"/>
          <w:sz w:val="20"/>
          <w:szCs w:val="20"/>
        </w:rPr>
        <w:footnoteRef/>
      </w:r>
      <w:r w:rsidRPr="006C13EF">
        <w:rPr>
          <w:rFonts w:ascii="Arial" w:hAnsi="Arial" w:cs="Arial"/>
          <w:sz w:val="20"/>
          <w:szCs w:val="20"/>
        </w:rPr>
        <w:t xml:space="preserve"> </w:t>
      </w:r>
      <w:r w:rsidR="009D36C4" w:rsidRPr="00966268">
        <w:rPr>
          <w:rFonts w:ascii="Arial" w:hAnsi="Arial" w:cs="Arial"/>
          <w:sz w:val="20"/>
          <w:szCs w:val="20"/>
        </w:rPr>
        <w:t xml:space="preserve">Id </w:t>
      </w:r>
      <w:r w:rsidR="00824A5F" w:rsidRPr="00966268">
        <w:rPr>
          <w:rFonts w:ascii="Arial" w:hAnsi="Arial" w:cs="Arial"/>
          <w:sz w:val="20"/>
          <w:szCs w:val="20"/>
        </w:rPr>
        <w:t>p</w:t>
      </w:r>
      <w:r w:rsidR="009D36C4" w:rsidRPr="00966268">
        <w:rPr>
          <w:rFonts w:ascii="Arial" w:hAnsi="Arial" w:cs="Arial"/>
          <w:sz w:val="20"/>
          <w:szCs w:val="20"/>
        </w:rPr>
        <w:t>ara 20</w:t>
      </w:r>
      <w:r w:rsidRPr="00966268">
        <w:rPr>
          <w:rFonts w:ascii="Arial" w:hAnsi="Arial" w:cs="Arial"/>
          <w:sz w:val="20"/>
          <w:szCs w:val="20"/>
          <w:lang w:val="en-US"/>
        </w:rPr>
        <w:t>.</w:t>
      </w:r>
    </w:p>
  </w:footnote>
  <w:footnote w:id="18">
    <w:p w14:paraId="0CD4D713" w14:textId="174A5199" w:rsidR="0037354B" w:rsidRPr="00966268" w:rsidRDefault="0037354B" w:rsidP="00D16745">
      <w:pPr>
        <w:pStyle w:val="FootnoteText"/>
        <w:spacing w:line="240" w:lineRule="auto"/>
        <w:ind w:left="0"/>
        <w:jc w:val="both"/>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00961F03" w:rsidRPr="00966268">
        <w:rPr>
          <w:rFonts w:ascii="Arial" w:eastAsia="Arial" w:hAnsi="Arial" w:cs="Arial"/>
          <w:i/>
          <w:iCs/>
          <w:lang w:val="en-US"/>
        </w:rPr>
        <w:t xml:space="preserve">Isaacs v Minister van Wet en </w:t>
      </w:r>
      <w:r w:rsidR="00906004" w:rsidRPr="00966268">
        <w:rPr>
          <w:rFonts w:ascii="Arial" w:eastAsia="Arial" w:hAnsi="Arial" w:cs="Arial"/>
          <w:i/>
          <w:iCs/>
          <w:lang w:val="en-US"/>
        </w:rPr>
        <w:t>Or</w:t>
      </w:r>
      <w:r w:rsidR="00961F03" w:rsidRPr="00966268">
        <w:rPr>
          <w:rFonts w:ascii="Arial" w:eastAsia="Arial" w:hAnsi="Arial" w:cs="Arial"/>
          <w:i/>
          <w:iCs/>
          <w:lang w:val="en-US"/>
        </w:rPr>
        <w:t>de</w:t>
      </w:r>
      <w:r w:rsidR="00961F03" w:rsidRPr="00966268">
        <w:rPr>
          <w:rFonts w:ascii="Arial" w:hAnsi="Arial" w:cs="Arial"/>
        </w:rPr>
        <w:t xml:space="preserve"> </w:t>
      </w:r>
      <w:r w:rsidRPr="00966268">
        <w:rPr>
          <w:rFonts w:ascii="Arial" w:hAnsi="Arial" w:cs="Arial"/>
        </w:rPr>
        <w:t>1996 (1) SACR 314 (A).</w:t>
      </w:r>
    </w:p>
  </w:footnote>
  <w:footnote w:id="19">
    <w:p w14:paraId="0943AADB" w14:textId="28D25848" w:rsidR="0037354B" w:rsidRPr="00966268" w:rsidRDefault="0037354B" w:rsidP="00BA29C0">
      <w:pPr>
        <w:pStyle w:val="FootnoteText"/>
        <w:ind w:left="0"/>
        <w:jc w:val="both"/>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Pr="00966268">
        <w:rPr>
          <w:rFonts w:ascii="Arial" w:hAnsi="Arial" w:cs="Arial"/>
          <w:lang w:val="en-US"/>
        </w:rPr>
        <w:t>At pages 16 -</w:t>
      </w:r>
      <w:r w:rsidR="00824A5F" w:rsidRPr="00966268">
        <w:rPr>
          <w:rFonts w:ascii="Arial" w:hAnsi="Arial" w:cs="Arial"/>
          <w:lang w:val="en-US"/>
        </w:rPr>
        <w:t xml:space="preserve"> </w:t>
      </w:r>
      <w:r w:rsidRPr="00966268">
        <w:rPr>
          <w:rFonts w:ascii="Arial" w:hAnsi="Arial" w:cs="Arial"/>
          <w:lang w:val="en-US"/>
        </w:rPr>
        <w:t>17.</w:t>
      </w:r>
    </w:p>
  </w:footnote>
  <w:footnote w:id="20">
    <w:p w14:paraId="7CEFDD26" w14:textId="289187EB" w:rsidR="0037354B" w:rsidRPr="00966268" w:rsidRDefault="0037354B" w:rsidP="00BA29C0">
      <w:pPr>
        <w:pStyle w:val="FootnoteText"/>
        <w:ind w:left="0"/>
        <w:jc w:val="both"/>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00C77396" w:rsidRPr="00966268">
        <w:rPr>
          <w:rFonts w:ascii="Arial" w:eastAsia="Arial" w:hAnsi="Arial" w:cs="Arial"/>
          <w:i/>
          <w:iCs/>
          <w:lang w:val="en-US"/>
        </w:rPr>
        <w:t>R v Mazema</w:t>
      </w:r>
      <w:r w:rsidR="00C77396" w:rsidRPr="00966268">
        <w:rPr>
          <w:rFonts w:ascii="Arial" w:hAnsi="Arial" w:cs="Arial"/>
        </w:rPr>
        <w:t xml:space="preserve"> </w:t>
      </w:r>
      <w:r w:rsidRPr="00966268">
        <w:rPr>
          <w:rFonts w:ascii="Arial" w:hAnsi="Arial" w:cs="Arial"/>
        </w:rPr>
        <w:t>1948 (2) SA 152 (E) at 154.</w:t>
      </w:r>
    </w:p>
  </w:footnote>
  <w:footnote w:id="21">
    <w:p w14:paraId="4C8D95DA" w14:textId="7217F9F7" w:rsidR="0037354B" w:rsidRPr="00966268" w:rsidRDefault="0037354B" w:rsidP="00BA29C0">
      <w:pPr>
        <w:pStyle w:val="FootnoteText"/>
        <w:ind w:left="0"/>
        <w:jc w:val="both"/>
        <w:rPr>
          <w:rFonts w:ascii="Arial" w:hAnsi="Arial" w:cs="Arial"/>
          <w:lang w:val="en-US"/>
        </w:rPr>
      </w:pPr>
      <w:r w:rsidRPr="00966268">
        <w:rPr>
          <w:rStyle w:val="FootnoteReference"/>
          <w:rFonts w:ascii="Arial" w:hAnsi="Arial" w:cs="Arial"/>
        </w:rPr>
        <w:footnoteRef/>
      </w:r>
      <w:r w:rsidRPr="00966268">
        <w:rPr>
          <w:rFonts w:ascii="Arial" w:hAnsi="Arial" w:cs="Arial"/>
        </w:rPr>
        <w:t xml:space="preserve"> </w:t>
      </w:r>
      <w:r w:rsidR="00C77396" w:rsidRPr="00966268">
        <w:rPr>
          <w:rFonts w:ascii="Arial" w:hAnsi="Arial" w:cs="Arial"/>
        </w:rPr>
        <w:t>A</w:t>
      </w:r>
      <w:r w:rsidRPr="00966268">
        <w:rPr>
          <w:rFonts w:ascii="Arial" w:hAnsi="Arial" w:cs="Arial"/>
        </w:rPr>
        <w:t xml:space="preserve">t </w:t>
      </w:r>
      <w:r w:rsidRPr="00966268">
        <w:rPr>
          <w:rFonts w:ascii="Arial" w:hAnsi="Arial" w:cs="Arial"/>
          <w:lang w:val="en-US"/>
        </w:rPr>
        <w:t>321d.</w:t>
      </w:r>
    </w:p>
  </w:footnote>
  <w:footnote w:id="22">
    <w:p w14:paraId="5A6FE96D" w14:textId="1CDD7065"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Id </w:t>
      </w:r>
      <w:r w:rsidRPr="006C13EF">
        <w:rPr>
          <w:rFonts w:ascii="Arial" w:hAnsi="Arial" w:cs="Arial"/>
          <w:lang w:val="en-US"/>
        </w:rPr>
        <w:t>para 61.</w:t>
      </w:r>
    </w:p>
  </w:footnote>
  <w:footnote w:id="23">
    <w:p w14:paraId="7AA23913" w14:textId="67369F7C" w:rsidR="008A6917" w:rsidRPr="00FB1A6D" w:rsidRDefault="008A6917" w:rsidP="00FB1A6D">
      <w:pPr>
        <w:pStyle w:val="FootnoteText"/>
        <w:ind w:left="0"/>
        <w:rPr>
          <w:rFonts w:ascii="Arial" w:hAnsi="Arial" w:cs="Arial"/>
          <w:lang w:val="en-US"/>
        </w:rPr>
      </w:pPr>
      <w:r w:rsidRPr="00FB1A6D">
        <w:rPr>
          <w:rStyle w:val="FootnoteReference"/>
          <w:rFonts w:ascii="Arial" w:hAnsi="Arial" w:cs="Arial"/>
        </w:rPr>
        <w:footnoteRef/>
      </w:r>
      <w:r w:rsidRPr="00FB1A6D">
        <w:rPr>
          <w:rFonts w:ascii="Arial" w:hAnsi="Arial" w:cs="Arial"/>
        </w:rPr>
        <w:t xml:space="preserve"> Citing </w:t>
      </w:r>
      <w:r w:rsidRPr="00FB1A6D">
        <w:rPr>
          <w:rFonts w:ascii="Arial" w:hAnsi="Arial" w:cs="Arial"/>
          <w:i/>
        </w:rPr>
        <w:t>Minister of Safety and Security v T</w:t>
      </w:r>
      <w:r w:rsidR="006B33CA">
        <w:rPr>
          <w:rFonts w:ascii="Arial" w:hAnsi="Arial" w:cs="Arial"/>
          <w:i/>
        </w:rPr>
        <w:t>y</w:t>
      </w:r>
      <w:r w:rsidRPr="00FB1A6D">
        <w:rPr>
          <w:rFonts w:ascii="Arial" w:hAnsi="Arial" w:cs="Arial"/>
          <w:i/>
        </w:rPr>
        <w:t>ulu</w:t>
      </w:r>
      <w:r w:rsidRPr="00FB1A6D">
        <w:rPr>
          <w:rFonts w:ascii="Arial" w:hAnsi="Arial" w:cs="Arial"/>
        </w:rPr>
        <w:t xml:space="preserve"> 2009 (5) SA 85 (SCA)</w:t>
      </w:r>
      <w:r>
        <w:rPr>
          <w:rFonts w:ascii="Arial" w:hAnsi="Arial" w:cs="Arial"/>
        </w:rPr>
        <w:t>.</w:t>
      </w:r>
    </w:p>
  </w:footnote>
  <w:footnote w:id="24">
    <w:p w14:paraId="4110644F" w14:textId="762D8950" w:rsidR="0037354B" w:rsidRPr="006C13EF" w:rsidRDefault="0037354B" w:rsidP="00BA29C0">
      <w:pPr>
        <w:autoSpaceDE w:val="0"/>
        <w:autoSpaceDN w:val="0"/>
        <w:adjustRightInd w:val="0"/>
        <w:ind w:left="0"/>
        <w:jc w:val="both"/>
        <w:rPr>
          <w:rFonts w:ascii="Arial" w:hAnsi="Arial" w:cs="Arial"/>
          <w:sz w:val="20"/>
          <w:szCs w:val="20"/>
        </w:rPr>
      </w:pPr>
      <w:r w:rsidRPr="006C13EF">
        <w:rPr>
          <w:rStyle w:val="FootnoteReference"/>
          <w:rFonts w:ascii="Arial" w:hAnsi="Arial" w:cs="Arial"/>
          <w:sz w:val="20"/>
          <w:szCs w:val="20"/>
        </w:rPr>
        <w:footnoteRef/>
      </w:r>
      <w:r w:rsidRPr="006C13EF">
        <w:rPr>
          <w:rFonts w:ascii="Arial" w:hAnsi="Arial" w:cs="Arial"/>
          <w:sz w:val="20"/>
          <w:szCs w:val="20"/>
        </w:rPr>
        <w:t xml:space="preserve"> </w:t>
      </w:r>
      <w:r w:rsidR="00C77396" w:rsidRPr="00FB1A6D">
        <w:rPr>
          <w:rFonts w:ascii="Arial" w:hAnsi="Arial" w:cs="Arial"/>
          <w:i/>
          <w:iCs/>
          <w:sz w:val="20"/>
          <w:szCs w:val="20"/>
        </w:rPr>
        <w:t>Iyambo v Minister of Safety and Security</w:t>
      </w:r>
      <w:r w:rsidR="00C77396" w:rsidRPr="006C13EF">
        <w:rPr>
          <w:rFonts w:ascii="Arial" w:hAnsi="Arial" w:cs="Arial"/>
          <w:sz w:val="20"/>
          <w:szCs w:val="20"/>
        </w:rPr>
        <w:t xml:space="preserve"> </w:t>
      </w:r>
      <w:r w:rsidRPr="006C13EF">
        <w:rPr>
          <w:rFonts w:ascii="Arial" w:hAnsi="Arial" w:cs="Arial"/>
          <w:sz w:val="20"/>
          <w:szCs w:val="20"/>
        </w:rPr>
        <w:t>(I 3121/2010) [2013] NAHCMD 38 (12 February 2013).</w:t>
      </w:r>
    </w:p>
  </w:footnote>
  <w:footnote w:id="25">
    <w:p w14:paraId="68847875" w14:textId="4443030B" w:rsidR="0037354B" w:rsidRPr="006C13EF" w:rsidRDefault="0037354B" w:rsidP="00BA29C0">
      <w:pPr>
        <w:pStyle w:val="FootnoteText"/>
        <w:ind w:left="0"/>
        <w:jc w:val="both"/>
        <w:rPr>
          <w:rFonts w:ascii="Arial" w:hAnsi="Arial" w:cs="Arial"/>
          <w:lang w:val="en-US"/>
        </w:rPr>
      </w:pPr>
      <w:r w:rsidRPr="006C13EF">
        <w:rPr>
          <w:rStyle w:val="FootnoteReference"/>
          <w:rFonts w:ascii="Arial" w:hAnsi="Arial" w:cs="Arial"/>
        </w:rPr>
        <w:footnoteRef/>
      </w:r>
      <w:r w:rsidRPr="006C13EF">
        <w:rPr>
          <w:rFonts w:ascii="Arial" w:hAnsi="Arial" w:cs="Arial"/>
        </w:rPr>
        <w:t xml:space="preserve"> </w:t>
      </w:r>
      <w:r w:rsidRPr="006C13EF">
        <w:rPr>
          <w:rFonts w:ascii="Arial" w:hAnsi="Arial" w:cs="Arial"/>
          <w:i/>
          <w:iCs/>
          <w:lang w:val="en-US"/>
        </w:rPr>
        <w:t>Solsquare</w:t>
      </w:r>
      <w:r w:rsidRPr="006C13EF">
        <w:rPr>
          <w:rFonts w:ascii="Arial" w:hAnsi="Arial" w:cs="Arial"/>
        </w:rPr>
        <w:t xml:space="preserve"> para </w:t>
      </w:r>
      <w:r w:rsidRPr="006C13EF">
        <w:rPr>
          <w:rFonts w:ascii="Arial" w:hAnsi="Arial" w:cs="Arial"/>
          <w:lang w:val="en-US"/>
        </w:rPr>
        <w:t>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23772"/>
      <w:docPartObj>
        <w:docPartGallery w:val="Page Numbers (Top of Page)"/>
        <w:docPartUnique/>
      </w:docPartObj>
    </w:sdtPr>
    <w:sdtContent>
      <w:p w14:paraId="02722B70" w14:textId="1CE7CAB7" w:rsidR="0037354B" w:rsidRDefault="0037354B" w:rsidP="00CE3E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CE60C" w14:textId="77777777" w:rsidR="0037354B" w:rsidRDefault="0037354B" w:rsidP="00CE3E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820364"/>
      <w:docPartObj>
        <w:docPartGallery w:val="Page Numbers (Top of Page)"/>
        <w:docPartUnique/>
      </w:docPartObj>
    </w:sdtPr>
    <w:sdtEndPr>
      <w:rPr>
        <w:rStyle w:val="PageNumber"/>
        <w:rFonts w:ascii="Arial" w:hAnsi="Arial" w:cs="Arial"/>
      </w:rPr>
    </w:sdtEndPr>
    <w:sdtContent>
      <w:p w14:paraId="700F6351" w14:textId="69F80D5C" w:rsidR="0037354B" w:rsidRPr="00966268" w:rsidRDefault="0037354B" w:rsidP="00CE3EBE">
        <w:pPr>
          <w:pStyle w:val="Header"/>
          <w:framePr w:wrap="notBeside" w:vAnchor="text" w:hAnchor="margin" w:xAlign="right" w:y="1"/>
          <w:jc w:val="right"/>
          <w:rPr>
            <w:rStyle w:val="PageNumber"/>
            <w:rFonts w:ascii="Arial" w:hAnsi="Arial" w:cs="Arial"/>
          </w:rPr>
        </w:pPr>
        <w:r w:rsidRPr="00966268">
          <w:rPr>
            <w:rStyle w:val="PageNumber"/>
            <w:rFonts w:ascii="Arial" w:hAnsi="Arial" w:cs="Arial"/>
          </w:rPr>
          <w:fldChar w:fldCharType="begin"/>
        </w:r>
        <w:r w:rsidRPr="00966268">
          <w:rPr>
            <w:rStyle w:val="PageNumber"/>
            <w:rFonts w:ascii="Arial" w:hAnsi="Arial" w:cs="Arial"/>
          </w:rPr>
          <w:instrText xml:space="preserve"> PAGE </w:instrText>
        </w:r>
        <w:r w:rsidRPr="00966268">
          <w:rPr>
            <w:rStyle w:val="PageNumber"/>
            <w:rFonts w:ascii="Arial" w:hAnsi="Arial" w:cs="Arial"/>
          </w:rPr>
          <w:fldChar w:fldCharType="separate"/>
        </w:r>
        <w:r w:rsidR="00811155">
          <w:rPr>
            <w:rStyle w:val="PageNumber"/>
            <w:rFonts w:ascii="Arial" w:hAnsi="Arial" w:cs="Arial"/>
            <w:noProof/>
          </w:rPr>
          <w:t>22</w:t>
        </w:r>
        <w:r w:rsidRPr="00966268">
          <w:rPr>
            <w:rStyle w:val="PageNumber"/>
            <w:rFonts w:ascii="Arial" w:hAnsi="Arial" w:cs="Arial"/>
          </w:rPr>
          <w:fldChar w:fldCharType="end"/>
        </w:r>
      </w:p>
    </w:sdtContent>
  </w:sdt>
  <w:p w14:paraId="2E04795F" w14:textId="6C6D1038" w:rsidR="0037354B" w:rsidRDefault="0037354B" w:rsidP="00CE3EBE">
    <w:pPr>
      <w:pStyle w:val="Header"/>
      <w:framePr w:wrap="notBeside" w:vAnchor="text" w:hAnchor="margin" w:xAlign="right" w:y="1"/>
      <w:ind w:right="360"/>
      <w:rPr>
        <w:rStyle w:val="PageNumber"/>
      </w:rPr>
    </w:pPr>
  </w:p>
  <w:p w14:paraId="269E9D47" w14:textId="77777777" w:rsidR="0037354B" w:rsidRDefault="0037354B" w:rsidP="00CE3E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6D"/>
    <w:multiLevelType w:val="hybridMultilevel"/>
    <w:tmpl w:val="E74276DC"/>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4AD"/>
    <w:multiLevelType w:val="hybridMultilevel"/>
    <w:tmpl w:val="B3A0B86A"/>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01816"/>
    <w:multiLevelType w:val="hybridMultilevel"/>
    <w:tmpl w:val="6ECC1792"/>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45E"/>
    <w:multiLevelType w:val="hybridMultilevel"/>
    <w:tmpl w:val="3578BB4A"/>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2DDE"/>
    <w:multiLevelType w:val="hybridMultilevel"/>
    <w:tmpl w:val="5CD27608"/>
    <w:lvl w:ilvl="0" w:tplc="372E4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476AB"/>
    <w:multiLevelType w:val="hybridMultilevel"/>
    <w:tmpl w:val="EACEA99E"/>
    <w:lvl w:ilvl="0" w:tplc="A04E68B6">
      <w:start w:val="1"/>
      <w:numFmt w:val="decimal"/>
      <w:lvlText w:val="[%1]"/>
      <w:lvlJc w:val="left"/>
      <w:pPr>
        <w:ind w:left="360" w:hanging="360"/>
      </w:pPr>
      <w:rPr>
        <w:rFonts w:hint="default"/>
        <w:b w:val="0"/>
        <w:bCs w:val="0"/>
        <w:i w:val="0"/>
        <w:sz w:val="24"/>
        <w:szCs w:val="24"/>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2DB4"/>
    <w:multiLevelType w:val="hybridMultilevel"/>
    <w:tmpl w:val="06B818BE"/>
    <w:lvl w:ilvl="0" w:tplc="C08651C8">
      <w:start w:val="1"/>
      <w:numFmt w:val="decimal"/>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E35EF1"/>
    <w:multiLevelType w:val="hybridMultilevel"/>
    <w:tmpl w:val="33FE243E"/>
    <w:lvl w:ilvl="0" w:tplc="A46078B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AA049F"/>
    <w:multiLevelType w:val="hybridMultilevel"/>
    <w:tmpl w:val="AE22DE44"/>
    <w:lvl w:ilvl="0" w:tplc="75629DC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934C9"/>
    <w:multiLevelType w:val="hybridMultilevel"/>
    <w:tmpl w:val="710430C0"/>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81C1C"/>
    <w:multiLevelType w:val="hybridMultilevel"/>
    <w:tmpl w:val="123E1498"/>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4076E"/>
    <w:multiLevelType w:val="hybridMultilevel"/>
    <w:tmpl w:val="91CCE848"/>
    <w:lvl w:ilvl="0" w:tplc="8E12DD2C">
      <w:start w:val="1"/>
      <w:numFmt w:val="lowerLetter"/>
      <w:lvlText w:val="(%1)"/>
      <w:lvlJc w:val="left"/>
      <w:pPr>
        <w:ind w:left="720" w:hanging="360"/>
      </w:pPr>
      <w:rPr>
        <w:rFonts w:ascii="Arial" w:eastAsiaTheme="minorHAns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CF7C6D"/>
    <w:multiLevelType w:val="hybridMultilevel"/>
    <w:tmpl w:val="ED66E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4233B"/>
    <w:multiLevelType w:val="hybridMultilevel"/>
    <w:tmpl w:val="9D7C3F64"/>
    <w:lvl w:ilvl="0" w:tplc="C08651C8">
      <w:start w:val="1"/>
      <w:numFmt w:val="decimal"/>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A5B6CD3"/>
    <w:multiLevelType w:val="hybridMultilevel"/>
    <w:tmpl w:val="3AEE3DC8"/>
    <w:lvl w:ilvl="0" w:tplc="C08651C8">
      <w:start w:val="1"/>
      <w:numFmt w:val="decimal"/>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96480E"/>
    <w:multiLevelType w:val="hybridMultilevel"/>
    <w:tmpl w:val="AE22DE4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95730E"/>
    <w:multiLevelType w:val="hybridMultilevel"/>
    <w:tmpl w:val="54CEF502"/>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132DE"/>
    <w:multiLevelType w:val="hybridMultilevel"/>
    <w:tmpl w:val="32BEF6A0"/>
    <w:lvl w:ilvl="0" w:tplc="C08651C8">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59495">
    <w:abstractNumId w:val="5"/>
  </w:num>
  <w:num w:numId="2" w16cid:durableId="80837951">
    <w:abstractNumId w:val="4"/>
  </w:num>
  <w:num w:numId="3" w16cid:durableId="709643986">
    <w:abstractNumId w:val="1"/>
  </w:num>
  <w:num w:numId="4" w16cid:durableId="1893425021">
    <w:abstractNumId w:val="17"/>
  </w:num>
  <w:num w:numId="5" w16cid:durableId="2014605196">
    <w:abstractNumId w:val="6"/>
  </w:num>
  <w:num w:numId="6" w16cid:durableId="1557817530">
    <w:abstractNumId w:val="14"/>
  </w:num>
  <w:num w:numId="7" w16cid:durableId="471100806">
    <w:abstractNumId w:val="7"/>
  </w:num>
  <w:num w:numId="8" w16cid:durableId="1156800474">
    <w:abstractNumId w:val="2"/>
  </w:num>
  <w:num w:numId="9" w16cid:durableId="1824154055">
    <w:abstractNumId w:val="8"/>
  </w:num>
  <w:num w:numId="10" w16cid:durableId="296617428">
    <w:abstractNumId w:val="12"/>
  </w:num>
  <w:num w:numId="11" w16cid:durableId="278074273">
    <w:abstractNumId w:val="15"/>
  </w:num>
  <w:num w:numId="12" w16cid:durableId="1637373382">
    <w:abstractNumId w:val="16"/>
  </w:num>
  <w:num w:numId="13" w16cid:durableId="1693725963">
    <w:abstractNumId w:val="0"/>
  </w:num>
  <w:num w:numId="14" w16cid:durableId="2040743810">
    <w:abstractNumId w:val="13"/>
  </w:num>
  <w:num w:numId="15" w16cid:durableId="1742561495">
    <w:abstractNumId w:val="9"/>
  </w:num>
  <w:num w:numId="16" w16cid:durableId="624308554">
    <w:abstractNumId w:val="10"/>
  </w:num>
  <w:num w:numId="17" w16cid:durableId="230386699">
    <w:abstractNumId w:val="3"/>
  </w:num>
  <w:num w:numId="18" w16cid:durableId="741634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BE"/>
    <w:rsid w:val="0000222C"/>
    <w:rsid w:val="00024939"/>
    <w:rsid w:val="00025B42"/>
    <w:rsid w:val="00037EEE"/>
    <w:rsid w:val="000444A0"/>
    <w:rsid w:val="00050E67"/>
    <w:rsid w:val="000801BF"/>
    <w:rsid w:val="00092A15"/>
    <w:rsid w:val="00095955"/>
    <w:rsid w:val="000A1092"/>
    <w:rsid w:val="000A55EE"/>
    <w:rsid w:val="000A5619"/>
    <w:rsid w:val="000A6670"/>
    <w:rsid w:val="000A6DC3"/>
    <w:rsid w:val="000B0F9F"/>
    <w:rsid w:val="000B7DD2"/>
    <w:rsid w:val="000C0408"/>
    <w:rsid w:val="000C50D8"/>
    <w:rsid w:val="000D3AC8"/>
    <w:rsid w:val="000E131C"/>
    <w:rsid w:val="000E519D"/>
    <w:rsid w:val="000F0F4F"/>
    <w:rsid w:val="00116754"/>
    <w:rsid w:val="00121A04"/>
    <w:rsid w:val="00125715"/>
    <w:rsid w:val="00143704"/>
    <w:rsid w:val="00151FD2"/>
    <w:rsid w:val="00156175"/>
    <w:rsid w:val="00157979"/>
    <w:rsid w:val="00164B51"/>
    <w:rsid w:val="00183913"/>
    <w:rsid w:val="0019263A"/>
    <w:rsid w:val="001A1053"/>
    <w:rsid w:val="001B10A2"/>
    <w:rsid w:val="001D5832"/>
    <w:rsid w:val="001E2F02"/>
    <w:rsid w:val="001F7E56"/>
    <w:rsid w:val="00207C1F"/>
    <w:rsid w:val="0021759D"/>
    <w:rsid w:val="002204AA"/>
    <w:rsid w:val="002572DD"/>
    <w:rsid w:val="002602A7"/>
    <w:rsid w:val="0028646A"/>
    <w:rsid w:val="002A06DC"/>
    <w:rsid w:val="002D5F48"/>
    <w:rsid w:val="002E0F82"/>
    <w:rsid w:val="003309F6"/>
    <w:rsid w:val="003560FA"/>
    <w:rsid w:val="00361214"/>
    <w:rsid w:val="0037354B"/>
    <w:rsid w:val="003A36FB"/>
    <w:rsid w:val="003A53D0"/>
    <w:rsid w:val="003A698C"/>
    <w:rsid w:val="003B235E"/>
    <w:rsid w:val="003B79B2"/>
    <w:rsid w:val="003D5D1F"/>
    <w:rsid w:val="003D67EC"/>
    <w:rsid w:val="004077B4"/>
    <w:rsid w:val="00417DE0"/>
    <w:rsid w:val="00435C0A"/>
    <w:rsid w:val="004367DA"/>
    <w:rsid w:val="00441825"/>
    <w:rsid w:val="00465738"/>
    <w:rsid w:val="00470D06"/>
    <w:rsid w:val="00481A90"/>
    <w:rsid w:val="00481FFB"/>
    <w:rsid w:val="00484AF9"/>
    <w:rsid w:val="00490D8D"/>
    <w:rsid w:val="00495FC1"/>
    <w:rsid w:val="004A205D"/>
    <w:rsid w:val="004A42DD"/>
    <w:rsid w:val="004B3A13"/>
    <w:rsid w:val="004C2628"/>
    <w:rsid w:val="004C72E3"/>
    <w:rsid w:val="004F3843"/>
    <w:rsid w:val="00501902"/>
    <w:rsid w:val="0051393D"/>
    <w:rsid w:val="005239B9"/>
    <w:rsid w:val="00532C7C"/>
    <w:rsid w:val="00543A98"/>
    <w:rsid w:val="00545FEF"/>
    <w:rsid w:val="00560255"/>
    <w:rsid w:val="0056189A"/>
    <w:rsid w:val="00573F12"/>
    <w:rsid w:val="00592C15"/>
    <w:rsid w:val="00593209"/>
    <w:rsid w:val="00593326"/>
    <w:rsid w:val="005A19A1"/>
    <w:rsid w:val="005B60BA"/>
    <w:rsid w:val="005C337B"/>
    <w:rsid w:val="005C42ED"/>
    <w:rsid w:val="005D3485"/>
    <w:rsid w:val="005D39C8"/>
    <w:rsid w:val="005D7E4A"/>
    <w:rsid w:val="005F1CB6"/>
    <w:rsid w:val="00626D86"/>
    <w:rsid w:val="00631D36"/>
    <w:rsid w:val="00642204"/>
    <w:rsid w:val="00643529"/>
    <w:rsid w:val="006508CC"/>
    <w:rsid w:val="00662D1E"/>
    <w:rsid w:val="006B33CA"/>
    <w:rsid w:val="006B6784"/>
    <w:rsid w:val="006C13EF"/>
    <w:rsid w:val="006D36C1"/>
    <w:rsid w:val="006E22EF"/>
    <w:rsid w:val="006F094B"/>
    <w:rsid w:val="006F3405"/>
    <w:rsid w:val="006F5131"/>
    <w:rsid w:val="00712CA1"/>
    <w:rsid w:val="00714351"/>
    <w:rsid w:val="00716180"/>
    <w:rsid w:val="007362FF"/>
    <w:rsid w:val="00742B5B"/>
    <w:rsid w:val="00744F5D"/>
    <w:rsid w:val="00757AA4"/>
    <w:rsid w:val="0076626A"/>
    <w:rsid w:val="007666F0"/>
    <w:rsid w:val="00783C66"/>
    <w:rsid w:val="007870D1"/>
    <w:rsid w:val="00793E09"/>
    <w:rsid w:val="007A2DAD"/>
    <w:rsid w:val="007B2466"/>
    <w:rsid w:val="007B4C43"/>
    <w:rsid w:val="007C3243"/>
    <w:rsid w:val="007C558E"/>
    <w:rsid w:val="007E7C89"/>
    <w:rsid w:val="007F39EB"/>
    <w:rsid w:val="00811155"/>
    <w:rsid w:val="00812504"/>
    <w:rsid w:val="00815C21"/>
    <w:rsid w:val="00822D56"/>
    <w:rsid w:val="00824A5F"/>
    <w:rsid w:val="00832C2E"/>
    <w:rsid w:val="00833025"/>
    <w:rsid w:val="0083451B"/>
    <w:rsid w:val="00836ED9"/>
    <w:rsid w:val="00841105"/>
    <w:rsid w:val="00853C02"/>
    <w:rsid w:val="008603D3"/>
    <w:rsid w:val="00860559"/>
    <w:rsid w:val="00870A9F"/>
    <w:rsid w:val="00881EDA"/>
    <w:rsid w:val="0088274A"/>
    <w:rsid w:val="00885F50"/>
    <w:rsid w:val="008A610C"/>
    <w:rsid w:val="008A6917"/>
    <w:rsid w:val="008C39ED"/>
    <w:rsid w:val="008E0878"/>
    <w:rsid w:val="008E2371"/>
    <w:rsid w:val="008E32A5"/>
    <w:rsid w:val="008F5DCB"/>
    <w:rsid w:val="008F7086"/>
    <w:rsid w:val="00906004"/>
    <w:rsid w:val="00930213"/>
    <w:rsid w:val="00934EB2"/>
    <w:rsid w:val="00952015"/>
    <w:rsid w:val="009525CB"/>
    <w:rsid w:val="00961F03"/>
    <w:rsid w:val="00966268"/>
    <w:rsid w:val="009840A9"/>
    <w:rsid w:val="00995A57"/>
    <w:rsid w:val="009A7A89"/>
    <w:rsid w:val="009B38CC"/>
    <w:rsid w:val="009B569A"/>
    <w:rsid w:val="009C6F1F"/>
    <w:rsid w:val="009D36C4"/>
    <w:rsid w:val="009D56A9"/>
    <w:rsid w:val="009D6F37"/>
    <w:rsid w:val="009E5B54"/>
    <w:rsid w:val="009F42E2"/>
    <w:rsid w:val="00A000A3"/>
    <w:rsid w:val="00A01986"/>
    <w:rsid w:val="00A02E66"/>
    <w:rsid w:val="00A1512C"/>
    <w:rsid w:val="00A1690D"/>
    <w:rsid w:val="00A2352F"/>
    <w:rsid w:val="00A43978"/>
    <w:rsid w:val="00A55E54"/>
    <w:rsid w:val="00A55E7A"/>
    <w:rsid w:val="00A576C8"/>
    <w:rsid w:val="00A60334"/>
    <w:rsid w:val="00A63A09"/>
    <w:rsid w:val="00A63FFC"/>
    <w:rsid w:val="00A726B1"/>
    <w:rsid w:val="00A76131"/>
    <w:rsid w:val="00A90E5D"/>
    <w:rsid w:val="00A94610"/>
    <w:rsid w:val="00AA5295"/>
    <w:rsid w:val="00AA6272"/>
    <w:rsid w:val="00AC63BE"/>
    <w:rsid w:val="00AD6C3B"/>
    <w:rsid w:val="00AF1F67"/>
    <w:rsid w:val="00AF2F49"/>
    <w:rsid w:val="00AF3802"/>
    <w:rsid w:val="00B07D98"/>
    <w:rsid w:val="00B1511B"/>
    <w:rsid w:val="00B4254B"/>
    <w:rsid w:val="00B504A4"/>
    <w:rsid w:val="00B650A7"/>
    <w:rsid w:val="00B74CCA"/>
    <w:rsid w:val="00B8798B"/>
    <w:rsid w:val="00BA29C0"/>
    <w:rsid w:val="00BA4A91"/>
    <w:rsid w:val="00BB2C39"/>
    <w:rsid w:val="00BC132B"/>
    <w:rsid w:val="00BC6B40"/>
    <w:rsid w:val="00BD7C6C"/>
    <w:rsid w:val="00BE693F"/>
    <w:rsid w:val="00C00F7E"/>
    <w:rsid w:val="00C01741"/>
    <w:rsid w:val="00C11B2E"/>
    <w:rsid w:val="00C314C4"/>
    <w:rsid w:val="00C3606B"/>
    <w:rsid w:val="00C428A8"/>
    <w:rsid w:val="00C45C1D"/>
    <w:rsid w:val="00C50471"/>
    <w:rsid w:val="00C54161"/>
    <w:rsid w:val="00C553F7"/>
    <w:rsid w:val="00C77396"/>
    <w:rsid w:val="00CC77C1"/>
    <w:rsid w:val="00CD3AA4"/>
    <w:rsid w:val="00CD472B"/>
    <w:rsid w:val="00CE3EBE"/>
    <w:rsid w:val="00CE5917"/>
    <w:rsid w:val="00CF0FC1"/>
    <w:rsid w:val="00CF32F8"/>
    <w:rsid w:val="00D04876"/>
    <w:rsid w:val="00D063EA"/>
    <w:rsid w:val="00D10DE9"/>
    <w:rsid w:val="00D16745"/>
    <w:rsid w:val="00D22619"/>
    <w:rsid w:val="00D22BB1"/>
    <w:rsid w:val="00D46BA9"/>
    <w:rsid w:val="00D47FA7"/>
    <w:rsid w:val="00D53631"/>
    <w:rsid w:val="00D63EC6"/>
    <w:rsid w:val="00D64BF0"/>
    <w:rsid w:val="00D73198"/>
    <w:rsid w:val="00D90B71"/>
    <w:rsid w:val="00DA10E3"/>
    <w:rsid w:val="00DA1DC9"/>
    <w:rsid w:val="00DA22FA"/>
    <w:rsid w:val="00DA70F7"/>
    <w:rsid w:val="00DB55FF"/>
    <w:rsid w:val="00DB5BEF"/>
    <w:rsid w:val="00DC0C06"/>
    <w:rsid w:val="00DD29EB"/>
    <w:rsid w:val="00DD3F63"/>
    <w:rsid w:val="00DF055A"/>
    <w:rsid w:val="00DF70E0"/>
    <w:rsid w:val="00E11827"/>
    <w:rsid w:val="00E22B51"/>
    <w:rsid w:val="00E22E32"/>
    <w:rsid w:val="00E313E6"/>
    <w:rsid w:val="00E3150F"/>
    <w:rsid w:val="00E60985"/>
    <w:rsid w:val="00E6690F"/>
    <w:rsid w:val="00E822E3"/>
    <w:rsid w:val="00E90C35"/>
    <w:rsid w:val="00EA5163"/>
    <w:rsid w:val="00EF4992"/>
    <w:rsid w:val="00EF6C31"/>
    <w:rsid w:val="00F1342B"/>
    <w:rsid w:val="00F45E90"/>
    <w:rsid w:val="00F47DEE"/>
    <w:rsid w:val="00F537E5"/>
    <w:rsid w:val="00F80CAC"/>
    <w:rsid w:val="00FB0054"/>
    <w:rsid w:val="00FB1A6D"/>
    <w:rsid w:val="00FF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C190"/>
  <w15:chartTrackingRefBased/>
  <w15:docId w15:val="{4AFB13E1-8249-724C-B711-3A317548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BE"/>
  </w:style>
  <w:style w:type="paragraph" w:styleId="Heading1">
    <w:name w:val="heading 1"/>
    <w:basedOn w:val="Normal"/>
    <w:next w:val="Normal"/>
    <w:link w:val="Heading1Char"/>
    <w:uiPriority w:val="9"/>
    <w:qFormat/>
    <w:rsid w:val="00952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Normal"/>
    <w:link w:val="Heading2Char"/>
    <w:uiPriority w:val="9"/>
    <w:unhideWhenUsed/>
    <w:qFormat/>
    <w:rsid w:val="00AF1F67"/>
    <w:pPr>
      <w:spacing w:after="0" w:line="360" w:lineRule="auto"/>
      <w:jc w:val="both"/>
      <w:outlineLvl w:val="1"/>
    </w:pPr>
    <w:rPr>
      <w:rFonts w:ascii="Arial" w:eastAsia="Arial" w:hAnsi="Arial"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B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EBE"/>
    <w:pPr>
      <w:tabs>
        <w:tab w:val="center" w:pos="4513"/>
        <w:tab w:val="right" w:pos="9026"/>
      </w:tabs>
    </w:pPr>
  </w:style>
  <w:style w:type="character" w:customStyle="1" w:styleId="HeaderChar">
    <w:name w:val="Header Char"/>
    <w:basedOn w:val="DefaultParagraphFont"/>
    <w:link w:val="Header"/>
    <w:uiPriority w:val="99"/>
    <w:rsid w:val="00CE3EBE"/>
  </w:style>
  <w:style w:type="character" w:styleId="PageNumber">
    <w:name w:val="page number"/>
    <w:basedOn w:val="DefaultParagraphFont"/>
    <w:uiPriority w:val="99"/>
    <w:semiHidden/>
    <w:unhideWhenUsed/>
    <w:rsid w:val="00CE3EBE"/>
  </w:style>
  <w:style w:type="paragraph" w:styleId="Footer">
    <w:name w:val="footer"/>
    <w:basedOn w:val="Normal"/>
    <w:link w:val="FooterChar"/>
    <w:uiPriority w:val="99"/>
    <w:unhideWhenUsed/>
    <w:rsid w:val="00CE3EBE"/>
    <w:pPr>
      <w:tabs>
        <w:tab w:val="center" w:pos="4513"/>
        <w:tab w:val="right" w:pos="9026"/>
      </w:tabs>
    </w:pPr>
  </w:style>
  <w:style w:type="character" w:customStyle="1" w:styleId="FooterChar">
    <w:name w:val="Footer Char"/>
    <w:basedOn w:val="DefaultParagraphFont"/>
    <w:link w:val="Footer"/>
    <w:uiPriority w:val="99"/>
    <w:rsid w:val="00CE3EBE"/>
  </w:style>
  <w:style w:type="character" w:customStyle="1" w:styleId="Heading2Char">
    <w:name w:val="Heading 2 Char"/>
    <w:basedOn w:val="DefaultParagraphFont"/>
    <w:link w:val="Heading2"/>
    <w:uiPriority w:val="9"/>
    <w:rsid w:val="00AF1F67"/>
    <w:rPr>
      <w:rFonts w:ascii="Arial" w:eastAsia="Arial" w:hAnsi="Arial" w:cs="Arial"/>
      <w:b/>
      <w:bCs/>
      <w:color w:val="000000"/>
      <w:u w:val="single" w:color="000000"/>
      <w:bdr w:val="nil"/>
      <w:lang w:val="en-US" w:eastAsia="en-GB"/>
    </w:rPr>
  </w:style>
  <w:style w:type="paragraph" w:customStyle="1" w:styleId="Body">
    <w:name w:val="Body"/>
    <w:rsid w:val="00AF1F67"/>
    <w:pPr>
      <w:pBdr>
        <w:top w:val="nil"/>
        <w:left w:val="nil"/>
        <w:bottom w:val="nil"/>
        <w:right w:val="nil"/>
        <w:between w:val="nil"/>
        <w:bar w:val="nil"/>
      </w:pBdr>
      <w:spacing w:after="160"/>
    </w:pPr>
    <w:rPr>
      <w:rFonts w:ascii="Calibri" w:eastAsia="Arial Unicode MS" w:hAnsi="Calibri" w:cs="Arial Unicode MS"/>
      <w:color w:val="000000"/>
      <w:sz w:val="22"/>
      <w:szCs w:val="22"/>
      <w:u w:color="000000"/>
      <w:bdr w:val="nil"/>
      <w:lang w:val="en-ZA" w:eastAsia="en-GB"/>
    </w:rPr>
  </w:style>
  <w:style w:type="paragraph" w:styleId="FootnoteText">
    <w:name w:val="footnote text"/>
    <w:basedOn w:val="Normal"/>
    <w:link w:val="FootnoteTextChar"/>
    <w:uiPriority w:val="99"/>
    <w:semiHidden/>
    <w:unhideWhenUsed/>
    <w:rsid w:val="00AF1F67"/>
    <w:rPr>
      <w:sz w:val="20"/>
      <w:szCs w:val="20"/>
    </w:rPr>
  </w:style>
  <w:style w:type="character" w:customStyle="1" w:styleId="FootnoteTextChar">
    <w:name w:val="Footnote Text Char"/>
    <w:basedOn w:val="DefaultParagraphFont"/>
    <w:link w:val="FootnoteText"/>
    <w:uiPriority w:val="99"/>
    <w:semiHidden/>
    <w:rsid w:val="00AF1F67"/>
    <w:rPr>
      <w:sz w:val="20"/>
      <w:szCs w:val="20"/>
    </w:rPr>
  </w:style>
  <w:style w:type="character" w:styleId="FootnoteReference">
    <w:name w:val="footnote reference"/>
    <w:basedOn w:val="DefaultParagraphFont"/>
    <w:uiPriority w:val="99"/>
    <w:unhideWhenUsed/>
    <w:rsid w:val="00AF1F67"/>
    <w:rPr>
      <w:vertAlign w:val="superscript"/>
    </w:rPr>
  </w:style>
  <w:style w:type="paragraph" w:styleId="ListParagraph">
    <w:name w:val="List Paragraph"/>
    <w:basedOn w:val="Normal"/>
    <w:uiPriority w:val="34"/>
    <w:qFormat/>
    <w:rsid w:val="00AF1F67"/>
    <w:pPr>
      <w:contextualSpacing/>
    </w:pPr>
  </w:style>
  <w:style w:type="character" w:styleId="CommentReference">
    <w:name w:val="annotation reference"/>
    <w:basedOn w:val="DefaultParagraphFont"/>
    <w:uiPriority w:val="99"/>
    <w:semiHidden/>
    <w:unhideWhenUsed/>
    <w:rsid w:val="00AF1F67"/>
    <w:rPr>
      <w:sz w:val="16"/>
      <w:szCs w:val="16"/>
    </w:rPr>
  </w:style>
  <w:style w:type="paragraph" w:customStyle="1" w:styleId="Default">
    <w:name w:val="Default"/>
    <w:rsid w:val="00AF1F67"/>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1Char">
    <w:name w:val="Heading 1 Char"/>
    <w:basedOn w:val="DefaultParagraphFont"/>
    <w:link w:val="Heading1"/>
    <w:uiPriority w:val="9"/>
    <w:rsid w:val="009525C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A06DC"/>
    <w:pPr>
      <w:spacing w:line="240" w:lineRule="auto"/>
    </w:pPr>
    <w:rPr>
      <w:b/>
      <w:bCs/>
    </w:rPr>
  </w:style>
  <w:style w:type="character" w:customStyle="1" w:styleId="CommentSubjectChar">
    <w:name w:val="Comment Subject Char"/>
    <w:basedOn w:val="CommentTextChar"/>
    <w:link w:val="CommentSubject"/>
    <w:uiPriority w:val="99"/>
    <w:semiHidden/>
    <w:rsid w:val="002A06DC"/>
    <w:rPr>
      <w:b/>
      <w:bCs/>
      <w:sz w:val="20"/>
      <w:szCs w:val="20"/>
    </w:rPr>
  </w:style>
  <w:style w:type="paragraph" w:styleId="NormalWeb">
    <w:name w:val="Normal (Web)"/>
    <w:basedOn w:val="Normal"/>
    <w:uiPriority w:val="99"/>
    <w:semiHidden/>
    <w:unhideWhenUsed/>
    <w:rsid w:val="00D16745"/>
    <w:pPr>
      <w:spacing w:before="100" w:beforeAutospacing="1" w:after="100" w:afterAutospacing="1" w:line="240" w:lineRule="auto"/>
      <w:ind w:left="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9595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955"/>
    <w:rPr>
      <w:rFonts w:ascii="Times New Roman" w:hAnsi="Times New Roman" w:cs="Times New Roman"/>
      <w:sz w:val="18"/>
      <w:szCs w:val="18"/>
    </w:rPr>
  </w:style>
  <w:style w:type="paragraph" w:styleId="Revision">
    <w:name w:val="Revision"/>
    <w:hidden/>
    <w:uiPriority w:val="99"/>
    <w:semiHidden/>
    <w:rsid w:val="009D6F37"/>
    <w:pPr>
      <w:spacing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363">
      <w:bodyDiv w:val="1"/>
      <w:marLeft w:val="0"/>
      <w:marRight w:val="0"/>
      <w:marTop w:val="0"/>
      <w:marBottom w:val="0"/>
      <w:divBdr>
        <w:top w:val="none" w:sz="0" w:space="0" w:color="auto"/>
        <w:left w:val="none" w:sz="0" w:space="0" w:color="auto"/>
        <w:bottom w:val="none" w:sz="0" w:space="0" w:color="auto"/>
        <w:right w:val="none" w:sz="0" w:space="0" w:color="auto"/>
      </w:divBdr>
    </w:div>
    <w:div w:id="247151587">
      <w:bodyDiv w:val="1"/>
      <w:marLeft w:val="0"/>
      <w:marRight w:val="0"/>
      <w:marTop w:val="0"/>
      <w:marBottom w:val="0"/>
      <w:divBdr>
        <w:top w:val="none" w:sz="0" w:space="0" w:color="auto"/>
        <w:left w:val="none" w:sz="0" w:space="0" w:color="auto"/>
        <w:bottom w:val="none" w:sz="0" w:space="0" w:color="auto"/>
        <w:right w:val="none" w:sz="0" w:space="0" w:color="auto"/>
      </w:divBdr>
    </w:div>
    <w:div w:id="465709862">
      <w:bodyDiv w:val="1"/>
      <w:marLeft w:val="0"/>
      <w:marRight w:val="0"/>
      <w:marTop w:val="0"/>
      <w:marBottom w:val="0"/>
      <w:divBdr>
        <w:top w:val="none" w:sz="0" w:space="0" w:color="auto"/>
        <w:left w:val="none" w:sz="0" w:space="0" w:color="auto"/>
        <w:bottom w:val="none" w:sz="0" w:space="0" w:color="auto"/>
        <w:right w:val="none" w:sz="0" w:space="0" w:color="auto"/>
      </w:divBdr>
      <w:divsChild>
        <w:div w:id="1013217105">
          <w:marLeft w:val="0"/>
          <w:marRight w:val="0"/>
          <w:marTop w:val="0"/>
          <w:marBottom w:val="0"/>
          <w:divBdr>
            <w:top w:val="single" w:sz="2" w:space="0" w:color="auto"/>
            <w:left w:val="single" w:sz="2" w:space="0" w:color="auto"/>
            <w:bottom w:val="single" w:sz="6" w:space="0" w:color="auto"/>
            <w:right w:val="single" w:sz="2" w:space="0" w:color="auto"/>
          </w:divBdr>
          <w:divsChild>
            <w:div w:id="202501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27005941">
                  <w:marLeft w:val="0"/>
                  <w:marRight w:val="0"/>
                  <w:marTop w:val="0"/>
                  <w:marBottom w:val="0"/>
                  <w:divBdr>
                    <w:top w:val="single" w:sz="2" w:space="0" w:color="D9D9E3"/>
                    <w:left w:val="single" w:sz="2" w:space="0" w:color="D9D9E3"/>
                    <w:bottom w:val="single" w:sz="2" w:space="0" w:color="D9D9E3"/>
                    <w:right w:val="single" w:sz="2" w:space="0" w:color="D9D9E3"/>
                  </w:divBdr>
                  <w:divsChild>
                    <w:div w:id="807937793">
                      <w:marLeft w:val="0"/>
                      <w:marRight w:val="0"/>
                      <w:marTop w:val="0"/>
                      <w:marBottom w:val="0"/>
                      <w:divBdr>
                        <w:top w:val="single" w:sz="2" w:space="0" w:color="D9D9E3"/>
                        <w:left w:val="single" w:sz="2" w:space="0" w:color="D9D9E3"/>
                        <w:bottom w:val="single" w:sz="2" w:space="0" w:color="D9D9E3"/>
                        <w:right w:val="single" w:sz="2" w:space="0" w:color="D9D9E3"/>
                      </w:divBdr>
                      <w:divsChild>
                        <w:div w:id="1857228148">
                          <w:marLeft w:val="0"/>
                          <w:marRight w:val="0"/>
                          <w:marTop w:val="0"/>
                          <w:marBottom w:val="0"/>
                          <w:divBdr>
                            <w:top w:val="single" w:sz="2" w:space="0" w:color="D9D9E3"/>
                            <w:left w:val="single" w:sz="2" w:space="0" w:color="D9D9E3"/>
                            <w:bottom w:val="single" w:sz="2" w:space="0" w:color="D9D9E3"/>
                            <w:right w:val="single" w:sz="2" w:space="0" w:color="D9D9E3"/>
                          </w:divBdr>
                          <w:divsChild>
                            <w:div w:id="1801454822">
                              <w:marLeft w:val="0"/>
                              <w:marRight w:val="0"/>
                              <w:marTop w:val="0"/>
                              <w:marBottom w:val="0"/>
                              <w:divBdr>
                                <w:top w:val="single" w:sz="2" w:space="0" w:color="D9D9E3"/>
                                <w:left w:val="single" w:sz="2" w:space="0" w:color="D9D9E3"/>
                                <w:bottom w:val="single" w:sz="2" w:space="0" w:color="D9D9E3"/>
                                <w:right w:val="single" w:sz="2" w:space="0" w:color="D9D9E3"/>
                              </w:divBdr>
                              <w:divsChild>
                                <w:div w:id="810053449">
                                  <w:marLeft w:val="0"/>
                                  <w:marRight w:val="0"/>
                                  <w:marTop w:val="0"/>
                                  <w:marBottom w:val="0"/>
                                  <w:divBdr>
                                    <w:top w:val="single" w:sz="2" w:space="0" w:color="D9D9E3"/>
                                    <w:left w:val="single" w:sz="2" w:space="0" w:color="D9D9E3"/>
                                    <w:bottom w:val="single" w:sz="2" w:space="0" w:color="D9D9E3"/>
                                    <w:right w:val="single" w:sz="2" w:space="0" w:color="D9D9E3"/>
                                  </w:divBdr>
                                  <w:divsChild>
                                    <w:div w:id="1526868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270883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078">
          <w:marLeft w:val="0"/>
          <w:marRight w:val="0"/>
          <w:marTop w:val="0"/>
          <w:marBottom w:val="0"/>
          <w:divBdr>
            <w:top w:val="single" w:sz="2" w:space="0" w:color="auto"/>
            <w:left w:val="single" w:sz="2" w:space="0" w:color="auto"/>
            <w:bottom w:val="single" w:sz="6" w:space="0" w:color="auto"/>
            <w:right w:val="single" w:sz="2" w:space="0" w:color="auto"/>
          </w:divBdr>
          <w:divsChild>
            <w:div w:id="369494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88637278">
                  <w:marLeft w:val="0"/>
                  <w:marRight w:val="0"/>
                  <w:marTop w:val="0"/>
                  <w:marBottom w:val="0"/>
                  <w:divBdr>
                    <w:top w:val="single" w:sz="2" w:space="0" w:color="D9D9E3"/>
                    <w:left w:val="single" w:sz="2" w:space="0" w:color="D9D9E3"/>
                    <w:bottom w:val="single" w:sz="2" w:space="0" w:color="D9D9E3"/>
                    <w:right w:val="single" w:sz="2" w:space="0" w:color="D9D9E3"/>
                  </w:divBdr>
                  <w:divsChild>
                    <w:div w:id="2013995746">
                      <w:marLeft w:val="0"/>
                      <w:marRight w:val="0"/>
                      <w:marTop w:val="0"/>
                      <w:marBottom w:val="0"/>
                      <w:divBdr>
                        <w:top w:val="single" w:sz="2" w:space="0" w:color="D9D9E3"/>
                        <w:left w:val="single" w:sz="2" w:space="0" w:color="D9D9E3"/>
                        <w:bottom w:val="single" w:sz="2" w:space="0" w:color="D9D9E3"/>
                        <w:right w:val="single" w:sz="2" w:space="0" w:color="D9D9E3"/>
                      </w:divBdr>
                      <w:divsChild>
                        <w:div w:id="1396586146">
                          <w:marLeft w:val="0"/>
                          <w:marRight w:val="0"/>
                          <w:marTop w:val="0"/>
                          <w:marBottom w:val="0"/>
                          <w:divBdr>
                            <w:top w:val="single" w:sz="2" w:space="0" w:color="D9D9E3"/>
                            <w:left w:val="single" w:sz="2" w:space="0" w:color="D9D9E3"/>
                            <w:bottom w:val="single" w:sz="2" w:space="0" w:color="D9D9E3"/>
                            <w:right w:val="single" w:sz="2" w:space="0" w:color="D9D9E3"/>
                          </w:divBdr>
                          <w:divsChild>
                            <w:div w:id="552235959">
                              <w:marLeft w:val="0"/>
                              <w:marRight w:val="0"/>
                              <w:marTop w:val="0"/>
                              <w:marBottom w:val="0"/>
                              <w:divBdr>
                                <w:top w:val="single" w:sz="2" w:space="0" w:color="D9D9E3"/>
                                <w:left w:val="single" w:sz="2" w:space="0" w:color="D9D9E3"/>
                                <w:bottom w:val="single" w:sz="2" w:space="0" w:color="D9D9E3"/>
                                <w:right w:val="single" w:sz="2" w:space="0" w:color="D9D9E3"/>
                              </w:divBdr>
                              <w:divsChild>
                                <w:div w:id="1374230557">
                                  <w:marLeft w:val="0"/>
                                  <w:marRight w:val="0"/>
                                  <w:marTop w:val="0"/>
                                  <w:marBottom w:val="0"/>
                                  <w:divBdr>
                                    <w:top w:val="single" w:sz="2" w:space="0" w:color="D9D9E3"/>
                                    <w:left w:val="single" w:sz="2" w:space="0" w:color="D9D9E3"/>
                                    <w:bottom w:val="single" w:sz="2" w:space="0" w:color="D9D9E3"/>
                                    <w:right w:val="single" w:sz="2" w:space="0" w:color="D9D9E3"/>
                                  </w:divBdr>
                                  <w:divsChild>
                                    <w:div w:id="1885633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7879469">
      <w:bodyDiv w:val="1"/>
      <w:marLeft w:val="0"/>
      <w:marRight w:val="0"/>
      <w:marTop w:val="0"/>
      <w:marBottom w:val="0"/>
      <w:divBdr>
        <w:top w:val="none" w:sz="0" w:space="0" w:color="auto"/>
        <w:left w:val="none" w:sz="0" w:space="0" w:color="auto"/>
        <w:bottom w:val="none" w:sz="0" w:space="0" w:color="auto"/>
        <w:right w:val="none" w:sz="0" w:space="0" w:color="auto"/>
      </w:divBdr>
    </w:div>
    <w:div w:id="1642689562">
      <w:bodyDiv w:val="1"/>
      <w:marLeft w:val="0"/>
      <w:marRight w:val="0"/>
      <w:marTop w:val="0"/>
      <w:marBottom w:val="0"/>
      <w:divBdr>
        <w:top w:val="none" w:sz="0" w:space="0" w:color="auto"/>
        <w:left w:val="none" w:sz="0" w:space="0" w:color="auto"/>
        <w:bottom w:val="none" w:sz="0" w:space="0" w:color="auto"/>
        <w:right w:val="none" w:sz="0" w:space="0" w:color="auto"/>
      </w:divBdr>
      <w:divsChild>
        <w:div w:id="319769558">
          <w:marLeft w:val="0"/>
          <w:marRight w:val="0"/>
          <w:marTop w:val="0"/>
          <w:marBottom w:val="0"/>
          <w:divBdr>
            <w:top w:val="none" w:sz="0" w:space="0" w:color="auto"/>
            <w:left w:val="none" w:sz="0" w:space="0" w:color="auto"/>
            <w:bottom w:val="none" w:sz="0" w:space="0" w:color="auto"/>
            <w:right w:val="none" w:sz="0" w:space="0" w:color="auto"/>
          </w:divBdr>
          <w:divsChild>
            <w:div w:id="13497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651">
      <w:bodyDiv w:val="1"/>
      <w:marLeft w:val="0"/>
      <w:marRight w:val="0"/>
      <w:marTop w:val="0"/>
      <w:marBottom w:val="0"/>
      <w:divBdr>
        <w:top w:val="none" w:sz="0" w:space="0" w:color="auto"/>
        <w:left w:val="none" w:sz="0" w:space="0" w:color="auto"/>
        <w:bottom w:val="none" w:sz="0" w:space="0" w:color="auto"/>
        <w:right w:val="none" w:sz="0" w:space="0" w:color="auto"/>
      </w:divBdr>
      <w:divsChild>
        <w:div w:id="1256478658">
          <w:marLeft w:val="0"/>
          <w:marRight w:val="0"/>
          <w:marTop w:val="0"/>
          <w:marBottom w:val="0"/>
          <w:divBdr>
            <w:top w:val="single" w:sz="2" w:space="0" w:color="auto"/>
            <w:left w:val="single" w:sz="2" w:space="0" w:color="auto"/>
            <w:bottom w:val="single" w:sz="6" w:space="0" w:color="auto"/>
            <w:right w:val="single" w:sz="2" w:space="0" w:color="auto"/>
          </w:divBdr>
          <w:divsChild>
            <w:div w:id="544030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823036">
                  <w:marLeft w:val="0"/>
                  <w:marRight w:val="0"/>
                  <w:marTop w:val="0"/>
                  <w:marBottom w:val="0"/>
                  <w:divBdr>
                    <w:top w:val="single" w:sz="2" w:space="0" w:color="D9D9E3"/>
                    <w:left w:val="single" w:sz="2" w:space="0" w:color="D9D9E3"/>
                    <w:bottom w:val="single" w:sz="2" w:space="0" w:color="D9D9E3"/>
                    <w:right w:val="single" w:sz="2" w:space="0" w:color="D9D9E3"/>
                  </w:divBdr>
                  <w:divsChild>
                    <w:div w:id="202328328">
                      <w:marLeft w:val="0"/>
                      <w:marRight w:val="0"/>
                      <w:marTop w:val="0"/>
                      <w:marBottom w:val="0"/>
                      <w:divBdr>
                        <w:top w:val="single" w:sz="2" w:space="0" w:color="D9D9E3"/>
                        <w:left w:val="single" w:sz="2" w:space="0" w:color="D9D9E3"/>
                        <w:bottom w:val="single" w:sz="2" w:space="0" w:color="D9D9E3"/>
                        <w:right w:val="single" w:sz="2" w:space="0" w:color="D9D9E3"/>
                      </w:divBdr>
                      <w:divsChild>
                        <w:div w:id="1071538620">
                          <w:marLeft w:val="0"/>
                          <w:marRight w:val="0"/>
                          <w:marTop w:val="0"/>
                          <w:marBottom w:val="0"/>
                          <w:divBdr>
                            <w:top w:val="single" w:sz="2" w:space="0" w:color="D9D9E3"/>
                            <w:left w:val="single" w:sz="2" w:space="0" w:color="D9D9E3"/>
                            <w:bottom w:val="single" w:sz="2" w:space="0" w:color="D9D9E3"/>
                            <w:right w:val="single" w:sz="2" w:space="0" w:color="D9D9E3"/>
                          </w:divBdr>
                          <w:divsChild>
                            <w:div w:id="174342130">
                              <w:marLeft w:val="0"/>
                              <w:marRight w:val="0"/>
                              <w:marTop w:val="0"/>
                              <w:marBottom w:val="0"/>
                              <w:divBdr>
                                <w:top w:val="single" w:sz="2" w:space="0" w:color="D9D9E3"/>
                                <w:left w:val="single" w:sz="2" w:space="0" w:color="D9D9E3"/>
                                <w:bottom w:val="single" w:sz="2" w:space="0" w:color="D9D9E3"/>
                                <w:right w:val="single" w:sz="2" w:space="0" w:color="D9D9E3"/>
                              </w:divBdr>
                              <w:divsChild>
                                <w:div w:id="1777171909">
                                  <w:marLeft w:val="0"/>
                                  <w:marRight w:val="0"/>
                                  <w:marTop w:val="0"/>
                                  <w:marBottom w:val="0"/>
                                  <w:divBdr>
                                    <w:top w:val="single" w:sz="2" w:space="0" w:color="D9D9E3"/>
                                    <w:left w:val="single" w:sz="2" w:space="0" w:color="D9D9E3"/>
                                    <w:bottom w:val="single" w:sz="2" w:space="0" w:color="D9D9E3"/>
                                    <w:right w:val="single" w:sz="2" w:space="0" w:color="D9D9E3"/>
                                  </w:divBdr>
                                  <w:divsChild>
                                    <w:div w:id="121659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8986745">
          <w:marLeft w:val="0"/>
          <w:marRight w:val="0"/>
          <w:marTop w:val="0"/>
          <w:marBottom w:val="0"/>
          <w:divBdr>
            <w:top w:val="single" w:sz="2" w:space="0" w:color="D9D9E3"/>
            <w:left w:val="single" w:sz="2" w:space="0" w:color="D9D9E3"/>
            <w:bottom w:val="single" w:sz="2" w:space="0" w:color="D9D9E3"/>
            <w:right w:val="single" w:sz="2" w:space="0" w:color="D9D9E3"/>
          </w:divBdr>
          <w:divsChild>
            <w:div w:id="2033725408">
              <w:marLeft w:val="0"/>
              <w:marRight w:val="0"/>
              <w:marTop w:val="90"/>
              <w:marBottom w:val="0"/>
              <w:divBdr>
                <w:top w:val="single" w:sz="2" w:space="0" w:color="D9D9E3"/>
                <w:left w:val="single" w:sz="2" w:space="0" w:color="D9D9E3"/>
                <w:bottom w:val="single" w:sz="2" w:space="0" w:color="D9D9E3"/>
                <w:right w:val="single" w:sz="2" w:space="0" w:color="D9D9E3"/>
              </w:divBdr>
              <w:divsChild>
                <w:div w:id="1016732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2023-12-14T18:30:00+00:00</Judgment_x0020_Date>
    <Year xmlns="63bdd487-88aa-4c54-b893-ddaa81ed2e7c">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AF67E-B9B4-4619-94B8-4AF95021548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5F5F0B4D-4F10-470D-802D-21F1162B9DBC}">
  <ds:schemaRefs>
    <ds:schemaRef ds:uri="http://schemas.microsoft.com/sharepoint/v3/contenttype/forms"/>
  </ds:schemaRefs>
</ds:datastoreItem>
</file>

<file path=customXml/itemProps3.xml><?xml version="1.0" encoding="utf-8"?>
<ds:datastoreItem xmlns:ds="http://schemas.openxmlformats.org/officeDocument/2006/customXml" ds:itemID="{618F8C8E-2142-496E-95F6-60CB105BAC74}">
  <ds:schemaRefs>
    <ds:schemaRef ds:uri="http://schemas.openxmlformats.org/officeDocument/2006/bibliography"/>
  </ds:schemaRefs>
</ds:datastoreItem>
</file>

<file path=customXml/itemProps4.xml><?xml version="1.0" encoding="utf-8"?>
<ds:datastoreItem xmlns:ds="http://schemas.openxmlformats.org/officeDocument/2006/customXml" ds:itemID="{C2528A26-BA28-4AE9-9AE3-5CC4A143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Gregorey Gilbert Naomab (SA 26-2022) [2023] NASC (15 December 2023)</dc:title>
  <dc:subject/>
  <dc:creator>Anupriya Dhonchak</dc:creator>
  <cp:keywords/>
  <dc:description/>
  <cp:lastModifiedBy>Mariana Anguelov</cp:lastModifiedBy>
  <cp:revision>12</cp:revision>
  <cp:lastPrinted>2023-12-14T09:41:00Z</cp:lastPrinted>
  <dcterms:created xsi:type="dcterms:W3CDTF">2023-12-13T13:50:00Z</dcterms:created>
  <dcterms:modified xsi:type="dcterms:W3CDTF">2023-12-17T07:13:00Z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