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366D1" w14:textId="77777777" w:rsidR="00455B20" w:rsidRPr="006A55DD" w:rsidRDefault="00455B20" w:rsidP="00455B20">
      <w:pPr>
        <w:spacing w:after="0" w:line="360" w:lineRule="auto"/>
        <w:jc w:val="center"/>
        <w:rPr>
          <w:b/>
          <w:sz w:val="24"/>
          <w:szCs w:val="24"/>
        </w:rPr>
      </w:pPr>
      <w:bookmarkStart w:id="0" w:name="_GoBack"/>
      <w:bookmarkEnd w:id="0"/>
      <w:r w:rsidRPr="00A41CEE">
        <w:rPr>
          <w:b/>
          <w:noProof/>
          <w:sz w:val="24"/>
          <w:szCs w:val="24"/>
          <w:lang w:val="en-US"/>
        </w:rPr>
        <w:drawing>
          <wp:inline distT="0" distB="0" distL="0" distR="0" wp14:anchorId="3640F540" wp14:editId="750D57C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DEC3A11" w14:textId="0A17E9D7" w:rsidR="00455B20" w:rsidRDefault="00455B20" w:rsidP="00455B20">
      <w:pPr>
        <w:pStyle w:val="NoSpacing"/>
        <w:jc w:val="right"/>
        <w:rPr>
          <w:rFonts w:ascii="Arial" w:hAnsi="Arial" w:cs="Arial"/>
          <w:b/>
          <w:sz w:val="24"/>
          <w:szCs w:val="24"/>
        </w:rPr>
      </w:pPr>
      <w:r>
        <w:rPr>
          <w:rFonts w:ascii="Arial" w:hAnsi="Arial" w:cs="Arial"/>
          <w:b/>
          <w:sz w:val="24"/>
          <w:szCs w:val="24"/>
        </w:rPr>
        <w:t>REPORTABLE</w:t>
      </w:r>
    </w:p>
    <w:p w14:paraId="0A7C655C" w14:textId="77777777" w:rsidR="00455B20" w:rsidRDefault="00455B20" w:rsidP="00455B20">
      <w:pPr>
        <w:pStyle w:val="NoSpacing"/>
        <w:jc w:val="right"/>
        <w:rPr>
          <w:rFonts w:ascii="Arial" w:hAnsi="Arial" w:cs="Arial"/>
          <w:sz w:val="24"/>
          <w:szCs w:val="24"/>
        </w:rPr>
      </w:pPr>
    </w:p>
    <w:p w14:paraId="61494353" w14:textId="77777777" w:rsidR="00455B20" w:rsidRDefault="00455B20" w:rsidP="00455B20">
      <w:pPr>
        <w:pStyle w:val="NoSpacing"/>
        <w:jc w:val="right"/>
        <w:rPr>
          <w:rFonts w:ascii="Arial" w:hAnsi="Arial" w:cs="Arial"/>
          <w:sz w:val="24"/>
          <w:szCs w:val="24"/>
        </w:rPr>
      </w:pPr>
      <w:r>
        <w:rPr>
          <w:rFonts w:ascii="Arial" w:hAnsi="Arial" w:cs="Arial"/>
          <w:sz w:val="24"/>
          <w:szCs w:val="24"/>
        </w:rPr>
        <w:t>CASE NO: SA 113/2023</w:t>
      </w:r>
    </w:p>
    <w:p w14:paraId="52A8BD3D" w14:textId="77777777" w:rsidR="00455B20" w:rsidRDefault="00455B20" w:rsidP="00455B20">
      <w:pPr>
        <w:pStyle w:val="NoSpacing"/>
        <w:rPr>
          <w:rFonts w:ascii="Arial" w:hAnsi="Arial" w:cs="Arial"/>
          <w:sz w:val="24"/>
          <w:szCs w:val="24"/>
        </w:rPr>
      </w:pPr>
    </w:p>
    <w:p w14:paraId="2E70B131" w14:textId="77777777" w:rsidR="00455B20" w:rsidRPr="00991107" w:rsidRDefault="00455B20" w:rsidP="00455B20">
      <w:pPr>
        <w:pStyle w:val="NoSpacing"/>
        <w:rPr>
          <w:rFonts w:ascii="Arial" w:hAnsi="Arial" w:cs="Arial"/>
          <w:sz w:val="24"/>
          <w:szCs w:val="24"/>
        </w:rPr>
      </w:pPr>
    </w:p>
    <w:p w14:paraId="344A6B16" w14:textId="77777777" w:rsidR="00455B20" w:rsidRPr="00970591" w:rsidRDefault="00455B20" w:rsidP="00455B20">
      <w:pPr>
        <w:pStyle w:val="NoSpacing"/>
        <w:rPr>
          <w:rFonts w:ascii="Arial" w:hAnsi="Arial" w:cs="Arial"/>
          <w:b/>
          <w:sz w:val="24"/>
          <w:szCs w:val="24"/>
        </w:rPr>
      </w:pPr>
      <w:r w:rsidRPr="00970591">
        <w:rPr>
          <w:rFonts w:ascii="Arial" w:hAnsi="Arial" w:cs="Arial"/>
          <w:b/>
          <w:sz w:val="24"/>
          <w:szCs w:val="24"/>
        </w:rPr>
        <w:t>IN THE SUPREME COURT OF NAMIBIA</w:t>
      </w:r>
    </w:p>
    <w:p w14:paraId="25FAED02" w14:textId="77777777" w:rsidR="00455B20" w:rsidRDefault="00455B20" w:rsidP="00455B20">
      <w:pPr>
        <w:pStyle w:val="NoSpacing"/>
        <w:rPr>
          <w:rFonts w:ascii="Arial" w:hAnsi="Arial" w:cs="Arial"/>
          <w:sz w:val="24"/>
          <w:szCs w:val="24"/>
        </w:rPr>
      </w:pPr>
    </w:p>
    <w:p w14:paraId="26631A2E" w14:textId="77777777" w:rsidR="00455B20" w:rsidRDefault="00455B20" w:rsidP="00455B20">
      <w:pPr>
        <w:pStyle w:val="NoSpacing"/>
        <w:rPr>
          <w:rFonts w:ascii="Arial" w:hAnsi="Arial" w:cs="Arial"/>
          <w:sz w:val="24"/>
          <w:szCs w:val="24"/>
        </w:rPr>
      </w:pPr>
    </w:p>
    <w:p w14:paraId="42F00FE2" w14:textId="77777777" w:rsidR="00455B20" w:rsidRDefault="00455B20" w:rsidP="00455B20">
      <w:pPr>
        <w:pStyle w:val="NoSpacing"/>
        <w:rPr>
          <w:rFonts w:ascii="Arial" w:hAnsi="Arial" w:cs="Arial"/>
          <w:sz w:val="24"/>
          <w:szCs w:val="24"/>
        </w:rPr>
      </w:pPr>
      <w:r>
        <w:rPr>
          <w:rFonts w:ascii="Arial" w:hAnsi="Arial" w:cs="Arial"/>
          <w:sz w:val="24"/>
          <w:szCs w:val="24"/>
        </w:rPr>
        <w:t>In the matter between:</w:t>
      </w:r>
    </w:p>
    <w:p w14:paraId="0E9E1B49" w14:textId="77777777" w:rsidR="00455B20" w:rsidRDefault="00455B20" w:rsidP="00455B20">
      <w:pPr>
        <w:pStyle w:val="NoSpacing"/>
        <w:rPr>
          <w:rFonts w:ascii="Arial" w:hAnsi="Arial" w:cs="Arial"/>
          <w:sz w:val="24"/>
          <w:szCs w:val="24"/>
        </w:rPr>
      </w:pPr>
    </w:p>
    <w:p w14:paraId="62896C40" w14:textId="77777777" w:rsidR="00455B20" w:rsidRDefault="00455B20" w:rsidP="00455B20">
      <w:pPr>
        <w:pStyle w:val="NoSpacing"/>
        <w:rPr>
          <w:rFonts w:ascii="Arial" w:hAnsi="Arial" w:cs="Arial"/>
          <w:sz w:val="24"/>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69"/>
      </w:tblGrid>
      <w:tr w:rsidR="00455B20" w:rsidRPr="00545EFC" w14:paraId="380C8055" w14:textId="77777777" w:rsidTr="00067719">
        <w:tc>
          <w:tcPr>
            <w:tcW w:w="5529" w:type="dxa"/>
          </w:tcPr>
          <w:p w14:paraId="4D0ABDF3" w14:textId="77777777" w:rsidR="00455B20" w:rsidRPr="00545EFC" w:rsidRDefault="00455B20" w:rsidP="00A158E7">
            <w:pPr>
              <w:pStyle w:val="NoSpacing"/>
              <w:spacing w:line="360" w:lineRule="auto"/>
              <w:ind w:left="-108"/>
              <w:rPr>
                <w:rFonts w:ascii="Arial" w:hAnsi="Arial" w:cs="Arial"/>
                <w:b/>
                <w:sz w:val="24"/>
                <w:szCs w:val="24"/>
              </w:rPr>
            </w:pPr>
            <w:r>
              <w:rPr>
                <w:rFonts w:ascii="Arial" w:hAnsi="Arial" w:cs="Arial"/>
                <w:b/>
                <w:sz w:val="24"/>
                <w:szCs w:val="24"/>
              </w:rPr>
              <w:t>JOSEPHINE LOUISE SISANDE</w:t>
            </w:r>
          </w:p>
        </w:tc>
        <w:tc>
          <w:tcPr>
            <w:tcW w:w="3969" w:type="dxa"/>
          </w:tcPr>
          <w:p w14:paraId="3025DFEE" w14:textId="77777777" w:rsidR="00455B20" w:rsidRPr="00545EFC" w:rsidRDefault="00067719" w:rsidP="00A158E7">
            <w:pPr>
              <w:pStyle w:val="NoSpacing"/>
              <w:spacing w:line="360" w:lineRule="auto"/>
              <w:jc w:val="right"/>
              <w:rPr>
                <w:rFonts w:ascii="Arial" w:hAnsi="Arial" w:cs="Arial"/>
                <w:b/>
                <w:sz w:val="24"/>
                <w:szCs w:val="24"/>
              </w:rPr>
            </w:pPr>
            <w:r>
              <w:rPr>
                <w:rFonts w:ascii="Arial" w:hAnsi="Arial" w:cs="Arial"/>
                <w:b/>
                <w:sz w:val="24"/>
                <w:szCs w:val="24"/>
              </w:rPr>
              <w:t>Respondent/</w:t>
            </w:r>
            <w:r w:rsidR="00455B20" w:rsidRPr="00545EFC">
              <w:rPr>
                <w:rFonts w:ascii="Arial" w:hAnsi="Arial" w:cs="Arial"/>
                <w:b/>
                <w:sz w:val="24"/>
                <w:szCs w:val="24"/>
              </w:rPr>
              <w:t>Appellant</w:t>
            </w:r>
          </w:p>
        </w:tc>
      </w:tr>
      <w:tr w:rsidR="00455B20" w:rsidRPr="00545EFC" w14:paraId="25DDE540" w14:textId="77777777" w:rsidTr="00067719">
        <w:tc>
          <w:tcPr>
            <w:tcW w:w="5529" w:type="dxa"/>
          </w:tcPr>
          <w:p w14:paraId="52A412AC" w14:textId="77777777" w:rsidR="00455B20" w:rsidRDefault="00455B20" w:rsidP="00A158E7">
            <w:pPr>
              <w:pStyle w:val="NoSpacing"/>
              <w:spacing w:line="360" w:lineRule="auto"/>
              <w:ind w:left="-108"/>
              <w:rPr>
                <w:rFonts w:ascii="Arial" w:hAnsi="Arial" w:cs="Arial"/>
                <w:b/>
                <w:sz w:val="24"/>
                <w:szCs w:val="24"/>
              </w:rPr>
            </w:pPr>
          </w:p>
        </w:tc>
        <w:tc>
          <w:tcPr>
            <w:tcW w:w="3969" w:type="dxa"/>
          </w:tcPr>
          <w:p w14:paraId="7B6D297F" w14:textId="77777777" w:rsidR="00455B20" w:rsidRDefault="00455B20" w:rsidP="00A158E7">
            <w:pPr>
              <w:pStyle w:val="NoSpacing"/>
              <w:spacing w:line="360" w:lineRule="auto"/>
              <w:jc w:val="right"/>
              <w:rPr>
                <w:rFonts w:ascii="Arial" w:hAnsi="Arial" w:cs="Arial"/>
                <w:b/>
                <w:sz w:val="24"/>
                <w:szCs w:val="24"/>
              </w:rPr>
            </w:pPr>
          </w:p>
        </w:tc>
      </w:tr>
      <w:tr w:rsidR="00455B20" w:rsidRPr="00545EFC" w14:paraId="31B86A4B" w14:textId="77777777" w:rsidTr="00067719">
        <w:tc>
          <w:tcPr>
            <w:tcW w:w="5529" w:type="dxa"/>
          </w:tcPr>
          <w:p w14:paraId="4CB08252" w14:textId="77777777" w:rsidR="00455B20" w:rsidRPr="00545EFC" w:rsidRDefault="00A96B2A" w:rsidP="00A158E7">
            <w:pPr>
              <w:pStyle w:val="NoSpacing"/>
              <w:spacing w:line="360" w:lineRule="auto"/>
              <w:ind w:left="-108"/>
              <w:rPr>
                <w:rFonts w:ascii="Arial" w:hAnsi="Arial" w:cs="Arial"/>
                <w:sz w:val="24"/>
                <w:szCs w:val="24"/>
              </w:rPr>
            </w:pPr>
            <w:r w:rsidRPr="00545EFC">
              <w:rPr>
                <w:rFonts w:ascii="Arial" w:hAnsi="Arial" w:cs="Arial"/>
                <w:sz w:val="24"/>
                <w:szCs w:val="24"/>
              </w:rPr>
              <w:t>A</w:t>
            </w:r>
            <w:r w:rsidR="00455B20" w:rsidRPr="00545EFC">
              <w:rPr>
                <w:rFonts w:ascii="Arial" w:hAnsi="Arial" w:cs="Arial"/>
                <w:sz w:val="24"/>
                <w:szCs w:val="24"/>
              </w:rPr>
              <w:t>nd</w:t>
            </w:r>
          </w:p>
        </w:tc>
        <w:tc>
          <w:tcPr>
            <w:tcW w:w="3969" w:type="dxa"/>
          </w:tcPr>
          <w:p w14:paraId="2A8454DD" w14:textId="77777777" w:rsidR="00455B20" w:rsidRPr="00545EFC" w:rsidRDefault="00455B20" w:rsidP="00A158E7">
            <w:pPr>
              <w:pStyle w:val="NoSpacing"/>
              <w:spacing w:line="360" w:lineRule="auto"/>
              <w:rPr>
                <w:rFonts w:ascii="Arial" w:hAnsi="Arial" w:cs="Arial"/>
                <w:sz w:val="24"/>
                <w:szCs w:val="24"/>
              </w:rPr>
            </w:pPr>
          </w:p>
        </w:tc>
      </w:tr>
      <w:tr w:rsidR="00455B20" w:rsidRPr="00545EFC" w14:paraId="2D2E17F8" w14:textId="77777777" w:rsidTr="00067719">
        <w:tc>
          <w:tcPr>
            <w:tcW w:w="5529" w:type="dxa"/>
          </w:tcPr>
          <w:p w14:paraId="0AD28814" w14:textId="77777777" w:rsidR="00455B20" w:rsidRPr="00545EFC" w:rsidRDefault="00455B20" w:rsidP="00A158E7">
            <w:pPr>
              <w:pStyle w:val="NoSpacing"/>
              <w:spacing w:line="360" w:lineRule="auto"/>
              <w:ind w:left="-108"/>
              <w:rPr>
                <w:rFonts w:ascii="Arial" w:hAnsi="Arial" w:cs="Arial"/>
                <w:sz w:val="24"/>
                <w:szCs w:val="24"/>
              </w:rPr>
            </w:pPr>
          </w:p>
        </w:tc>
        <w:tc>
          <w:tcPr>
            <w:tcW w:w="3969" w:type="dxa"/>
          </w:tcPr>
          <w:p w14:paraId="49BB3005" w14:textId="77777777" w:rsidR="00455B20" w:rsidRPr="00545EFC" w:rsidRDefault="00455B20" w:rsidP="00A158E7">
            <w:pPr>
              <w:pStyle w:val="NoSpacing"/>
              <w:spacing w:line="360" w:lineRule="auto"/>
              <w:rPr>
                <w:rFonts w:ascii="Arial" w:hAnsi="Arial" w:cs="Arial"/>
                <w:sz w:val="24"/>
                <w:szCs w:val="24"/>
              </w:rPr>
            </w:pPr>
          </w:p>
        </w:tc>
      </w:tr>
      <w:tr w:rsidR="00455B20" w:rsidRPr="00545EFC" w14:paraId="7B06829B" w14:textId="77777777" w:rsidTr="00067719">
        <w:tc>
          <w:tcPr>
            <w:tcW w:w="5529" w:type="dxa"/>
          </w:tcPr>
          <w:p w14:paraId="5C5A4B00" w14:textId="77777777" w:rsidR="00455B20" w:rsidRPr="00545EFC" w:rsidRDefault="00455B20" w:rsidP="00455B20">
            <w:pPr>
              <w:pStyle w:val="NoSpacing"/>
              <w:spacing w:line="360" w:lineRule="auto"/>
              <w:ind w:left="-108"/>
              <w:rPr>
                <w:rFonts w:ascii="Arial" w:hAnsi="Arial" w:cs="Arial"/>
                <w:b/>
                <w:sz w:val="24"/>
                <w:szCs w:val="24"/>
              </w:rPr>
            </w:pPr>
            <w:r>
              <w:rPr>
                <w:rFonts w:ascii="Arial" w:hAnsi="Arial" w:cs="Arial"/>
                <w:b/>
                <w:sz w:val="24"/>
                <w:szCs w:val="24"/>
              </w:rPr>
              <w:t>STANDARD BANK NAMIBIA</w:t>
            </w:r>
          </w:p>
        </w:tc>
        <w:tc>
          <w:tcPr>
            <w:tcW w:w="3969" w:type="dxa"/>
          </w:tcPr>
          <w:p w14:paraId="0EFC2AE6" w14:textId="77777777" w:rsidR="00455B20" w:rsidRPr="00545EFC" w:rsidRDefault="00067719" w:rsidP="00A158E7">
            <w:pPr>
              <w:pStyle w:val="NoSpacing"/>
              <w:spacing w:line="360" w:lineRule="auto"/>
              <w:jc w:val="right"/>
              <w:rPr>
                <w:rFonts w:ascii="Arial" w:hAnsi="Arial" w:cs="Arial"/>
                <w:b/>
                <w:sz w:val="24"/>
                <w:szCs w:val="24"/>
              </w:rPr>
            </w:pPr>
            <w:r>
              <w:rPr>
                <w:rFonts w:ascii="Arial" w:hAnsi="Arial" w:cs="Arial"/>
                <w:b/>
                <w:sz w:val="24"/>
                <w:szCs w:val="24"/>
              </w:rPr>
              <w:t>Applicant/</w:t>
            </w:r>
            <w:r w:rsidR="00455B20" w:rsidRPr="00545EFC">
              <w:rPr>
                <w:rFonts w:ascii="Arial" w:hAnsi="Arial" w:cs="Arial"/>
                <w:b/>
                <w:sz w:val="24"/>
                <w:szCs w:val="24"/>
              </w:rPr>
              <w:t>Respondent</w:t>
            </w:r>
          </w:p>
        </w:tc>
      </w:tr>
    </w:tbl>
    <w:p w14:paraId="43CD7855" w14:textId="77777777" w:rsidR="00455B20" w:rsidRPr="00545EFC" w:rsidRDefault="00455B20" w:rsidP="00455B20">
      <w:pPr>
        <w:pStyle w:val="NoSpacing"/>
        <w:rPr>
          <w:rFonts w:ascii="Arial" w:hAnsi="Arial" w:cs="Arial"/>
          <w:sz w:val="24"/>
          <w:szCs w:val="24"/>
        </w:rPr>
      </w:pPr>
    </w:p>
    <w:p w14:paraId="3C8E30D1" w14:textId="77777777" w:rsidR="00455B20" w:rsidRPr="00545EFC" w:rsidRDefault="00455B20" w:rsidP="00455B20">
      <w:pPr>
        <w:pStyle w:val="NoSpacing"/>
        <w:rPr>
          <w:rFonts w:ascii="Arial" w:hAnsi="Arial" w:cs="Arial"/>
          <w:sz w:val="24"/>
          <w:szCs w:val="24"/>
        </w:rPr>
      </w:pPr>
    </w:p>
    <w:p w14:paraId="35F396E5" w14:textId="77777777" w:rsidR="00455B20" w:rsidRPr="00883824" w:rsidRDefault="00455B20" w:rsidP="00455B20">
      <w:pPr>
        <w:spacing w:line="240" w:lineRule="auto"/>
        <w:rPr>
          <w:rFonts w:ascii="Arial" w:eastAsia="Arial Unicode MS" w:hAnsi="Arial" w:cs="Arial"/>
          <w:sz w:val="24"/>
          <w:szCs w:val="24"/>
        </w:rPr>
      </w:pPr>
      <w:r w:rsidRPr="00883824">
        <w:rPr>
          <w:rFonts w:ascii="Arial" w:eastAsia="Arial Unicode MS" w:hAnsi="Arial" w:cs="Arial"/>
          <w:b/>
          <w:sz w:val="24"/>
          <w:szCs w:val="24"/>
        </w:rPr>
        <w:t>Coram:</w:t>
      </w:r>
      <w:r w:rsidRPr="00883824">
        <w:rPr>
          <w:rFonts w:ascii="Arial" w:eastAsia="Arial Unicode MS" w:hAnsi="Arial" w:cs="Arial"/>
          <w:sz w:val="24"/>
          <w:szCs w:val="24"/>
        </w:rPr>
        <w:tab/>
      </w:r>
      <w:r>
        <w:rPr>
          <w:rFonts w:ascii="Arial" w:eastAsia="Arial Unicode MS" w:hAnsi="Arial" w:cs="Arial"/>
          <w:sz w:val="24"/>
          <w:szCs w:val="24"/>
        </w:rPr>
        <w:t>DAMASEB DCJ</w:t>
      </w:r>
    </w:p>
    <w:p w14:paraId="5CF0A848" w14:textId="77777777" w:rsidR="00455B20" w:rsidRPr="00883824" w:rsidRDefault="00455B20" w:rsidP="00455B20">
      <w:pPr>
        <w:spacing w:line="240" w:lineRule="auto"/>
        <w:rPr>
          <w:rFonts w:ascii="Arial" w:eastAsia="Arial Unicode MS" w:hAnsi="Arial" w:cs="Arial"/>
          <w:sz w:val="24"/>
          <w:szCs w:val="24"/>
        </w:rPr>
      </w:pPr>
      <w:r>
        <w:rPr>
          <w:rFonts w:ascii="Arial" w:eastAsia="Arial Unicode MS" w:hAnsi="Arial" w:cs="Arial"/>
          <w:b/>
          <w:sz w:val="24"/>
          <w:szCs w:val="24"/>
        </w:rPr>
        <w:t>Heard:</w:t>
      </w:r>
      <w:r>
        <w:rPr>
          <w:rFonts w:ascii="Arial" w:eastAsia="Arial Unicode MS" w:hAnsi="Arial" w:cs="Arial"/>
          <w:b/>
          <w:sz w:val="24"/>
          <w:szCs w:val="24"/>
        </w:rPr>
        <w:tab/>
      </w:r>
      <w:r w:rsidRPr="00883824">
        <w:rPr>
          <w:rFonts w:ascii="Arial" w:eastAsia="Arial Unicode MS" w:hAnsi="Arial" w:cs="Arial"/>
          <w:b/>
          <w:sz w:val="24"/>
          <w:szCs w:val="24"/>
        </w:rPr>
        <w:t>IN CHAMBERS</w:t>
      </w:r>
    </w:p>
    <w:p w14:paraId="1774AAE0" w14:textId="15DBC40B" w:rsidR="00455B20" w:rsidRPr="00883824" w:rsidRDefault="00455B20" w:rsidP="00455B20">
      <w:pPr>
        <w:spacing w:line="240" w:lineRule="auto"/>
        <w:rPr>
          <w:rFonts w:ascii="Arial" w:eastAsia="Arial Unicode MS" w:hAnsi="Arial" w:cs="Arial"/>
          <w:sz w:val="24"/>
          <w:szCs w:val="24"/>
        </w:rPr>
      </w:pPr>
      <w:r>
        <w:rPr>
          <w:rFonts w:ascii="Arial" w:eastAsia="Arial Unicode MS" w:hAnsi="Arial" w:cs="Arial"/>
          <w:b/>
          <w:sz w:val="24"/>
          <w:szCs w:val="24"/>
        </w:rPr>
        <w:t>Delivered:</w:t>
      </w:r>
      <w:r>
        <w:rPr>
          <w:rFonts w:ascii="Arial" w:eastAsia="Arial Unicode MS" w:hAnsi="Arial" w:cs="Arial"/>
          <w:b/>
          <w:sz w:val="24"/>
          <w:szCs w:val="24"/>
        </w:rPr>
        <w:tab/>
      </w:r>
      <w:r w:rsidR="008F749C">
        <w:rPr>
          <w:rFonts w:ascii="Arial" w:eastAsia="Arial Unicode MS" w:hAnsi="Arial" w:cs="Arial"/>
          <w:b/>
          <w:sz w:val="24"/>
          <w:szCs w:val="24"/>
        </w:rPr>
        <w:t xml:space="preserve">12 </w:t>
      </w:r>
      <w:r w:rsidR="00EB6440">
        <w:rPr>
          <w:rFonts w:ascii="Arial" w:eastAsia="Arial Unicode MS" w:hAnsi="Arial" w:cs="Arial"/>
          <w:b/>
          <w:sz w:val="24"/>
          <w:szCs w:val="24"/>
        </w:rPr>
        <w:t>Dece</w:t>
      </w:r>
      <w:r>
        <w:rPr>
          <w:rFonts w:ascii="Arial" w:eastAsia="Arial Unicode MS" w:hAnsi="Arial" w:cs="Arial"/>
          <w:b/>
          <w:sz w:val="24"/>
          <w:szCs w:val="24"/>
        </w:rPr>
        <w:t>mber 2023</w:t>
      </w:r>
    </w:p>
    <w:p w14:paraId="71CC093F" w14:textId="77777777" w:rsidR="00455B20" w:rsidRDefault="00455B20" w:rsidP="00455B20">
      <w:pPr>
        <w:pStyle w:val="NoSpacing"/>
        <w:rPr>
          <w:rFonts w:ascii="Arial" w:hAnsi="Arial" w:cs="Arial"/>
          <w:sz w:val="24"/>
          <w:szCs w:val="24"/>
        </w:rPr>
      </w:pPr>
    </w:p>
    <w:p w14:paraId="3B8BA6BB" w14:textId="77777777" w:rsidR="00455B20" w:rsidRDefault="00455B20" w:rsidP="00455B20">
      <w:pPr>
        <w:pStyle w:val="NoSpacing"/>
        <w:rPr>
          <w:rFonts w:ascii="Arial" w:hAnsi="Arial" w:cs="Arial"/>
          <w:sz w:val="24"/>
          <w:szCs w:val="24"/>
        </w:rPr>
      </w:pPr>
    </w:p>
    <w:p w14:paraId="77881CB0" w14:textId="26B0A6A6" w:rsidR="00455B20" w:rsidRDefault="00455B20" w:rsidP="00F24A95">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067719" w:rsidRPr="00067719">
        <w:rPr>
          <w:rFonts w:ascii="Arial" w:hAnsi="Arial" w:cs="Arial"/>
          <w:sz w:val="24"/>
          <w:szCs w:val="24"/>
        </w:rPr>
        <w:t xml:space="preserve">The </w:t>
      </w:r>
      <w:r w:rsidR="00F24A95">
        <w:rPr>
          <w:rFonts w:ascii="Arial" w:hAnsi="Arial" w:cs="Arial"/>
          <w:sz w:val="24"/>
          <w:szCs w:val="24"/>
        </w:rPr>
        <w:t xml:space="preserve">court </w:t>
      </w:r>
      <w:r w:rsidR="00F24A95" w:rsidRPr="00F24A95">
        <w:rPr>
          <w:rFonts w:ascii="Arial" w:hAnsi="Arial" w:cs="Arial"/>
          <w:i/>
          <w:sz w:val="24"/>
          <w:szCs w:val="24"/>
        </w:rPr>
        <w:t>a quo</w:t>
      </w:r>
      <w:r w:rsidR="00F24A95">
        <w:rPr>
          <w:rFonts w:ascii="Arial" w:hAnsi="Arial" w:cs="Arial"/>
          <w:sz w:val="24"/>
          <w:szCs w:val="24"/>
        </w:rPr>
        <w:t xml:space="preserve"> granted a default judgment order against the appellant for failing to honour a debt with the </w:t>
      </w:r>
      <w:r w:rsidR="00934CDD">
        <w:rPr>
          <w:rFonts w:ascii="Arial" w:hAnsi="Arial" w:cs="Arial"/>
          <w:sz w:val="24"/>
          <w:szCs w:val="24"/>
        </w:rPr>
        <w:t>respondent. After failing to obtain</w:t>
      </w:r>
      <w:r w:rsidR="00F24A95">
        <w:rPr>
          <w:rFonts w:ascii="Arial" w:hAnsi="Arial" w:cs="Arial"/>
          <w:sz w:val="24"/>
          <w:szCs w:val="24"/>
        </w:rPr>
        <w:t xml:space="preserve"> sufficient movables to satisfy the </w:t>
      </w:r>
      <w:r w:rsidR="00934CDD">
        <w:rPr>
          <w:rFonts w:ascii="Arial" w:hAnsi="Arial" w:cs="Arial"/>
          <w:sz w:val="24"/>
          <w:szCs w:val="24"/>
        </w:rPr>
        <w:t xml:space="preserve">judgment, </w:t>
      </w:r>
      <w:r w:rsidR="00F24A95">
        <w:rPr>
          <w:rFonts w:ascii="Arial" w:hAnsi="Arial" w:cs="Arial"/>
          <w:sz w:val="24"/>
          <w:szCs w:val="24"/>
        </w:rPr>
        <w:t>the respondent</w:t>
      </w:r>
      <w:r w:rsidR="00934CDD">
        <w:rPr>
          <w:rFonts w:ascii="Arial" w:hAnsi="Arial" w:cs="Arial"/>
          <w:sz w:val="24"/>
          <w:szCs w:val="24"/>
        </w:rPr>
        <w:t xml:space="preserve"> </w:t>
      </w:r>
      <w:r w:rsidR="0007567C">
        <w:rPr>
          <w:rFonts w:ascii="Arial" w:hAnsi="Arial" w:cs="Arial"/>
          <w:sz w:val="24"/>
          <w:szCs w:val="24"/>
        </w:rPr>
        <w:t>successfully</w:t>
      </w:r>
      <w:r w:rsidR="00F24A95">
        <w:rPr>
          <w:rFonts w:ascii="Arial" w:hAnsi="Arial" w:cs="Arial"/>
          <w:sz w:val="24"/>
          <w:szCs w:val="24"/>
        </w:rPr>
        <w:t xml:space="preserve"> brought an application in terms of Rule 108 of the Rules of the High Court. The appellant filed a notice of appeal to have the default judgment and Rule 108</w:t>
      </w:r>
      <w:r w:rsidR="00934CDD">
        <w:rPr>
          <w:rFonts w:ascii="Arial" w:hAnsi="Arial" w:cs="Arial"/>
          <w:sz w:val="24"/>
          <w:szCs w:val="24"/>
        </w:rPr>
        <w:t xml:space="preserve"> orders</w:t>
      </w:r>
      <w:r w:rsidR="00F24A95">
        <w:rPr>
          <w:rFonts w:ascii="Arial" w:hAnsi="Arial" w:cs="Arial"/>
          <w:sz w:val="24"/>
          <w:szCs w:val="24"/>
        </w:rPr>
        <w:t xml:space="preserve"> set aside. </w:t>
      </w:r>
    </w:p>
    <w:p w14:paraId="3BC17417" w14:textId="77777777" w:rsidR="00F24A95" w:rsidRDefault="00F24A95" w:rsidP="00F24A95">
      <w:pPr>
        <w:pStyle w:val="NoSpacing"/>
        <w:spacing w:line="360" w:lineRule="auto"/>
        <w:jc w:val="both"/>
        <w:rPr>
          <w:rFonts w:ascii="Arial" w:hAnsi="Arial" w:cs="Arial"/>
          <w:sz w:val="24"/>
          <w:szCs w:val="24"/>
        </w:rPr>
      </w:pPr>
    </w:p>
    <w:p w14:paraId="078F5C6B" w14:textId="2EBDCCDC" w:rsidR="00F24A95" w:rsidRDefault="00F24A95" w:rsidP="00F24A95">
      <w:pPr>
        <w:pStyle w:val="NoSpacing"/>
        <w:spacing w:line="360" w:lineRule="auto"/>
        <w:jc w:val="both"/>
        <w:rPr>
          <w:rFonts w:ascii="Arial" w:hAnsi="Arial" w:cs="Arial"/>
          <w:sz w:val="24"/>
          <w:szCs w:val="24"/>
        </w:rPr>
      </w:pPr>
      <w:r>
        <w:rPr>
          <w:rFonts w:ascii="Arial" w:hAnsi="Arial" w:cs="Arial"/>
          <w:sz w:val="24"/>
          <w:szCs w:val="24"/>
        </w:rPr>
        <w:t xml:space="preserve">The respondent filed an application in terms of Rule 6 to declare the appeal brought by the appellant </w:t>
      </w:r>
      <w:r w:rsidR="00402C8C">
        <w:rPr>
          <w:rFonts w:ascii="Arial" w:hAnsi="Arial" w:cs="Arial"/>
          <w:sz w:val="24"/>
          <w:szCs w:val="24"/>
        </w:rPr>
        <w:t xml:space="preserve">as </w:t>
      </w:r>
      <w:r>
        <w:rPr>
          <w:rFonts w:ascii="Arial" w:hAnsi="Arial" w:cs="Arial"/>
          <w:sz w:val="24"/>
          <w:szCs w:val="24"/>
        </w:rPr>
        <w:t xml:space="preserve">frivolous and vexatious. </w:t>
      </w:r>
    </w:p>
    <w:p w14:paraId="21D921FB" w14:textId="77777777" w:rsidR="00F24A95" w:rsidRDefault="00F24A95" w:rsidP="00F24A95">
      <w:pPr>
        <w:pStyle w:val="NoSpacing"/>
        <w:spacing w:line="360" w:lineRule="auto"/>
        <w:jc w:val="both"/>
        <w:rPr>
          <w:rFonts w:ascii="Arial" w:hAnsi="Arial" w:cs="Arial"/>
          <w:sz w:val="24"/>
          <w:szCs w:val="24"/>
        </w:rPr>
      </w:pPr>
    </w:p>
    <w:p w14:paraId="21F95B00" w14:textId="5FF8594F" w:rsidR="00F24A95" w:rsidRDefault="00F24A95" w:rsidP="00F24A95">
      <w:pPr>
        <w:pStyle w:val="NoSpacing"/>
        <w:spacing w:line="360" w:lineRule="auto"/>
        <w:jc w:val="both"/>
        <w:rPr>
          <w:rFonts w:ascii="Arial" w:hAnsi="Arial" w:cs="Arial"/>
          <w:sz w:val="24"/>
          <w:szCs w:val="24"/>
        </w:rPr>
      </w:pPr>
      <w:r w:rsidRPr="00F24A95">
        <w:rPr>
          <w:rFonts w:ascii="Arial" w:hAnsi="Arial" w:cs="Arial"/>
          <w:i/>
          <w:sz w:val="24"/>
          <w:szCs w:val="24"/>
        </w:rPr>
        <w:lastRenderedPageBreak/>
        <w:t>Held that</w:t>
      </w:r>
      <w:r>
        <w:rPr>
          <w:rFonts w:ascii="Arial" w:hAnsi="Arial" w:cs="Arial"/>
          <w:sz w:val="24"/>
          <w:szCs w:val="24"/>
        </w:rPr>
        <w:t xml:space="preserve">, </w:t>
      </w:r>
      <w:r w:rsidR="005E245A">
        <w:rPr>
          <w:rFonts w:ascii="Arial" w:hAnsi="Arial" w:cs="Arial"/>
          <w:sz w:val="24"/>
          <w:szCs w:val="24"/>
        </w:rPr>
        <w:t xml:space="preserve">a default judgment is not a final judgment in terms of </w:t>
      </w:r>
      <w:r w:rsidR="00714C19">
        <w:rPr>
          <w:rFonts w:ascii="Arial" w:hAnsi="Arial" w:cs="Arial"/>
          <w:sz w:val="24"/>
          <w:szCs w:val="24"/>
        </w:rPr>
        <w:t>s 18 of the High Court Act 16 of 1990, t</w:t>
      </w:r>
      <w:r w:rsidR="00714C19" w:rsidRPr="00714C19">
        <w:rPr>
          <w:rFonts w:ascii="Arial" w:hAnsi="Arial" w:cs="Arial"/>
          <w:sz w:val="24"/>
          <w:szCs w:val="24"/>
        </w:rPr>
        <w:t xml:space="preserve">o the extent that in terms of Rule 16, the High Court still has the competence to rescind its order </w:t>
      </w:r>
      <w:r w:rsidR="00304C99">
        <w:rPr>
          <w:rFonts w:ascii="Arial" w:hAnsi="Arial" w:cs="Arial"/>
          <w:sz w:val="24"/>
          <w:szCs w:val="24"/>
        </w:rPr>
        <w:t xml:space="preserve">that granted </w:t>
      </w:r>
      <w:r w:rsidR="00714C19" w:rsidRPr="00714C19">
        <w:rPr>
          <w:rFonts w:ascii="Arial" w:hAnsi="Arial" w:cs="Arial"/>
          <w:sz w:val="24"/>
          <w:szCs w:val="24"/>
        </w:rPr>
        <w:t>default judgment</w:t>
      </w:r>
      <w:r w:rsidR="00714C19">
        <w:rPr>
          <w:rFonts w:ascii="Arial" w:hAnsi="Arial" w:cs="Arial"/>
          <w:sz w:val="24"/>
          <w:szCs w:val="24"/>
        </w:rPr>
        <w:t>.</w:t>
      </w:r>
      <w:r w:rsidR="00304C99">
        <w:rPr>
          <w:rFonts w:ascii="Arial" w:hAnsi="Arial" w:cs="Arial"/>
          <w:sz w:val="24"/>
          <w:szCs w:val="24"/>
        </w:rPr>
        <w:t xml:space="preserve"> If a rescission application is out of time, the judgment debtor should seek condonation from the High Court. An appeal to this court will only lie against the High Court’s refusal of a rescission application.</w:t>
      </w:r>
    </w:p>
    <w:p w14:paraId="7624C70B" w14:textId="77777777" w:rsidR="00F24A95" w:rsidRDefault="00F24A95" w:rsidP="00F24A95">
      <w:pPr>
        <w:pStyle w:val="NoSpacing"/>
        <w:spacing w:line="360" w:lineRule="auto"/>
        <w:jc w:val="both"/>
        <w:rPr>
          <w:rFonts w:ascii="Arial" w:hAnsi="Arial" w:cs="Arial"/>
          <w:sz w:val="24"/>
          <w:szCs w:val="24"/>
        </w:rPr>
      </w:pPr>
    </w:p>
    <w:p w14:paraId="7BF4EC1A" w14:textId="17FF9B22" w:rsidR="00F24A95" w:rsidRDefault="00F24A95" w:rsidP="00F24A95">
      <w:pPr>
        <w:pStyle w:val="NoSpacing"/>
        <w:spacing w:line="360" w:lineRule="auto"/>
        <w:jc w:val="both"/>
        <w:rPr>
          <w:rFonts w:ascii="Arial" w:hAnsi="Arial" w:cs="Arial"/>
          <w:sz w:val="24"/>
          <w:szCs w:val="24"/>
        </w:rPr>
      </w:pPr>
      <w:r>
        <w:rPr>
          <w:rFonts w:ascii="Arial" w:hAnsi="Arial" w:cs="Arial"/>
          <w:sz w:val="24"/>
          <w:szCs w:val="24"/>
        </w:rPr>
        <w:t>The appeal is dismissed</w:t>
      </w:r>
      <w:r w:rsidR="0007567C">
        <w:rPr>
          <w:rFonts w:ascii="Arial" w:hAnsi="Arial" w:cs="Arial"/>
          <w:sz w:val="24"/>
          <w:szCs w:val="24"/>
        </w:rPr>
        <w:t>,</w:t>
      </w:r>
      <w:r>
        <w:rPr>
          <w:rFonts w:ascii="Arial" w:hAnsi="Arial" w:cs="Arial"/>
          <w:sz w:val="24"/>
          <w:szCs w:val="24"/>
        </w:rPr>
        <w:t xml:space="preserve"> with costs.</w:t>
      </w:r>
    </w:p>
    <w:p w14:paraId="7E128C11" w14:textId="77777777" w:rsidR="00455B20" w:rsidRPr="00991107" w:rsidRDefault="00455B20" w:rsidP="00455B20">
      <w:pPr>
        <w:pStyle w:val="NoSpacing"/>
        <w:rPr>
          <w:rFonts w:ascii="Arial" w:hAnsi="Arial" w:cs="Arial"/>
          <w:sz w:val="24"/>
          <w:szCs w:val="24"/>
        </w:rPr>
      </w:pPr>
      <w:r>
        <w:rPr>
          <w:rFonts w:ascii="Arial" w:hAnsi="Arial" w:cs="Arial"/>
          <w:sz w:val="24"/>
          <w:szCs w:val="24"/>
        </w:rPr>
        <w:t>___________________________________________________________________</w:t>
      </w:r>
    </w:p>
    <w:p w14:paraId="2894544D" w14:textId="77777777" w:rsidR="00455B20" w:rsidRPr="00991107" w:rsidRDefault="00455B20" w:rsidP="00455B20">
      <w:pPr>
        <w:pStyle w:val="NoSpacing"/>
        <w:rPr>
          <w:rFonts w:ascii="Arial" w:hAnsi="Arial" w:cs="Arial"/>
          <w:sz w:val="24"/>
          <w:szCs w:val="24"/>
        </w:rPr>
      </w:pPr>
    </w:p>
    <w:p w14:paraId="5D72C5A5" w14:textId="77777777" w:rsidR="00455B20" w:rsidRPr="00970591" w:rsidRDefault="00455B20" w:rsidP="00455B20">
      <w:pPr>
        <w:pStyle w:val="NoSpacing"/>
        <w:jc w:val="center"/>
        <w:rPr>
          <w:rFonts w:ascii="Arial" w:hAnsi="Arial" w:cs="Arial"/>
          <w:b/>
          <w:sz w:val="24"/>
          <w:szCs w:val="24"/>
        </w:rPr>
      </w:pPr>
      <w:r>
        <w:rPr>
          <w:rFonts w:ascii="Arial" w:hAnsi="Arial" w:cs="Arial"/>
          <w:b/>
          <w:sz w:val="24"/>
          <w:szCs w:val="24"/>
        </w:rPr>
        <w:t xml:space="preserve">JUDGMENT PURSUANT TO A RULE 6 APPLICATION </w:t>
      </w:r>
    </w:p>
    <w:p w14:paraId="17152336" w14:textId="77777777" w:rsidR="00455B20" w:rsidRDefault="00455B20" w:rsidP="00455B20">
      <w:pPr>
        <w:pStyle w:val="NoSpacing"/>
        <w:rPr>
          <w:rFonts w:ascii="Arial" w:hAnsi="Arial" w:cs="Arial"/>
          <w:sz w:val="24"/>
          <w:szCs w:val="24"/>
        </w:rPr>
      </w:pPr>
      <w:r>
        <w:rPr>
          <w:rFonts w:ascii="Arial" w:hAnsi="Arial" w:cs="Arial"/>
          <w:sz w:val="24"/>
          <w:szCs w:val="24"/>
        </w:rPr>
        <w:t>___________________________________________________________________</w:t>
      </w:r>
    </w:p>
    <w:p w14:paraId="5F076633" w14:textId="019FD091" w:rsidR="00B877C3" w:rsidRPr="000624E9" w:rsidRDefault="009F2268" w:rsidP="000624E9">
      <w:pPr>
        <w:pStyle w:val="NoSpacing"/>
        <w:spacing w:line="480" w:lineRule="auto"/>
        <w:rPr>
          <w:rFonts w:ascii="Arial" w:hAnsi="Arial" w:cs="Arial"/>
          <w:sz w:val="24"/>
          <w:szCs w:val="24"/>
        </w:rPr>
      </w:pPr>
      <w:r>
        <w:rPr>
          <w:rFonts w:ascii="Arial" w:hAnsi="Arial" w:cs="Arial"/>
          <w:sz w:val="24"/>
          <w:szCs w:val="24"/>
        </w:rPr>
        <w:t>DAMASEB DCJ</w:t>
      </w:r>
      <w:r w:rsidR="00455B20">
        <w:rPr>
          <w:rFonts w:ascii="Arial" w:hAnsi="Arial" w:cs="Arial"/>
          <w:sz w:val="24"/>
          <w:szCs w:val="24"/>
        </w:rPr>
        <w:t>:</w:t>
      </w:r>
    </w:p>
    <w:p w14:paraId="39E89F40" w14:textId="77777777" w:rsidR="00455B20" w:rsidRPr="00C81290" w:rsidRDefault="00455B20" w:rsidP="00455B20">
      <w:pPr>
        <w:pStyle w:val="NoSpacing"/>
        <w:spacing w:line="480" w:lineRule="auto"/>
        <w:jc w:val="both"/>
        <w:rPr>
          <w:rFonts w:ascii="Arial" w:hAnsi="Arial" w:cs="Arial"/>
          <w:sz w:val="24"/>
          <w:szCs w:val="24"/>
          <w:u w:val="single"/>
        </w:rPr>
      </w:pPr>
      <w:r w:rsidRPr="00C81290">
        <w:rPr>
          <w:rFonts w:ascii="Arial" w:hAnsi="Arial" w:cs="Arial"/>
          <w:sz w:val="24"/>
          <w:szCs w:val="24"/>
          <w:u w:val="single"/>
        </w:rPr>
        <w:t>Introduction</w:t>
      </w:r>
    </w:p>
    <w:p w14:paraId="2C32233B" w14:textId="3EB52252" w:rsidR="00487760" w:rsidRDefault="00487760" w:rsidP="00444B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w:t>
      </w:r>
      <w:r w:rsidR="00D82C6D">
        <w:rPr>
          <w:rFonts w:ascii="Arial" w:hAnsi="Arial" w:cs="Arial"/>
          <w:sz w:val="24"/>
          <w:szCs w:val="24"/>
        </w:rPr>
        <w:t>n account of the respondent</w:t>
      </w:r>
      <w:r w:rsidR="0055431B">
        <w:rPr>
          <w:rFonts w:ascii="Arial" w:hAnsi="Arial" w:cs="Arial"/>
          <w:sz w:val="24"/>
          <w:szCs w:val="24"/>
        </w:rPr>
        <w:t>’s</w:t>
      </w:r>
      <w:r>
        <w:rPr>
          <w:rFonts w:ascii="Arial" w:hAnsi="Arial" w:cs="Arial"/>
          <w:sz w:val="24"/>
          <w:szCs w:val="24"/>
        </w:rPr>
        <w:t xml:space="preserve"> (who was the defendant </w:t>
      </w:r>
      <w:r w:rsidRPr="00487760">
        <w:rPr>
          <w:rFonts w:ascii="Arial" w:hAnsi="Arial" w:cs="Arial"/>
          <w:i/>
          <w:sz w:val="24"/>
          <w:szCs w:val="24"/>
        </w:rPr>
        <w:t>a quo</w:t>
      </w:r>
      <w:r w:rsidR="00C76697">
        <w:rPr>
          <w:rFonts w:ascii="Arial" w:hAnsi="Arial" w:cs="Arial"/>
          <w:sz w:val="24"/>
          <w:szCs w:val="24"/>
        </w:rPr>
        <w:t>) default</w:t>
      </w:r>
      <w:r>
        <w:rPr>
          <w:rFonts w:ascii="Arial" w:hAnsi="Arial" w:cs="Arial"/>
          <w:sz w:val="24"/>
          <w:szCs w:val="24"/>
        </w:rPr>
        <w:t xml:space="preserve"> to defend a combined summons against her, the applicant in this Rule 6 application obtained a default judgment against </w:t>
      </w:r>
      <w:r w:rsidR="005C3255">
        <w:rPr>
          <w:rFonts w:ascii="Arial" w:hAnsi="Arial" w:cs="Arial"/>
          <w:sz w:val="24"/>
          <w:szCs w:val="24"/>
        </w:rPr>
        <w:t>her</w:t>
      </w:r>
      <w:r>
        <w:rPr>
          <w:rFonts w:ascii="Arial" w:hAnsi="Arial" w:cs="Arial"/>
          <w:sz w:val="24"/>
          <w:szCs w:val="24"/>
        </w:rPr>
        <w:t>. The applicant then proceeded in terms of Rule 108 of the High Court Rules, to declare the respondent</w:t>
      </w:r>
      <w:r w:rsidR="00C76697">
        <w:rPr>
          <w:rFonts w:ascii="Arial" w:hAnsi="Arial" w:cs="Arial"/>
          <w:sz w:val="24"/>
          <w:szCs w:val="24"/>
        </w:rPr>
        <w:t>’</w:t>
      </w:r>
      <w:r>
        <w:rPr>
          <w:rFonts w:ascii="Arial" w:hAnsi="Arial" w:cs="Arial"/>
          <w:sz w:val="24"/>
          <w:szCs w:val="24"/>
        </w:rPr>
        <w:t>s immovable property specially executable in satisfaction of an underlying debt totalling N$ 619 299.53.</w:t>
      </w:r>
    </w:p>
    <w:p w14:paraId="1A7E6521" w14:textId="77777777" w:rsidR="00487760" w:rsidRDefault="00487760" w:rsidP="00487760">
      <w:pPr>
        <w:pStyle w:val="NoSpacing"/>
        <w:spacing w:line="480" w:lineRule="auto"/>
        <w:jc w:val="both"/>
        <w:rPr>
          <w:rFonts w:ascii="Arial" w:hAnsi="Arial" w:cs="Arial"/>
          <w:sz w:val="24"/>
          <w:szCs w:val="24"/>
        </w:rPr>
      </w:pPr>
    </w:p>
    <w:p w14:paraId="7DFA5C88" w14:textId="6197316D" w:rsidR="00487760" w:rsidRDefault="00630B7E" w:rsidP="00444B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default judgment was </w:t>
      </w:r>
      <w:r w:rsidR="00C970E0">
        <w:rPr>
          <w:rFonts w:ascii="Arial" w:hAnsi="Arial" w:cs="Arial"/>
          <w:sz w:val="24"/>
          <w:szCs w:val="24"/>
        </w:rPr>
        <w:t>granted</w:t>
      </w:r>
      <w:r>
        <w:rPr>
          <w:rFonts w:ascii="Arial" w:hAnsi="Arial" w:cs="Arial"/>
          <w:sz w:val="24"/>
          <w:szCs w:val="24"/>
        </w:rPr>
        <w:t xml:space="preserve"> on 10 September 2019 and the Rule 108 order was granted on 27 September 2021</w:t>
      </w:r>
      <w:r w:rsidR="005C3255">
        <w:rPr>
          <w:rFonts w:ascii="Arial" w:hAnsi="Arial" w:cs="Arial"/>
          <w:sz w:val="24"/>
          <w:szCs w:val="24"/>
        </w:rPr>
        <w:t>, some two years after default judgment was obtained</w:t>
      </w:r>
      <w:r>
        <w:rPr>
          <w:rFonts w:ascii="Arial" w:hAnsi="Arial" w:cs="Arial"/>
          <w:sz w:val="24"/>
          <w:szCs w:val="24"/>
        </w:rPr>
        <w:t xml:space="preserve">. </w:t>
      </w:r>
    </w:p>
    <w:p w14:paraId="08BCBA6E" w14:textId="77777777" w:rsidR="009F2268" w:rsidRPr="009F2268" w:rsidRDefault="009F2268" w:rsidP="009F2268">
      <w:pPr>
        <w:pStyle w:val="NoSpacing"/>
        <w:spacing w:line="480" w:lineRule="auto"/>
        <w:jc w:val="both"/>
        <w:rPr>
          <w:rFonts w:ascii="Arial" w:hAnsi="Arial" w:cs="Arial"/>
          <w:sz w:val="24"/>
          <w:szCs w:val="24"/>
        </w:rPr>
      </w:pPr>
    </w:p>
    <w:p w14:paraId="4B48CC87" w14:textId="77777777" w:rsidR="00455B20" w:rsidRPr="009F2268" w:rsidRDefault="009F2268" w:rsidP="00455B20">
      <w:pPr>
        <w:pStyle w:val="NoSpacing"/>
        <w:spacing w:line="480" w:lineRule="auto"/>
        <w:jc w:val="both"/>
        <w:rPr>
          <w:rFonts w:ascii="Arial" w:hAnsi="Arial" w:cs="Arial"/>
          <w:sz w:val="24"/>
          <w:szCs w:val="24"/>
          <w:u w:val="single"/>
        </w:rPr>
      </w:pPr>
      <w:r w:rsidRPr="009F2268">
        <w:rPr>
          <w:rFonts w:ascii="Arial" w:hAnsi="Arial" w:cs="Arial"/>
          <w:sz w:val="24"/>
          <w:szCs w:val="24"/>
          <w:u w:val="single"/>
        </w:rPr>
        <w:t xml:space="preserve">Background </w:t>
      </w:r>
    </w:p>
    <w:p w14:paraId="42DB2438" w14:textId="00500967" w:rsidR="009F2268" w:rsidRDefault="00B27793" w:rsidP="002F08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C76697">
        <w:rPr>
          <w:rFonts w:ascii="Arial" w:hAnsi="Arial" w:cs="Arial"/>
          <w:sz w:val="24"/>
          <w:szCs w:val="24"/>
        </w:rPr>
        <w:t>applicant</w:t>
      </w:r>
      <w:r>
        <w:rPr>
          <w:rFonts w:ascii="Arial" w:hAnsi="Arial" w:cs="Arial"/>
          <w:sz w:val="24"/>
          <w:szCs w:val="24"/>
        </w:rPr>
        <w:t xml:space="preserve"> instituted action proceedings against the </w:t>
      </w:r>
      <w:r w:rsidR="00C76697">
        <w:rPr>
          <w:rFonts w:ascii="Arial" w:hAnsi="Arial" w:cs="Arial"/>
          <w:sz w:val="24"/>
          <w:szCs w:val="24"/>
        </w:rPr>
        <w:t xml:space="preserve">respondent </w:t>
      </w:r>
      <w:r>
        <w:rPr>
          <w:rFonts w:ascii="Arial" w:hAnsi="Arial" w:cs="Arial"/>
          <w:sz w:val="24"/>
          <w:szCs w:val="24"/>
        </w:rPr>
        <w:t>for the payment of N</w:t>
      </w:r>
      <w:r w:rsidR="00127984">
        <w:rPr>
          <w:rFonts w:ascii="Arial" w:hAnsi="Arial" w:cs="Arial"/>
          <w:sz w:val="24"/>
          <w:szCs w:val="24"/>
        </w:rPr>
        <w:t>$ 619 299.53 and interest. On 10</w:t>
      </w:r>
      <w:r>
        <w:rPr>
          <w:rFonts w:ascii="Arial" w:hAnsi="Arial" w:cs="Arial"/>
          <w:sz w:val="24"/>
          <w:szCs w:val="24"/>
        </w:rPr>
        <w:t xml:space="preserve"> September 20</w:t>
      </w:r>
      <w:r w:rsidR="00127984">
        <w:rPr>
          <w:rFonts w:ascii="Arial" w:hAnsi="Arial" w:cs="Arial"/>
          <w:sz w:val="24"/>
          <w:szCs w:val="24"/>
        </w:rPr>
        <w:t>19</w:t>
      </w:r>
      <w:r w:rsidR="00C76697">
        <w:rPr>
          <w:rFonts w:ascii="Arial" w:hAnsi="Arial" w:cs="Arial"/>
          <w:sz w:val="24"/>
          <w:szCs w:val="24"/>
        </w:rPr>
        <w:t xml:space="preserve">, the High Court (in chambers) </w:t>
      </w:r>
      <w:r>
        <w:rPr>
          <w:rFonts w:ascii="Arial" w:hAnsi="Arial" w:cs="Arial"/>
          <w:sz w:val="24"/>
          <w:szCs w:val="24"/>
        </w:rPr>
        <w:t xml:space="preserve">granted </w:t>
      </w:r>
      <w:r w:rsidR="00C76697">
        <w:rPr>
          <w:rFonts w:ascii="Arial" w:hAnsi="Arial" w:cs="Arial"/>
          <w:sz w:val="24"/>
          <w:szCs w:val="24"/>
        </w:rPr>
        <w:t>judgment by default to the applicant. On 16 September 2019, t</w:t>
      </w:r>
      <w:r w:rsidR="002F089A">
        <w:rPr>
          <w:rFonts w:ascii="Arial" w:hAnsi="Arial" w:cs="Arial"/>
          <w:sz w:val="24"/>
          <w:szCs w:val="24"/>
        </w:rPr>
        <w:t xml:space="preserve">he </w:t>
      </w:r>
      <w:r w:rsidR="00C76697">
        <w:rPr>
          <w:rFonts w:ascii="Arial" w:hAnsi="Arial" w:cs="Arial"/>
          <w:sz w:val="24"/>
          <w:szCs w:val="24"/>
        </w:rPr>
        <w:t xml:space="preserve">applicant </w:t>
      </w:r>
      <w:r>
        <w:rPr>
          <w:rFonts w:ascii="Arial" w:hAnsi="Arial" w:cs="Arial"/>
          <w:sz w:val="24"/>
          <w:szCs w:val="24"/>
        </w:rPr>
        <w:t xml:space="preserve">caused a writ of </w:t>
      </w:r>
      <w:r w:rsidR="002F089A">
        <w:rPr>
          <w:rFonts w:ascii="Arial" w:hAnsi="Arial" w:cs="Arial"/>
          <w:sz w:val="24"/>
          <w:szCs w:val="24"/>
        </w:rPr>
        <w:t>execution</w:t>
      </w:r>
      <w:r>
        <w:rPr>
          <w:rFonts w:ascii="Arial" w:hAnsi="Arial" w:cs="Arial"/>
          <w:sz w:val="24"/>
          <w:szCs w:val="24"/>
        </w:rPr>
        <w:t xml:space="preserve"> to be issued against the </w:t>
      </w:r>
      <w:r w:rsidR="00C76697">
        <w:rPr>
          <w:rFonts w:ascii="Arial" w:hAnsi="Arial" w:cs="Arial"/>
          <w:sz w:val="24"/>
          <w:szCs w:val="24"/>
        </w:rPr>
        <w:t xml:space="preserve">respondent’s movable </w:t>
      </w:r>
      <w:r w:rsidR="00127984">
        <w:rPr>
          <w:rFonts w:ascii="Arial" w:hAnsi="Arial" w:cs="Arial"/>
          <w:sz w:val="24"/>
          <w:szCs w:val="24"/>
        </w:rPr>
        <w:lastRenderedPageBreak/>
        <w:t>properties</w:t>
      </w:r>
      <w:r>
        <w:rPr>
          <w:rFonts w:ascii="Arial" w:hAnsi="Arial" w:cs="Arial"/>
          <w:sz w:val="24"/>
          <w:szCs w:val="24"/>
        </w:rPr>
        <w:t xml:space="preserve">. The deputy sheriff returned a </w:t>
      </w:r>
      <w:r w:rsidRPr="00B27793">
        <w:rPr>
          <w:rFonts w:ascii="Arial" w:hAnsi="Arial" w:cs="Arial"/>
          <w:i/>
          <w:sz w:val="24"/>
          <w:szCs w:val="24"/>
        </w:rPr>
        <w:t>nulla bona</w:t>
      </w:r>
      <w:r>
        <w:rPr>
          <w:rFonts w:ascii="Arial" w:hAnsi="Arial" w:cs="Arial"/>
          <w:sz w:val="24"/>
          <w:szCs w:val="24"/>
        </w:rPr>
        <w:t xml:space="preserve"> return on 27 January </w:t>
      </w:r>
      <w:r w:rsidR="002F089A">
        <w:rPr>
          <w:rFonts w:ascii="Arial" w:hAnsi="Arial" w:cs="Arial"/>
          <w:sz w:val="24"/>
          <w:szCs w:val="24"/>
        </w:rPr>
        <w:t xml:space="preserve">2020 </w:t>
      </w:r>
      <w:r>
        <w:rPr>
          <w:rFonts w:ascii="Arial" w:hAnsi="Arial" w:cs="Arial"/>
          <w:sz w:val="24"/>
          <w:szCs w:val="24"/>
        </w:rPr>
        <w:t xml:space="preserve">after personally serving the writ of execution </w:t>
      </w:r>
      <w:r w:rsidR="003F5E4C">
        <w:rPr>
          <w:rFonts w:ascii="Arial" w:hAnsi="Arial" w:cs="Arial"/>
          <w:sz w:val="24"/>
          <w:szCs w:val="24"/>
        </w:rPr>
        <w:t xml:space="preserve">on </w:t>
      </w:r>
      <w:r w:rsidR="002F089A">
        <w:rPr>
          <w:rFonts w:ascii="Arial" w:hAnsi="Arial" w:cs="Arial"/>
          <w:sz w:val="24"/>
          <w:szCs w:val="24"/>
        </w:rPr>
        <w:t xml:space="preserve">the </w:t>
      </w:r>
      <w:r w:rsidR="00C76697">
        <w:rPr>
          <w:rFonts w:ascii="Arial" w:hAnsi="Arial" w:cs="Arial"/>
          <w:sz w:val="24"/>
          <w:szCs w:val="24"/>
        </w:rPr>
        <w:t>respondent</w:t>
      </w:r>
      <w:r w:rsidR="002F089A">
        <w:rPr>
          <w:rFonts w:ascii="Arial" w:hAnsi="Arial" w:cs="Arial"/>
          <w:sz w:val="24"/>
          <w:szCs w:val="24"/>
        </w:rPr>
        <w:t xml:space="preserve">. </w:t>
      </w:r>
      <w:r w:rsidR="005C3255">
        <w:rPr>
          <w:rFonts w:ascii="Arial" w:hAnsi="Arial" w:cs="Arial"/>
          <w:sz w:val="24"/>
          <w:szCs w:val="24"/>
        </w:rPr>
        <w:t>In other words, at the very latest, as of January 2020, the respondent knew that a judgment had been obtained against her.</w:t>
      </w:r>
    </w:p>
    <w:p w14:paraId="6C0955A1" w14:textId="77777777" w:rsidR="009F2268" w:rsidRDefault="009F2268" w:rsidP="009F2268">
      <w:pPr>
        <w:pStyle w:val="NoSpacing"/>
        <w:spacing w:line="480" w:lineRule="auto"/>
        <w:jc w:val="both"/>
        <w:rPr>
          <w:rFonts w:ascii="Arial" w:hAnsi="Arial" w:cs="Arial"/>
          <w:sz w:val="24"/>
          <w:szCs w:val="24"/>
        </w:rPr>
      </w:pPr>
    </w:p>
    <w:p w14:paraId="3D26E0CC" w14:textId="1A81ED93" w:rsidR="00186C3E" w:rsidRDefault="002F089A" w:rsidP="00A602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w:t>
      </w:r>
      <w:r w:rsidR="0092299D">
        <w:rPr>
          <w:rFonts w:ascii="Arial" w:hAnsi="Arial" w:cs="Arial"/>
          <w:sz w:val="24"/>
          <w:szCs w:val="24"/>
        </w:rPr>
        <w:t>27 September 2021</w:t>
      </w:r>
      <w:r w:rsidR="00455B20" w:rsidRPr="009F2268">
        <w:rPr>
          <w:rFonts w:ascii="Arial" w:hAnsi="Arial" w:cs="Arial"/>
          <w:sz w:val="24"/>
          <w:szCs w:val="24"/>
        </w:rPr>
        <w:t xml:space="preserve">, </w:t>
      </w:r>
      <w:r w:rsidR="00C970E0">
        <w:rPr>
          <w:rFonts w:ascii="Arial" w:hAnsi="Arial" w:cs="Arial"/>
          <w:sz w:val="24"/>
          <w:szCs w:val="24"/>
        </w:rPr>
        <w:t xml:space="preserve">at </w:t>
      </w:r>
      <w:r w:rsidR="00127984">
        <w:rPr>
          <w:rFonts w:ascii="Arial" w:hAnsi="Arial" w:cs="Arial"/>
          <w:sz w:val="24"/>
          <w:szCs w:val="24"/>
        </w:rPr>
        <w:t xml:space="preserve">the instance of the applicant, </w:t>
      </w:r>
      <w:r w:rsidR="00C970E0">
        <w:rPr>
          <w:rFonts w:ascii="Arial" w:hAnsi="Arial" w:cs="Arial"/>
          <w:sz w:val="24"/>
          <w:szCs w:val="24"/>
        </w:rPr>
        <w:t xml:space="preserve">the court </w:t>
      </w:r>
      <w:r w:rsidR="00C970E0" w:rsidRPr="00127984">
        <w:rPr>
          <w:rFonts w:ascii="Arial" w:hAnsi="Arial" w:cs="Arial"/>
          <w:i/>
          <w:sz w:val="24"/>
          <w:szCs w:val="24"/>
        </w:rPr>
        <w:t>a quo</w:t>
      </w:r>
      <w:r w:rsidR="00C970E0">
        <w:rPr>
          <w:rFonts w:ascii="Arial" w:hAnsi="Arial" w:cs="Arial"/>
          <w:sz w:val="24"/>
          <w:szCs w:val="24"/>
        </w:rPr>
        <w:t xml:space="preserve"> </w:t>
      </w:r>
      <w:r w:rsidR="00455B20" w:rsidRPr="009F2268">
        <w:rPr>
          <w:rFonts w:ascii="Arial" w:hAnsi="Arial" w:cs="Arial"/>
          <w:sz w:val="24"/>
          <w:szCs w:val="24"/>
        </w:rPr>
        <w:t>declare</w:t>
      </w:r>
      <w:r w:rsidR="00C970E0">
        <w:rPr>
          <w:rFonts w:ascii="Arial" w:hAnsi="Arial" w:cs="Arial"/>
          <w:sz w:val="24"/>
          <w:szCs w:val="24"/>
        </w:rPr>
        <w:t>d</w:t>
      </w:r>
      <w:r w:rsidR="00455B20" w:rsidRPr="009F2268">
        <w:rPr>
          <w:rFonts w:ascii="Arial" w:hAnsi="Arial" w:cs="Arial"/>
          <w:sz w:val="24"/>
          <w:szCs w:val="24"/>
        </w:rPr>
        <w:t xml:space="preserve"> the </w:t>
      </w:r>
      <w:r w:rsidR="00C76697">
        <w:rPr>
          <w:rFonts w:ascii="Arial" w:hAnsi="Arial" w:cs="Arial"/>
          <w:sz w:val="24"/>
          <w:szCs w:val="24"/>
        </w:rPr>
        <w:t>respondent’s immoveable property</w:t>
      </w:r>
      <w:r w:rsidR="00C970E0">
        <w:rPr>
          <w:rFonts w:ascii="Arial" w:hAnsi="Arial" w:cs="Arial"/>
          <w:sz w:val="24"/>
          <w:szCs w:val="24"/>
        </w:rPr>
        <w:t xml:space="preserve"> (</w:t>
      </w:r>
      <w:r w:rsidR="0092299D">
        <w:rPr>
          <w:rFonts w:ascii="Arial" w:hAnsi="Arial" w:cs="Arial"/>
          <w:sz w:val="24"/>
          <w:szCs w:val="24"/>
        </w:rPr>
        <w:t xml:space="preserve">No.12 Oluzizi </w:t>
      </w:r>
      <w:r w:rsidR="0092299D">
        <w:rPr>
          <w:rFonts w:ascii="Arial" w:hAnsi="Arial" w:cs="Arial"/>
          <w:sz w:val="24"/>
          <w:szCs w:val="24"/>
          <w:lang w:val="en-US"/>
        </w:rPr>
        <w:t>Villa, Khomasda</w:t>
      </w:r>
      <w:r w:rsidR="00C76697">
        <w:rPr>
          <w:rFonts w:ascii="Arial" w:hAnsi="Arial" w:cs="Arial"/>
          <w:sz w:val="24"/>
          <w:szCs w:val="24"/>
          <w:lang w:val="en-US"/>
        </w:rPr>
        <w:t>l</w:t>
      </w:r>
      <w:r w:rsidR="0092299D">
        <w:rPr>
          <w:rFonts w:ascii="Arial" w:hAnsi="Arial" w:cs="Arial"/>
          <w:sz w:val="24"/>
          <w:szCs w:val="24"/>
          <w:lang w:val="en-US"/>
        </w:rPr>
        <w:t>, Ext. 16</w:t>
      </w:r>
      <w:r w:rsidR="00C970E0">
        <w:rPr>
          <w:rFonts w:ascii="Arial" w:hAnsi="Arial" w:cs="Arial"/>
          <w:sz w:val="24"/>
          <w:szCs w:val="24"/>
          <w:lang w:val="en-US"/>
        </w:rPr>
        <w:t>)</w:t>
      </w:r>
      <w:r w:rsidR="00455B20" w:rsidRPr="009F2268">
        <w:rPr>
          <w:rFonts w:ascii="Arial" w:hAnsi="Arial" w:cs="Arial"/>
          <w:sz w:val="24"/>
          <w:szCs w:val="24"/>
        </w:rPr>
        <w:t xml:space="preserve"> </w:t>
      </w:r>
      <w:r w:rsidR="00C76697">
        <w:rPr>
          <w:rFonts w:ascii="Arial" w:hAnsi="Arial" w:cs="Arial"/>
          <w:sz w:val="24"/>
          <w:szCs w:val="24"/>
        </w:rPr>
        <w:t xml:space="preserve">specially </w:t>
      </w:r>
      <w:r w:rsidR="00455B20" w:rsidRPr="009F2268">
        <w:rPr>
          <w:rFonts w:ascii="Arial" w:hAnsi="Arial" w:cs="Arial"/>
          <w:sz w:val="24"/>
          <w:szCs w:val="24"/>
        </w:rPr>
        <w:t>executable.</w:t>
      </w:r>
    </w:p>
    <w:p w14:paraId="178ACDC0" w14:textId="77777777" w:rsidR="00D82C6D" w:rsidRPr="00D82C6D" w:rsidRDefault="00D82C6D" w:rsidP="00D82C6D">
      <w:pPr>
        <w:pStyle w:val="NoSpacing"/>
        <w:spacing w:line="480" w:lineRule="auto"/>
        <w:jc w:val="both"/>
        <w:rPr>
          <w:rFonts w:ascii="Arial" w:hAnsi="Arial" w:cs="Arial"/>
          <w:sz w:val="24"/>
          <w:szCs w:val="24"/>
        </w:rPr>
      </w:pPr>
    </w:p>
    <w:p w14:paraId="4303F7D8" w14:textId="77777777" w:rsidR="00A602DF" w:rsidRDefault="00A602DF" w:rsidP="00A602DF">
      <w:pPr>
        <w:pStyle w:val="NoSpacing"/>
        <w:spacing w:line="480" w:lineRule="auto"/>
        <w:jc w:val="both"/>
        <w:rPr>
          <w:rFonts w:ascii="Arial" w:hAnsi="Arial" w:cs="Arial"/>
          <w:sz w:val="24"/>
          <w:szCs w:val="24"/>
          <w:u w:val="single"/>
        </w:rPr>
      </w:pPr>
      <w:r w:rsidRPr="00A602DF">
        <w:rPr>
          <w:rFonts w:ascii="Arial" w:hAnsi="Arial" w:cs="Arial"/>
          <w:sz w:val="24"/>
          <w:szCs w:val="24"/>
          <w:u w:val="single"/>
        </w:rPr>
        <w:t>Appeal</w:t>
      </w:r>
    </w:p>
    <w:p w14:paraId="0A48030C" w14:textId="5103494B" w:rsidR="00A602DF" w:rsidRDefault="005C3255" w:rsidP="00A96B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15 December 2023, t</w:t>
      </w:r>
      <w:r w:rsidR="00A96B2A" w:rsidRPr="00A96B2A">
        <w:rPr>
          <w:rFonts w:ascii="Arial" w:hAnsi="Arial" w:cs="Arial"/>
          <w:sz w:val="24"/>
          <w:szCs w:val="24"/>
        </w:rPr>
        <w:t xml:space="preserve">he </w:t>
      </w:r>
      <w:r w:rsidR="00C76697">
        <w:rPr>
          <w:rFonts w:ascii="Arial" w:hAnsi="Arial" w:cs="Arial"/>
          <w:sz w:val="24"/>
          <w:szCs w:val="24"/>
        </w:rPr>
        <w:t>respondent appealed the</w:t>
      </w:r>
      <w:r w:rsidR="00A96B2A">
        <w:rPr>
          <w:rFonts w:ascii="Arial" w:hAnsi="Arial" w:cs="Arial"/>
          <w:sz w:val="24"/>
          <w:szCs w:val="24"/>
        </w:rPr>
        <w:t xml:space="preserve"> orders granted </w:t>
      </w:r>
      <w:r w:rsidR="00C30F6A">
        <w:rPr>
          <w:rFonts w:ascii="Arial" w:hAnsi="Arial" w:cs="Arial"/>
          <w:sz w:val="24"/>
          <w:szCs w:val="24"/>
        </w:rPr>
        <w:t xml:space="preserve">against her, </w:t>
      </w:r>
      <w:r w:rsidR="00D51D85">
        <w:rPr>
          <w:rFonts w:ascii="Arial" w:hAnsi="Arial" w:cs="Arial"/>
          <w:sz w:val="24"/>
          <w:szCs w:val="24"/>
        </w:rPr>
        <w:t xml:space="preserve">alleging </w:t>
      </w:r>
      <w:r w:rsidR="00A96B2A">
        <w:rPr>
          <w:rFonts w:ascii="Arial" w:hAnsi="Arial" w:cs="Arial"/>
          <w:sz w:val="24"/>
          <w:szCs w:val="24"/>
        </w:rPr>
        <w:t xml:space="preserve">that the judgment </w:t>
      </w:r>
      <w:r w:rsidR="00D51D85">
        <w:rPr>
          <w:rFonts w:ascii="Arial" w:hAnsi="Arial" w:cs="Arial"/>
          <w:sz w:val="24"/>
          <w:szCs w:val="24"/>
        </w:rPr>
        <w:t>and orders</w:t>
      </w:r>
      <w:r w:rsidR="00A96B2A">
        <w:rPr>
          <w:rFonts w:ascii="Arial" w:hAnsi="Arial" w:cs="Arial"/>
          <w:sz w:val="24"/>
          <w:szCs w:val="24"/>
        </w:rPr>
        <w:t xml:space="preserve"> infringe h</w:t>
      </w:r>
      <w:r w:rsidR="00C76697">
        <w:rPr>
          <w:rFonts w:ascii="Arial" w:hAnsi="Arial" w:cs="Arial"/>
          <w:sz w:val="24"/>
          <w:szCs w:val="24"/>
        </w:rPr>
        <w:t>er</w:t>
      </w:r>
      <w:r w:rsidR="00A96B2A">
        <w:rPr>
          <w:rFonts w:ascii="Arial" w:hAnsi="Arial" w:cs="Arial"/>
          <w:sz w:val="24"/>
          <w:szCs w:val="24"/>
        </w:rPr>
        <w:t xml:space="preserve"> right to a fair trial in terms of Art. 12 of the Namibian Constitution and that the particulars of claim w</w:t>
      </w:r>
      <w:r w:rsidR="00C76697">
        <w:rPr>
          <w:rFonts w:ascii="Arial" w:hAnsi="Arial" w:cs="Arial"/>
          <w:sz w:val="24"/>
          <w:szCs w:val="24"/>
        </w:rPr>
        <w:t>ere</w:t>
      </w:r>
      <w:r w:rsidR="00A96B2A">
        <w:rPr>
          <w:rFonts w:ascii="Arial" w:hAnsi="Arial" w:cs="Arial"/>
          <w:sz w:val="24"/>
          <w:szCs w:val="24"/>
        </w:rPr>
        <w:t xml:space="preserve"> </w:t>
      </w:r>
      <w:r w:rsidR="00C76697">
        <w:rPr>
          <w:rFonts w:ascii="Arial" w:hAnsi="Arial" w:cs="Arial"/>
          <w:sz w:val="24"/>
          <w:szCs w:val="24"/>
        </w:rPr>
        <w:t>‘</w:t>
      </w:r>
      <w:r w:rsidR="00186C3E">
        <w:rPr>
          <w:rFonts w:ascii="Arial" w:hAnsi="Arial" w:cs="Arial"/>
          <w:sz w:val="24"/>
          <w:szCs w:val="24"/>
        </w:rPr>
        <w:t>misplaced and misleading</w:t>
      </w:r>
      <w:r w:rsidR="00C76697">
        <w:rPr>
          <w:rFonts w:ascii="Arial" w:hAnsi="Arial" w:cs="Arial"/>
          <w:sz w:val="24"/>
          <w:szCs w:val="24"/>
        </w:rPr>
        <w:t>’</w:t>
      </w:r>
      <w:r w:rsidR="00186C3E">
        <w:rPr>
          <w:rFonts w:ascii="Arial" w:hAnsi="Arial" w:cs="Arial"/>
          <w:sz w:val="24"/>
          <w:szCs w:val="24"/>
        </w:rPr>
        <w:t xml:space="preserve">. The </w:t>
      </w:r>
      <w:r w:rsidR="00C76697">
        <w:rPr>
          <w:rFonts w:ascii="Arial" w:hAnsi="Arial" w:cs="Arial"/>
          <w:sz w:val="24"/>
          <w:szCs w:val="24"/>
        </w:rPr>
        <w:t>respondent</w:t>
      </w:r>
      <w:r w:rsidR="00186C3E">
        <w:rPr>
          <w:rFonts w:ascii="Arial" w:hAnsi="Arial" w:cs="Arial"/>
          <w:sz w:val="24"/>
          <w:szCs w:val="24"/>
        </w:rPr>
        <w:t xml:space="preserve"> </w:t>
      </w:r>
      <w:r w:rsidR="00D51D85">
        <w:rPr>
          <w:rFonts w:ascii="Arial" w:hAnsi="Arial" w:cs="Arial"/>
          <w:sz w:val="24"/>
          <w:szCs w:val="24"/>
        </w:rPr>
        <w:t xml:space="preserve">claimed that </w:t>
      </w:r>
      <w:r w:rsidR="00186C3E">
        <w:rPr>
          <w:rFonts w:ascii="Arial" w:hAnsi="Arial" w:cs="Arial"/>
          <w:sz w:val="24"/>
          <w:szCs w:val="24"/>
        </w:rPr>
        <w:t>she</w:t>
      </w:r>
      <w:r w:rsidR="00D76A4A">
        <w:rPr>
          <w:rFonts w:ascii="Arial" w:hAnsi="Arial" w:cs="Arial"/>
          <w:sz w:val="24"/>
          <w:szCs w:val="24"/>
        </w:rPr>
        <w:t xml:space="preserve"> addressed numerous communications to the </w:t>
      </w:r>
      <w:r w:rsidR="00C76697">
        <w:rPr>
          <w:rFonts w:ascii="Arial" w:hAnsi="Arial" w:cs="Arial"/>
          <w:sz w:val="24"/>
          <w:szCs w:val="24"/>
        </w:rPr>
        <w:t xml:space="preserve">applicant </w:t>
      </w:r>
      <w:r w:rsidR="00186C3E">
        <w:rPr>
          <w:rFonts w:ascii="Arial" w:hAnsi="Arial" w:cs="Arial"/>
          <w:sz w:val="24"/>
          <w:szCs w:val="24"/>
        </w:rPr>
        <w:t xml:space="preserve">in an attempt </w:t>
      </w:r>
      <w:r w:rsidR="00D76A4A">
        <w:rPr>
          <w:rFonts w:ascii="Arial" w:hAnsi="Arial" w:cs="Arial"/>
          <w:sz w:val="24"/>
          <w:szCs w:val="24"/>
        </w:rPr>
        <w:t>to settle</w:t>
      </w:r>
      <w:r w:rsidR="00186C3E">
        <w:rPr>
          <w:rFonts w:ascii="Arial" w:hAnsi="Arial" w:cs="Arial"/>
          <w:sz w:val="24"/>
          <w:szCs w:val="24"/>
        </w:rPr>
        <w:t xml:space="preserve"> the debt </w:t>
      </w:r>
      <w:r w:rsidR="00D51D85">
        <w:rPr>
          <w:rFonts w:ascii="Arial" w:hAnsi="Arial" w:cs="Arial"/>
          <w:sz w:val="24"/>
          <w:szCs w:val="24"/>
        </w:rPr>
        <w:t>but</w:t>
      </w:r>
      <w:r w:rsidR="00186C3E">
        <w:rPr>
          <w:rFonts w:ascii="Arial" w:hAnsi="Arial" w:cs="Arial"/>
          <w:sz w:val="24"/>
          <w:szCs w:val="24"/>
        </w:rPr>
        <w:t xml:space="preserve"> </w:t>
      </w:r>
      <w:r w:rsidR="00D76A4A">
        <w:rPr>
          <w:rFonts w:ascii="Arial" w:hAnsi="Arial" w:cs="Arial"/>
          <w:sz w:val="24"/>
          <w:szCs w:val="24"/>
        </w:rPr>
        <w:t>that her attempts where either refused, neglected or ignored.</w:t>
      </w:r>
    </w:p>
    <w:p w14:paraId="07A99437" w14:textId="77777777" w:rsidR="00D76A4A" w:rsidRDefault="00D76A4A" w:rsidP="00D76A4A">
      <w:pPr>
        <w:pStyle w:val="NoSpacing"/>
        <w:spacing w:line="480" w:lineRule="auto"/>
        <w:jc w:val="both"/>
        <w:rPr>
          <w:rFonts w:ascii="Arial" w:hAnsi="Arial" w:cs="Arial"/>
          <w:sz w:val="24"/>
          <w:szCs w:val="24"/>
        </w:rPr>
      </w:pPr>
    </w:p>
    <w:p w14:paraId="0FA7C5F2" w14:textId="024EC0BA" w:rsidR="00D76A4A" w:rsidRDefault="00D51D85" w:rsidP="00D76A4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Since the purported appeal was filed out of time, the</w:t>
      </w:r>
      <w:r w:rsidR="00D76A4A">
        <w:rPr>
          <w:rFonts w:ascii="Arial" w:hAnsi="Arial" w:cs="Arial"/>
          <w:sz w:val="24"/>
          <w:szCs w:val="24"/>
        </w:rPr>
        <w:t xml:space="preserve"> </w:t>
      </w:r>
      <w:r w:rsidR="00C76697">
        <w:rPr>
          <w:rFonts w:ascii="Arial" w:hAnsi="Arial" w:cs="Arial"/>
          <w:sz w:val="24"/>
          <w:szCs w:val="24"/>
        </w:rPr>
        <w:t>respondent</w:t>
      </w:r>
      <w:r w:rsidR="005C3255">
        <w:rPr>
          <w:rFonts w:ascii="Arial" w:hAnsi="Arial" w:cs="Arial"/>
          <w:sz w:val="24"/>
          <w:szCs w:val="24"/>
        </w:rPr>
        <w:t xml:space="preserve"> filed</w:t>
      </w:r>
      <w:r w:rsidR="00D76A4A">
        <w:rPr>
          <w:rFonts w:ascii="Arial" w:hAnsi="Arial" w:cs="Arial"/>
          <w:sz w:val="24"/>
          <w:szCs w:val="24"/>
        </w:rPr>
        <w:t xml:space="preserve"> </w:t>
      </w:r>
      <w:r w:rsidR="005C3255">
        <w:rPr>
          <w:rFonts w:ascii="Arial" w:hAnsi="Arial" w:cs="Arial"/>
          <w:sz w:val="24"/>
          <w:szCs w:val="24"/>
        </w:rPr>
        <w:t xml:space="preserve">a purported </w:t>
      </w:r>
      <w:r w:rsidR="00D76A4A">
        <w:rPr>
          <w:rFonts w:ascii="Arial" w:hAnsi="Arial" w:cs="Arial"/>
          <w:sz w:val="24"/>
          <w:szCs w:val="24"/>
        </w:rPr>
        <w:t>condonation application seeking indulgence from th</w:t>
      </w:r>
      <w:r w:rsidR="00F7241F">
        <w:rPr>
          <w:rFonts w:ascii="Arial" w:hAnsi="Arial" w:cs="Arial"/>
          <w:sz w:val="24"/>
          <w:szCs w:val="24"/>
        </w:rPr>
        <w:t>is Court for</w:t>
      </w:r>
      <w:r>
        <w:rPr>
          <w:rFonts w:ascii="Arial" w:hAnsi="Arial" w:cs="Arial"/>
          <w:sz w:val="24"/>
          <w:szCs w:val="24"/>
        </w:rPr>
        <w:t xml:space="preserve"> </w:t>
      </w:r>
      <w:r w:rsidR="0055431B">
        <w:rPr>
          <w:rFonts w:ascii="Arial" w:hAnsi="Arial" w:cs="Arial"/>
          <w:sz w:val="24"/>
          <w:szCs w:val="24"/>
        </w:rPr>
        <w:t>not complying with Rule 7(1)</w:t>
      </w:r>
      <w:r w:rsidR="00D76A4A">
        <w:rPr>
          <w:rFonts w:ascii="Arial" w:hAnsi="Arial" w:cs="Arial"/>
          <w:sz w:val="24"/>
          <w:szCs w:val="24"/>
        </w:rPr>
        <w:t xml:space="preserve"> </w:t>
      </w:r>
      <w:r>
        <w:rPr>
          <w:rFonts w:ascii="Arial" w:hAnsi="Arial" w:cs="Arial"/>
          <w:sz w:val="24"/>
          <w:szCs w:val="24"/>
        </w:rPr>
        <w:t xml:space="preserve">the </w:t>
      </w:r>
      <w:r w:rsidR="00D76A4A">
        <w:rPr>
          <w:rFonts w:ascii="Arial" w:hAnsi="Arial" w:cs="Arial"/>
          <w:sz w:val="24"/>
          <w:szCs w:val="24"/>
        </w:rPr>
        <w:t>failure to lod</w:t>
      </w:r>
      <w:r>
        <w:rPr>
          <w:rFonts w:ascii="Arial" w:hAnsi="Arial" w:cs="Arial"/>
          <w:sz w:val="24"/>
          <w:szCs w:val="24"/>
        </w:rPr>
        <w:t>ge the notice of appeal timely, for the</w:t>
      </w:r>
      <w:r w:rsidR="00D76A4A">
        <w:rPr>
          <w:rFonts w:ascii="Arial" w:hAnsi="Arial" w:cs="Arial"/>
          <w:sz w:val="24"/>
          <w:szCs w:val="24"/>
        </w:rPr>
        <w:t xml:space="preserve"> failure to lodge the record of appeal timely </w:t>
      </w:r>
      <w:r w:rsidR="00C30F6A">
        <w:rPr>
          <w:rFonts w:ascii="Arial" w:hAnsi="Arial" w:cs="Arial"/>
          <w:sz w:val="24"/>
          <w:szCs w:val="24"/>
        </w:rPr>
        <w:t xml:space="preserve">in terms of </w:t>
      </w:r>
      <w:r>
        <w:rPr>
          <w:rFonts w:ascii="Arial" w:hAnsi="Arial" w:cs="Arial"/>
          <w:sz w:val="24"/>
          <w:szCs w:val="24"/>
        </w:rPr>
        <w:t>Rule 8(1) and for the</w:t>
      </w:r>
      <w:r w:rsidR="00D76A4A">
        <w:rPr>
          <w:rFonts w:ascii="Arial" w:hAnsi="Arial" w:cs="Arial"/>
          <w:sz w:val="24"/>
          <w:szCs w:val="24"/>
        </w:rPr>
        <w:t xml:space="preserve"> failure to provide </w:t>
      </w:r>
      <w:r w:rsidR="005C3255">
        <w:rPr>
          <w:rFonts w:ascii="Arial" w:hAnsi="Arial" w:cs="Arial"/>
          <w:sz w:val="24"/>
          <w:szCs w:val="24"/>
        </w:rPr>
        <w:t xml:space="preserve">the respondent’s </w:t>
      </w:r>
      <w:r w:rsidR="00D76A4A">
        <w:rPr>
          <w:rFonts w:ascii="Arial" w:hAnsi="Arial" w:cs="Arial"/>
          <w:sz w:val="24"/>
          <w:szCs w:val="24"/>
        </w:rPr>
        <w:t xml:space="preserve">security </w:t>
      </w:r>
      <w:r w:rsidR="005C3255">
        <w:rPr>
          <w:rFonts w:ascii="Arial" w:hAnsi="Arial" w:cs="Arial"/>
          <w:sz w:val="24"/>
          <w:szCs w:val="24"/>
        </w:rPr>
        <w:t>for</w:t>
      </w:r>
      <w:r w:rsidR="00D76A4A">
        <w:rPr>
          <w:rFonts w:ascii="Arial" w:hAnsi="Arial" w:cs="Arial"/>
          <w:sz w:val="24"/>
          <w:szCs w:val="24"/>
        </w:rPr>
        <w:t xml:space="preserve"> costs in terms of Rule 14(1).</w:t>
      </w:r>
    </w:p>
    <w:p w14:paraId="32617EBA" w14:textId="77777777" w:rsidR="00D76A4A" w:rsidRDefault="00D76A4A" w:rsidP="00D76A4A">
      <w:pPr>
        <w:pStyle w:val="ListParagraph"/>
        <w:rPr>
          <w:rFonts w:ascii="Arial" w:hAnsi="Arial" w:cs="Arial"/>
          <w:sz w:val="24"/>
          <w:szCs w:val="24"/>
        </w:rPr>
      </w:pPr>
    </w:p>
    <w:p w14:paraId="614766AE" w14:textId="4937D948" w:rsidR="00D76A4A" w:rsidRDefault="00D76A4A" w:rsidP="00D76A4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C76697">
        <w:rPr>
          <w:rFonts w:ascii="Arial" w:hAnsi="Arial" w:cs="Arial"/>
          <w:sz w:val="24"/>
          <w:szCs w:val="24"/>
        </w:rPr>
        <w:t>respondent</w:t>
      </w:r>
      <w:r>
        <w:rPr>
          <w:rFonts w:ascii="Arial" w:hAnsi="Arial" w:cs="Arial"/>
          <w:sz w:val="24"/>
          <w:szCs w:val="24"/>
        </w:rPr>
        <w:t xml:space="preserve"> offers no explanation for the del</w:t>
      </w:r>
      <w:r w:rsidR="00905C3D">
        <w:rPr>
          <w:rFonts w:ascii="Arial" w:hAnsi="Arial" w:cs="Arial"/>
          <w:sz w:val="24"/>
          <w:szCs w:val="24"/>
        </w:rPr>
        <w:t xml:space="preserve">ay nor </w:t>
      </w:r>
      <w:r w:rsidR="005C3255">
        <w:rPr>
          <w:rFonts w:ascii="Arial" w:hAnsi="Arial" w:cs="Arial"/>
          <w:sz w:val="24"/>
          <w:szCs w:val="24"/>
        </w:rPr>
        <w:t xml:space="preserve">does she address </w:t>
      </w:r>
      <w:r w:rsidR="00905C3D">
        <w:rPr>
          <w:rFonts w:ascii="Arial" w:hAnsi="Arial" w:cs="Arial"/>
          <w:sz w:val="24"/>
          <w:szCs w:val="24"/>
        </w:rPr>
        <w:t>her prospects of success</w:t>
      </w:r>
      <w:r w:rsidR="00D51D85">
        <w:rPr>
          <w:rFonts w:ascii="Arial" w:hAnsi="Arial" w:cs="Arial"/>
          <w:sz w:val="24"/>
          <w:szCs w:val="24"/>
        </w:rPr>
        <w:t>. Rather,</w:t>
      </w:r>
      <w:r w:rsidR="00905C3D">
        <w:rPr>
          <w:rFonts w:ascii="Arial" w:hAnsi="Arial" w:cs="Arial"/>
          <w:sz w:val="24"/>
          <w:szCs w:val="24"/>
        </w:rPr>
        <w:t xml:space="preserve"> she </w:t>
      </w:r>
      <w:r w:rsidR="00D51D85">
        <w:rPr>
          <w:rFonts w:ascii="Arial" w:hAnsi="Arial" w:cs="Arial"/>
          <w:sz w:val="24"/>
          <w:szCs w:val="24"/>
        </w:rPr>
        <w:t xml:space="preserve">simply </w:t>
      </w:r>
      <w:r w:rsidR="00905C3D">
        <w:rPr>
          <w:rFonts w:ascii="Arial" w:hAnsi="Arial" w:cs="Arial"/>
          <w:sz w:val="24"/>
          <w:szCs w:val="24"/>
        </w:rPr>
        <w:t xml:space="preserve">repeats her grounds of appeal in the </w:t>
      </w:r>
      <w:r w:rsidR="00905C3D">
        <w:rPr>
          <w:rFonts w:ascii="Arial" w:hAnsi="Arial" w:cs="Arial"/>
          <w:sz w:val="24"/>
          <w:szCs w:val="24"/>
        </w:rPr>
        <w:lastRenderedPageBreak/>
        <w:t>condonation application.</w:t>
      </w:r>
      <w:r w:rsidR="00D51D85">
        <w:rPr>
          <w:rFonts w:ascii="Arial" w:hAnsi="Arial" w:cs="Arial"/>
          <w:sz w:val="24"/>
          <w:szCs w:val="24"/>
        </w:rPr>
        <w:t xml:space="preserve"> Since the respondent did not offer any explanation on affidavit for the untimely prosecution of the appeal, there is in effect no condonation application before this Court.</w:t>
      </w:r>
    </w:p>
    <w:p w14:paraId="0B3B1B7F" w14:textId="77777777" w:rsidR="00E63464" w:rsidRDefault="00E63464" w:rsidP="00E63464">
      <w:pPr>
        <w:pStyle w:val="ListParagraph"/>
        <w:rPr>
          <w:rFonts w:ascii="Arial" w:hAnsi="Arial" w:cs="Arial"/>
          <w:sz w:val="24"/>
          <w:szCs w:val="24"/>
        </w:rPr>
      </w:pPr>
    </w:p>
    <w:p w14:paraId="47485DBD" w14:textId="756967BF" w:rsidR="00AE22CB" w:rsidRPr="00C929A1" w:rsidRDefault="00E63464" w:rsidP="008471D0">
      <w:pPr>
        <w:pStyle w:val="NoSpacing"/>
        <w:numPr>
          <w:ilvl w:val="0"/>
          <w:numId w:val="1"/>
        </w:numPr>
        <w:spacing w:line="480" w:lineRule="auto"/>
        <w:ind w:left="0" w:firstLine="0"/>
        <w:jc w:val="both"/>
        <w:rPr>
          <w:rFonts w:ascii="Arial" w:hAnsi="Arial" w:cs="Arial"/>
          <w:sz w:val="24"/>
          <w:szCs w:val="24"/>
          <w:u w:val="single"/>
        </w:rPr>
      </w:pPr>
      <w:r w:rsidRPr="00C929A1">
        <w:rPr>
          <w:rFonts w:ascii="Arial" w:hAnsi="Arial" w:cs="Arial"/>
          <w:sz w:val="24"/>
          <w:szCs w:val="24"/>
        </w:rPr>
        <w:t xml:space="preserve">On 8 November 2023, a document was </w:t>
      </w:r>
      <w:r w:rsidR="00C76697" w:rsidRPr="00C929A1">
        <w:rPr>
          <w:rFonts w:ascii="Arial" w:hAnsi="Arial" w:cs="Arial"/>
          <w:sz w:val="24"/>
          <w:szCs w:val="24"/>
        </w:rPr>
        <w:t>delivered by the</w:t>
      </w:r>
      <w:r w:rsidRPr="00C929A1">
        <w:rPr>
          <w:rFonts w:ascii="Arial" w:hAnsi="Arial" w:cs="Arial"/>
          <w:sz w:val="24"/>
          <w:szCs w:val="24"/>
        </w:rPr>
        <w:t xml:space="preserve"> </w:t>
      </w:r>
      <w:r w:rsidR="00C76697" w:rsidRPr="00C929A1">
        <w:rPr>
          <w:rFonts w:ascii="Arial" w:hAnsi="Arial" w:cs="Arial"/>
          <w:sz w:val="24"/>
          <w:szCs w:val="24"/>
        </w:rPr>
        <w:t xml:space="preserve">respondent </w:t>
      </w:r>
      <w:r w:rsidRPr="00C929A1">
        <w:rPr>
          <w:rFonts w:ascii="Arial" w:hAnsi="Arial" w:cs="Arial"/>
          <w:sz w:val="24"/>
          <w:szCs w:val="24"/>
        </w:rPr>
        <w:t xml:space="preserve">with an offer to settle and </w:t>
      </w:r>
      <w:r w:rsidR="003D2045" w:rsidRPr="00C929A1">
        <w:rPr>
          <w:rFonts w:ascii="Arial" w:hAnsi="Arial" w:cs="Arial"/>
          <w:sz w:val="24"/>
          <w:szCs w:val="24"/>
        </w:rPr>
        <w:t xml:space="preserve">a </w:t>
      </w:r>
      <w:r w:rsidRPr="00C929A1">
        <w:rPr>
          <w:rFonts w:ascii="Arial" w:hAnsi="Arial" w:cs="Arial"/>
          <w:sz w:val="24"/>
          <w:szCs w:val="24"/>
        </w:rPr>
        <w:t>cession of a life insurance policy</w:t>
      </w:r>
      <w:r w:rsidR="003D2045" w:rsidRPr="00C929A1">
        <w:rPr>
          <w:rFonts w:ascii="Arial" w:hAnsi="Arial" w:cs="Arial"/>
          <w:sz w:val="24"/>
          <w:szCs w:val="24"/>
        </w:rPr>
        <w:t xml:space="preserve"> in favour of the applicant</w:t>
      </w:r>
      <w:r w:rsidRPr="00C929A1">
        <w:rPr>
          <w:rFonts w:ascii="Arial" w:hAnsi="Arial" w:cs="Arial"/>
          <w:sz w:val="24"/>
          <w:szCs w:val="24"/>
        </w:rPr>
        <w:t xml:space="preserve">. </w:t>
      </w:r>
      <w:r w:rsidR="005C3255">
        <w:rPr>
          <w:rFonts w:ascii="Arial" w:hAnsi="Arial" w:cs="Arial"/>
          <w:sz w:val="24"/>
          <w:szCs w:val="24"/>
        </w:rPr>
        <w:t>In the first place, that puts beyond any doubt that she had no defence to the applicant’s claim. Secondly, it</w:t>
      </w:r>
      <w:r w:rsidR="00D51D85" w:rsidRPr="00C929A1">
        <w:rPr>
          <w:rFonts w:ascii="Arial" w:hAnsi="Arial" w:cs="Arial"/>
          <w:sz w:val="24"/>
          <w:szCs w:val="24"/>
        </w:rPr>
        <w:t xml:space="preserve"> appears </w:t>
      </w:r>
      <w:r w:rsidRPr="00C929A1">
        <w:rPr>
          <w:rFonts w:ascii="Arial" w:hAnsi="Arial" w:cs="Arial"/>
          <w:sz w:val="24"/>
          <w:szCs w:val="24"/>
        </w:rPr>
        <w:t xml:space="preserve">that </w:t>
      </w:r>
      <w:r w:rsidR="00C929A1" w:rsidRPr="00C929A1">
        <w:rPr>
          <w:rFonts w:ascii="Arial" w:hAnsi="Arial" w:cs="Arial"/>
          <w:sz w:val="24"/>
          <w:szCs w:val="24"/>
        </w:rPr>
        <w:t xml:space="preserve">her </w:t>
      </w:r>
      <w:r w:rsidRPr="00C929A1">
        <w:rPr>
          <w:rFonts w:ascii="Arial" w:hAnsi="Arial" w:cs="Arial"/>
          <w:sz w:val="24"/>
          <w:szCs w:val="24"/>
        </w:rPr>
        <w:t xml:space="preserve">intention </w:t>
      </w:r>
      <w:r w:rsidR="00C929A1" w:rsidRPr="00C929A1">
        <w:rPr>
          <w:rFonts w:ascii="Arial" w:hAnsi="Arial" w:cs="Arial"/>
          <w:sz w:val="24"/>
          <w:szCs w:val="24"/>
        </w:rPr>
        <w:t xml:space="preserve">is </w:t>
      </w:r>
      <w:r w:rsidRPr="00C929A1">
        <w:rPr>
          <w:rFonts w:ascii="Arial" w:hAnsi="Arial" w:cs="Arial"/>
          <w:sz w:val="24"/>
          <w:szCs w:val="24"/>
        </w:rPr>
        <w:t xml:space="preserve">to cede her life policy </w:t>
      </w:r>
      <w:r w:rsidR="00C929A1" w:rsidRPr="00C929A1">
        <w:rPr>
          <w:rFonts w:ascii="Arial" w:hAnsi="Arial" w:cs="Arial"/>
          <w:sz w:val="24"/>
          <w:szCs w:val="24"/>
        </w:rPr>
        <w:t xml:space="preserve">to the appellant as some kind of security for the settlement of the debt and to save her property from execution. </w:t>
      </w:r>
      <w:r w:rsidR="0069356C" w:rsidRPr="00C929A1">
        <w:rPr>
          <w:rFonts w:ascii="Arial" w:hAnsi="Arial" w:cs="Arial"/>
          <w:sz w:val="24"/>
          <w:szCs w:val="24"/>
        </w:rPr>
        <w:t>Understandably</w:t>
      </w:r>
      <w:r w:rsidR="00C929A1" w:rsidRPr="00C929A1">
        <w:rPr>
          <w:rFonts w:ascii="Arial" w:hAnsi="Arial" w:cs="Arial"/>
          <w:sz w:val="24"/>
          <w:szCs w:val="24"/>
        </w:rPr>
        <w:t>, t</w:t>
      </w:r>
      <w:r w:rsidR="00EE4467" w:rsidRPr="00C929A1">
        <w:rPr>
          <w:rFonts w:ascii="Arial" w:hAnsi="Arial" w:cs="Arial"/>
          <w:sz w:val="24"/>
          <w:szCs w:val="24"/>
        </w:rPr>
        <w:t xml:space="preserve">here has not been a response from the </w:t>
      </w:r>
      <w:r w:rsidR="005C3255">
        <w:rPr>
          <w:rFonts w:ascii="Arial" w:hAnsi="Arial" w:cs="Arial"/>
          <w:sz w:val="24"/>
          <w:szCs w:val="24"/>
        </w:rPr>
        <w:t xml:space="preserve">applicant </w:t>
      </w:r>
      <w:r w:rsidR="0069356C">
        <w:rPr>
          <w:rFonts w:ascii="Arial" w:hAnsi="Arial" w:cs="Arial"/>
          <w:sz w:val="24"/>
          <w:szCs w:val="24"/>
        </w:rPr>
        <w:t>to this offer.</w:t>
      </w:r>
    </w:p>
    <w:p w14:paraId="24496895" w14:textId="77777777" w:rsidR="00C929A1" w:rsidRDefault="00C929A1" w:rsidP="00AE22CB">
      <w:pPr>
        <w:pStyle w:val="NoSpacing"/>
        <w:spacing w:line="480" w:lineRule="auto"/>
        <w:jc w:val="both"/>
        <w:rPr>
          <w:rFonts w:ascii="Arial" w:hAnsi="Arial" w:cs="Arial"/>
          <w:sz w:val="24"/>
          <w:szCs w:val="24"/>
          <w:u w:val="single"/>
        </w:rPr>
      </w:pPr>
    </w:p>
    <w:p w14:paraId="3E40F2CD" w14:textId="77777777" w:rsidR="00455B20" w:rsidRPr="00AE22CB" w:rsidRDefault="00444BC5" w:rsidP="00AE22CB">
      <w:pPr>
        <w:pStyle w:val="NoSpacing"/>
        <w:spacing w:line="480" w:lineRule="auto"/>
        <w:jc w:val="both"/>
        <w:rPr>
          <w:rFonts w:ascii="Arial" w:hAnsi="Arial" w:cs="Arial"/>
          <w:sz w:val="24"/>
          <w:szCs w:val="24"/>
          <w:u w:val="single"/>
        </w:rPr>
      </w:pPr>
      <w:r w:rsidRPr="00AE22CB">
        <w:rPr>
          <w:rFonts w:ascii="Arial" w:hAnsi="Arial" w:cs="Arial"/>
          <w:sz w:val="24"/>
          <w:szCs w:val="24"/>
          <w:u w:val="single"/>
        </w:rPr>
        <w:t>Rule 6: Frivolous or vexatious appeal</w:t>
      </w:r>
    </w:p>
    <w:p w14:paraId="54ADEA4F" w14:textId="56954E94" w:rsidR="00F556AA" w:rsidRDefault="004115F5" w:rsidP="001E2876">
      <w:pPr>
        <w:pStyle w:val="NoSpacing"/>
        <w:numPr>
          <w:ilvl w:val="0"/>
          <w:numId w:val="1"/>
        </w:numPr>
        <w:spacing w:line="480" w:lineRule="auto"/>
        <w:ind w:left="0" w:firstLine="0"/>
        <w:jc w:val="both"/>
        <w:rPr>
          <w:rFonts w:ascii="Arial" w:hAnsi="Arial" w:cs="Arial"/>
          <w:sz w:val="24"/>
          <w:szCs w:val="24"/>
        </w:rPr>
      </w:pPr>
      <w:r w:rsidRPr="004115F5">
        <w:rPr>
          <w:rFonts w:ascii="Arial" w:hAnsi="Arial" w:cs="Arial"/>
          <w:sz w:val="24"/>
          <w:szCs w:val="24"/>
        </w:rPr>
        <w:t>On 13 October 2023, the</w:t>
      </w:r>
      <w:r w:rsidR="00444BC5" w:rsidRPr="004115F5">
        <w:rPr>
          <w:rFonts w:ascii="Arial" w:hAnsi="Arial" w:cs="Arial"/>
          <w:sz w:val="24"/>
          <w:szCs w:val="24"/>
        </w:rPr>
        <w:t xml:space="preserve"> </w:t>
      </w:r>
      <w:r w:rsidR="003D2045" w:rsidRPr="004115F5">
        <w:rPr>
          <w:rFonts w:ascii="Arial" w:hAnsi="Arial" w:cs="Arial"/>
          <w:sz w:val="24"/>
          <w:szCs w:val="24"/>
        </w:rPr>
        <w:t>applicant</w:t>
      </w:r>
      <w:r w:rsidR="00455B20" w:rsidRPr="004115F5">
        <w:rPr>
          <w:rFonts w:ascii="Arial" w:hAnsi="Arial" w:cs="Arial"/>
          <w:sz w:val="24"/>
          <w:szCs w:val="24"/>
        </w:rPr>
        <w:t xml:space="preserve"> </w:t>
      </w:r>
      <w:r w:rsidR="003639AD" w:rsidRPr="004115F5">
        <w:rPr>
          <w:rFonts w:ascii="Arial" w:hAnsi="Arial" w:cs="Arial"/>
          <w:sz w:val="24"/>
          <w:szCs w:val="24"/>
        </w:rPr>
        <w:t xml:space="preserve">filed a notice of opposition </w:t>
      </w:r>
      <w:r w:rsidR="003D2045" w:rsidRPr="004115F5">
        <w:rPr>
          <w:rFonts w:ascii="Arial" w:hAnsi="Arial" w:cs="Arial"/>
          <w:sz w:val="24"/>
          <w:szCs w:val="24"/>
        </w:rPr>
        <w:t xml:space="preserve">to </w:t>
      </w:r>
      <w:r w:rsidR="003639AD" w:rsidRPr="004115F5">
        <w:rPr>
          <w:rFonts w:ascii="Arial" w:hAnsi="Arial" w:cs="Arial"/>
          <w:sz w:val="24"/>
          <w:szCs w:val="24"/>
        </w:rPr>
        <w:t xml:space="preserve">the </w:t>
      </w:r>
      <w:r w:rsidRPr="004115F5">
        <w:rPr>
          <w:rFonts w:ascii="Arial" w:hAnsi="Arial" w:cs="Arial"/>
          <w:sz w:val="24"/>
          <w:szCs w:val="24"/>
        </w:rPr>
        <w:t xml:space="preserve">purported </w:t>
      </w:r>
      <w:r w:rsidR="003639AD" w:rsidRPr="004115F5">
        <w:rPr>
          <w:rFonts w:ascii="Arial" w:hAnsi="Arial" w:cs="Arial"/>
          <w:sz w:val="24"/>
          <w:szCs w:val="24"/>
        </w:rPr>
        <w:t xml:space="preserve">appeal </w:t>
      </w:r>
      <w:r w:rsidR="00097252" w:rsidRPr="004115F5">
        <w:rPr>
          <w:rFonts w:ascii="Arial" w:hAnsi="Arial" w:cs="Arial"/>
          <w:sz w:val="24"/>
          <w:szCs w:val="24"/>
        </w:rPr>
        <w:t>and condonation application</w:t>
      </w:r>
      <w:r w:rsidRPr="004115F5">
        <w:rPr>
          <w:rFonts w:ascii="Arial" w:hAnsi="Arial" w:cs="Arial"/>
          <w:sz w:val="24"/>
          <w:szCs w:val="24"/>
        </w:rPr>
        <w:t xml:space="preserve">, together </w:t>
      </w:r>
      <w:r w:rsidR="003639AD" w:rsidRPr="004115F5">
        <w:rPr>
          <w:rFonts w:ascii="Arial" w:hAnsi="Arial" w:cs="Arial"/>
          <w:sz w:val="24"/>
          <w:szCs w:val="24"/>
        </w:rPr>
        <w:t xml:space="preserve">with an application in terms of </w:t>
      </w:r>
      <w:r w:rsidR="00E55D1D" w:rsidRPr="004115F5">
        <w:rPr>
          <w:rFonts w:ascii="Arial" w:hAnsi="Arial" w:cs="Arial"/>
          <w:sz w:val="24"/>
          <w:szCs w:val="24"/>
        </w:rPr>
        <w:t>s 14(7)(</w:t>
      </w:r>
      <w:r w:rsidR="00E55D1D" w:rsidRPr="004115F5">
        <w:rPr>
          <w:rFonts w:ascii="Arial" w:hAnsi="Arial" w:cs="Arial"/>
          <w:i/>
          <w:sz w:val="24"/>
          <w:szCs w:val="24"/>
        </w:rPr>
        <w:t>a</w:t>
      </w:r>
      <w:r w:rsidR="00E55D1D" w:rsidRPr="004115F5">
        <w:rPr>
          <w:rFonts w:ascii="Arial" w:hAnsi="Arial" w:cs="Arial"/>
          <w:sz w:val="24"/>
          <w:szCs w:val="24"/>
        </w:rPr>
        <w:t xml:space="preserve">) of the Supreme Court Act 15 of 1990 read with </w:t>
      </w:r>
      <w:r w:rsidR="003639AD" w:rsidRPr="004115F5">
        <w:rPr>
          <w:rFonts w:ascii="Arial" w:hAnsi="Arial" w:cs="Arial"/>
          <w:sz w:val="24"/>
          <w:szCs w:val="24"/>
        </w:rPr>
        <w:t>Rule 6</w:t>
      </w:r>
      <w:r w:rsidR="009A7035" w:rsidRPr="004115F5">
        <w:rPr>
          <w:rFonts w:ascii="Arial" w:hAnsi="Arial" w:cs="Arial"/>
          <w:sz w:val="24"/>
          <w:szCs w:val="24"/>
        </w:rPr>
        <w:t xml:space="preserve"> of the Rules of th</w:t>
      </w:r>
      <w:r w:rsidRPr="004115F5">
        <w:rPr>
          <w:rFonts w:ascii="Arial" w:hAnsi="Arial" w:cs="Arial"/>
          <w:sz w:val="24"/>
          <w:szCs w:val="24"/>
        </w:rPr>
        <w:t xml:space="preserve">is Court. </w:t>
      </w:r>
    </w:p>
    <w:p w14:paraId="317C1E36" w14:textId="77777777" w:rsidR="000624E9" w:rsidRPr="004115F5" w:rsidRDefault="000624E9" w:rsidP="000624E9">
      <w:pPr>
        <w:pStyle w:val="NoSpacing"/>
        <w:spacing w:line="480" w:lineRule="auto"/>
        <w:jc w:val="both"/>
        <w:rPr>
          <w:rFonts w:ascii="Arial" w:hAnsi="Arial" w:cs="Arial"/>
          <w:sz w:val="24"/>
          <w:szCs w:val="24"/>
        </w:rPr>
      </w:pPr>
    </w:p>
    <w:p w14:paraId="2F02BFCD" w14:textId="77777777" w:rsidR="006349C3" w:rsidRDefault="006349C3" w:rsidP="00444B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Rule </w:t>
      </w:r>
      <w:r w:rsidR="00F556AA">
        <w:rPr>
          <w:rFonts w:ascii="Arial" w:hAnsi="Arial" w:cs="Arial"/>
          <w:sz w:val="24"/>
          <w:szCs w:val="24"/>
        </w:rPr>
        <w:t xml:space="preserve">6 reads: </w:t>
      </w:r>
    </w:p>
    <w:p w14:paraId="1784F2EB" w14:textId="77777777" w:rsidR="00F556AA" w:rsidRDefault="00F556AA" w:rsidP="00F556AA">
      <w:pPr>
        <w:pStyle w:val="ListParagraph"/>
        <w:rPr>
          <w:rFonts w:ascii="Arial" w:hAnsi="Arial" w:cs="Arial"/>
          <w:sz w:val="24"/>
          <w:szCs w:val="24"/>
        </w:rPr>
      </w:pPr>
    </w:p>
    <w:p w14:paraId="6267D3DF" w14:textId="5EC52D43" w:rsidR="00F556AA" w:rsidRDefault="00F556AA" w:rsidP="008B69EA">
      <w:pPr>
        <w:pStyle w:val="NoSpacing"/>
        <w:spacing w:line="360" w:lineRule="auto"/>
        <w:ind w:left="720"/>
        <w:jc w:val="both"/>
        <w:rPr>
          <w:rFonts w:ascii="Arial" w:hAnsi="Arial" w:cs="Arial"/>
        </w:rPr>
      </w:pPr>
      <w:r w:rsidRPr="00867612">
        <w:rPr>
          <w:rFonts w:ascii="Arial" w:hAnsi="Arial" w:cs="Arial"/>
        </w:rPr>
        <w:t xml:space="preserve">‘(1) A party to an appeal who is of the opinion that the appeal is </w:t>
      </w:r>
      <w:r w:rsidR="0007567C">
        <w:rPr>
          <w:rFonts w:ascii="Arial" w:hAnsi="Arial" w:cs="Arial"/>
        </w:rPr>
        <w:t>frivo</w:t>
      </w:r>
      <w:r w:rsidR="0007567C" w:rsidRPr="00867612">
        <w:rPr>
          <w:rFonts w:ascii="Arial" w:hAnsi="Arial" w:cs="Arial"/>
        </w:rPr>
        <w:t>lous</w:t>
      </w:r>
      <w:r w:rsidRPr="00867612">
        <w:rPr>
          <w:rFonts w:ascii="Arial" w:hAnsi="Arial" w:cs="Arial"/>
        </w:rPr>
        <w:t xml:space="preserve"> or vexatious, may within 21 days of service of the notice of appeal apply on notice of motion supported by an affidavit setting out the reasons why the party contends that the appeal should be dismissed on the basis that it is frivolous or vexatious or that it has no prospects of success.</w:t>
      </w:r>
      <w:r w:rsidR="00867612" w:rsidRPr="00867612">
        <w:rPr>
          <w:rFonts w:ascii="Arial" w:hAnsi="Arial" w:cs="Arial"/>
        </w:rPr>
        <w:t xml:space="preserve"> . . .’</w:t>
      </w:r>
    </w:p>
    <w:p w14:paraId="4437FC2F" w14:textId="77777777" w:rsidR="0056065F" w:rsidRPr="00DF7873" w:rsidRDefault="0056065F" w:rsidP="00DF7873">
      <w:pPr>
        <w:pStyle w:val="NoSpacing"/>
        <w:spacing w:line="480" w:lineRule="auto"/>
        <w:jc w:val="both"/>
        <w:rPr>
          <w:rFonts w:ascii="Arial" w:hAnsi="Arial" w:cs="Arial"/>
          <w:sz w:val="24"/>
          <w:szCs w:val="24"/>
        </w:rPr>
      </w:pPr>
    </w:p>
    <w:p w14:paraId="32D27FAD" w14:textId="67BE1288" w:rsidR="00F556AA" w:rsidRPr="00DF7873" w:rsidRDefault="005C3255" w:rsidP="00DF787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w:t>
      </w:r>
      <w:r w:rsidR="001B635C" w:rsidRPr="00DF7873">
        <w:rPr>
          <w:rFonts w:ascii="Arial" w:hAnsi="Arial" w:cs="Arial"/>
          <w:sz w:val="24"/>
          <w:szCs w:val="24"/>
        </w:rPr>
        <w:t xml:space="preserve">Mr Colmer </w:t>
      </w:r>
      <w:r w:rsidR="00270740" w:rsidRPr="00DF7873">
        <w:rPr>
          <w:rFonts w:ascii="Arial" w:hAnsi="Arial" w:cs="Arial"/>
          <w:sz w:val="24"/>
          <w:szCs w:val="24"/>
        </w:rPr>
        <w:t xml:space="preserve">deposed to an affidavit on behalf of the </w:t>
      </w:r>
      <w:r w:rsidR="003D2045">
        <w:rPr>
          <w:rFonts w:ascii="Arial" w:hAnsi="Arial" w:cs="Arial"/>
          <w:sz w:val="24"/>
          <w:szCs w:val="24"/>
        </w:rPr>
        <w:t>applicant</w:t>
      </w:r>
      <w:r w:rsidR="00270740" w:rsidRPr="00DF7873">
        <w:rPr>
          <w:rFonts w:ascii="Arial" w:hAnsi="Arial" w:cs="Arial"/>
          <w:sz w:val="24"/>
          <w:szCs w:val="24"/>
        </w:rPr>
        <w:t xml:space="preserve">. </w:t>
      </w:r>
      <w:r w:rsidR="0039312F">
        <w:rPr>
          <w:rFonts w:ascii="Arial" w:hAnsi="Arial" w:cs="Arial"/>
          <w:sz w:val="24"/>
          <w:szCs w:val="24"/>
        </w:rPr>
        <w:t xml:space="preserve">According to him, </w:t>
      </w:r>
      <w:r w:rsidR="00C23547" w:rsidRPr="00DF7873">
        <w:rPr>
          <w:rFonts w:ascii="Arial" w:hAnsi="Arial" w:cs="Arial"/>
          <w:sz w:val="24"/>
          <w:szCs w:val="24"/>
        </w:rPr>
        <w:t xml:space="preserve">the </w:t>
      </w:r>
      <w:r w:rsidR="003D2045">
        <w:rPr>
          <w:rFonts w:ascii="Arial" w:hAnsi="Arial" w:cs="Arial"/>
          <w:sz w:val="24"/>
          <w:szCs w:val="24"/>
        </w:rPr>
        <w:t>applicant</w:t>
      </w:r>
      <w:r w:rsidR="00DF7873" w:rsidRPr="00DF7873">
        <w:rPr>
          <w:rFonts w:ascii="Arial" w:hAnsi="Arial" w:cs="Arial"/>
          <w:sz w:val="24"/>
          <w:szCs w:val="24"/>
        </w:rPr>
        <w:t xml:space="preserve"> is the registered bond holder of the </w:t>
      </w:r>
      <w:r w:rsidR="00F33BA3">
        <w:rPr>
          <w:rFonts w:ascii="Arial" w:hAnsi="Arial" w:cs="Arial"/>
          <w:sz w:val="24"/>
          <w:szCs w:val="24"/>
        </w:rPr>
        <w:t>respondent</w:t>
      </w:r>
      <w:r w:rsidR="00B87711" w:rsidRPr="00DF7873">
        <w:rPr>
          <w:rFonts w:ascii="Arial" w:hAnsi="Arial" w:cs="Arial"/>
          <w:sz w:val="24"/>
          <w:szCs w:val="24"/>
        </w:rPr>
        <w:t>’s</w:t>
      </w:r>
      <w:r w:rsidR="00DF7873" w:rsidRPr="00DF7873">
        <w:rPr>
          <w:rFonts w:ascii="Arial" w:hAnsi="Arial" w:cs="Arial"/>
          <w:sz w:val="24"/>
          <w:szCs w:val="24"/>
        </w:rPr>
        <w:t xml:space="preserve"> property. </w:t>
      </w:r>
      <w:r w:rsidR="00894077">
        <w:rPr>
          <w:rFonts w:ascii="Arial" w:hAnsi="Arial" w:cs="Arial"/>
          <w:sz w:val="24"/>
          <w:szCs w:val="24"/>
        </w:rPr>
        <w:t xml:space="preserve">He </w:t>
      </w:r>
      <w:r w:rsidR="00894077">
        <w:rPr>
          <w:rFonts w:ascii="Arial" w:hAnsi="Arial" w:cs="Arial"/>
          <w:sz w:val="24"/>
          <w:szCs w:val="24"/>
        </w:rPr>
        <w:lastRenderedPageBreak/>
        <w:t xml:space="preserve">asserts that </w:t>
      </w:r>
      <w:r w:rsidR="00DF7873" w:rsidRPr="00DF7873">
        <w:rPr>
          <w:rFonts w:ascii="Arial" w:hAnsi="Arial" w:cs="Arial"/>
          <w:sz w:val="24"/>
          <w:szCs w:val="24"/>
        </w:rPr>
        <w:t xml:space="preserve">the </w:t>
      </w:r>
      <w:r w:rsidR="003D2045">
        <w:rPr>
          <w:rFonts w:ascii="Arial" w:hAnsi="Arial" w:cs="Arial"/>
          <w:sz w:val="24"/>
          <w:szCs w:val="24"/>
        </w:rPr>
        <w:t xml:space="preserve">respondent </w:t>
      </w:r>
      <w:r w:rsidR="00DF7873" w:rsidRPr="00DF7873">
        <w:rPr>
          <w:rFonts w:ascii="Arial" w:hAnsi="Arial" w:cs="Arial"/>
          <w:sz w:val="24"/>
          <w:szCs w:val="24"/>
        </w:rPr>
        <w:t>was served personally with the court process and did not enter an appearance to defend</w:t>
      </w:r>
      <w:r w:rsidR="00894077">
        <w:rPr>
          <w:rFonts w:ascii="Arial" w:hAnsi="Arial" w:cs="Arial"/>
          <w:sz w:val="24"/>
          <w:szCs w:val="24"/>
        </w:rPr>
        <w:t xml:space="preserve">, nor did </w:t>
      </w:r>
      <w:r w:rsidR="00F33BA3">
        <w:rPr>
          <w:rFonts w:ascii="Arial" w:hAnsi="Arial" w:cs="Arial"/>
          <w:sz w:val="24"/>
          <w:szCs w:val="24"/>
        </w:rPr>
        <w:t>s</w:t>
      </w:r>
      <w:r w:rsidR="00894077">
        <w:rPr>
          <w:rFonts w:ascii="Arial" w:hAnsi="Arial" w:cs="Arial"/>
          <w:sz w:val="24"/>
          <w:szCs w:val="24"/>
        </w:rPr>
        <w:t>he oppose the Rule 108 application</w:t>
      </w:r>
      <w:r w:rsidR="00DF7873" w:rsidRPr="00DF7873">
        <w:rPr>
          <w:rFonts w:ascii="Arial" w:hAnsi="Arial" w:cs="Arial"/>
          <w:sz w:val="24"/>
          <w:szCs w:val="24"/>
        </w:rPr>
        <w:t xml:space="preserve">. Mr Colmer further alleged that the sale of the property was </w:t>
      </w:r>
      <w:r w:rsidR="00894077">
        <w:rPr>
          <w:rFonts w:ascii="Arial" w:hAnsi="Arial" w:cs="Arial"/>
          <w:sz w:val="24"/>
          <w:szCs w:val="24"/>
        </w:rPr>
        <w:t>done</w:t>
      </w:r>
      <w:r w:rsidR="00DF7873" w:rsidRPr="00DF7873">
        <w:rPr>
          <w:rFonts w:ascii="Arial" w:hAnsi="Arial" w:cs="Arial"/>
          <w:sz w:val="24"/>
          <w:szCs w:val="24"/>
        </w:rPr>
        <w:t xml:space="preserve"> in terms of Rule 110(9) of the High Court Rules, which directs that the property must not be sold for less than 75 per cent of the municipal value or sworn valuation in the event of the property being the primary home.</w:t>
      </w:r>
    </w:p>
    <w:p w14:paraId="5078D934" w14:textId="77777777" w:rsidR="00DF7873" w:rsidRPr="00DF7873" w:rsidRDefault="00DF7873" w:rsidP="00DF7873">
      <w:pPr>
        <w:pStyle w:val="NoSpacing"/>
        <w:spacing w:line="480" w:lineRule="auto"/>
        <w:jc w:val="both"/>
        <w:rPr>
          <w:rFonts w:ascii="Arial" w:hAnsi="Arial" w:cs="Arial"/>
          <w:sz w:val="24"/>
          <w:szCs w:val="24"/>
        </w:rPr>
      </w:pPr>
    </w:p>
    <w:p w14:paraId="47317310" w14:textId="237E637E" w:rsidR="00DF7873" w:rsidRDefault="00DF7873" w:rsidP="00DF7873">
      <w:pPr>
        <w:pStyle w:val="NoSpacing"/>
        <w:numPr>
          <w:ilvl w:val="0"/>
          <w:numId w:val="1"/>
        </w:numPr>
        <w:spacing w:line="480" w:lineRule="auto"/>
        <w:ind w:left="0" w:firstLine="0"/>
        <w:jc w:val="both"/>
        <w:rPr>
          <w:rFonts w:ascii="Arial" w:hAnsi="Arial" w:cs="Arial"/>
          <w:sz w:val="24"/>
          <w:szCs w:val="24"/>
        </w:rPr>
      </w:pPr>
      <w:r w:rsidRPr="00DF7873">
        <w:rPr>
          <w:rFonts w:ascii="Arial" w:hAnsi="Arial" w:cs="Arial"/>
          <w:sz w:val="24"/>
          <w:szCs w:val="24"/>
        </w:rPr>
        <w:t xml:space="preserve">The </w:t>
      </w:r>
      <w:r w:rsidR="003D2045">
        <w:rPr>
          <w:rFonts w:ascii="Arial" w:hAnsi="Arial" w:cs="Arial"/>
          <w:sz w:val="24"/>
          <w:szCs w:val="24"/>
        </w:rPr>
        <w:t xml:space="preserve">respondent’s </w:t>
      </w:r>
      <w:r w:rsidRPr="00DF7873">
        <w:rPr>
          <w:rFonts w:ascii="Arial" w:hAnsi="Arial" w:cs="Arial"/>
          <w:sz w:val="24"/>
          <w:szCs w:val="24"/>
        </w:rPr>
        <w:t xml:space="preserve">allegation </w:t>
      </w:r>
      <w:r w:rsidR="00B87711">
        <w:rPr>
          <w:rFonts w:ascii="Arial" w:hAnsi="Arial" w:cs="Arial"/>
          <w:sz w:val="24"/>
          <w:szCs w:val="24"/>
        </w:rPr>
        <w:t>that she failed to c</w:t>
      </w:r>
      <w:r w:rsidR="003D2045">
        <w:rPr>
          <w:rFonts w:ascii="Arial" w:hAnsi="Arial" w:cs="Arial"/>
          <w:sz w:val="24"/>
          <w:szCs w:val="24"/>
        </w:rPr>
        <w:t>omply with the loan agreement because</w:t>
      </w:r>
      <w:r w:rsidR="00B87711">
        <w:rPr>
          <w:rFonts w:ascii="Arial" w:hAnsi="Arial" w:cs="Arial"/>
          <w:sz w:val="24"/>
          <w:szCs w:val="24"/>
        </w:rPr>
        <w:t xml:space="preserve"> the </w:t>
      </w:r>
      <w:r w:rsidR="003D2045">
        <w:rPr>
          <w:rFonts w:ascii="Arial" w:hAnsi="Arial" w:cs="Arial"/>
          <w:sz w:val="24"/>
          <w:szCs w:val="24"/>
        </w:rPr>
        <w:t>applicant</w:t>
      </w:r>
      <w:r w:rsidR="00B87711">
        <w:rPr>
          <w:rFonts w:ascii="Arial" w:hAnsi="Arial" w:cs="Arial"/>
          <w:sz w:val="24"/>
          <w:szCs w:val="24"/>
        </w:rPr>
        <w:t xml:space="preserve"> failed to engage her </w:t>
      </w:r>
      <w:r w:rsidR="00593642">
        <w:rPr>
          <w:rFonts w:ascii="Arial" w:hAnsi="Arial" w:cs="Arial"/>
          <w:sz w:val="24"/>
          <w:szCs w:val="24"/>
        </w:rPr>
        <w:t>is denied and the deponent states that the respondent</w:t>
      </w:r>
      <w:r w:rsidR="00B87711">
        <w:rPr>
          <w:rFonts w:ascii="Arial" w:hAnsi="Arial" w:cs="Arial"/>
          <w:sz w:val="24"/>
          <w:szCs w:val="24"/>
        </w:rPr>
        <w:t xml:space="preserve"> had not made any meaningful effort to settle the outstanding amount and that no payment had been received from the </w:t>
      </w:r>
      <w:r w:rsidR="00894077">
        <w:rPr>
          <w:rFonts w:ascii="Arial" w:hAnsi="Arial" w:cs="Arial"/>
          <w:sz w:val="24"/>
          <w:szCs w:val="24"/>
        </w:rPr>
        <w:t xml:space="preserve">respondent </w:t>
      </w:r>
      <w:r w:rsidR="00B87711">
        <w:rPr>
          <w:rFonts w:ascii="Arial" w:hAnsi="Arial" w:cs="Arial"/>
          <w:sz w:val="24"/>
          <w:szCs w:val="24"/>
        </w:rPr>
        <w:t>since 2017.</w:t>
      </w:r>
    </w:p>
    <w:p w14:paraId="4F17F81D" w14:textId="77777777" w:rsidR="00B87711" w:rsidRDefault="00B87711" w:rsidP="00B87711">
      <w:pPr>
        <w:pStyle w:val="ListParagraph"/>
        <w:rPr>
          <w:rFonts w:ascii="Arial" w:hAnsi="Arial" w:cs="Arial"/>
          <w:sz w:val="24"/>
          <w:szCs w:val="24"/>
        </w:rPr>
      </w:pPr>
    </w:p>
    <w:p w14:paraId="65965F6D" w14:textId="3D20369D" w:rsidR="007606A5" w:rsidRDefault="007606A5" w:rsidP="00DF787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Colmer contends that the </w:t>
      </w:r>
      <w:r w:rsidR="00593642">
        <w:rPr>
          <w:rFonts w:ascii="Arial" w:hAnsi="Arial" w:cs="Arial"/>
          <w:sz w:val="24"/>
          <w:szCs w:val="24"/>
        </w:rPr>
        <w:t>respondent’s</w:t>
      </w:r>
      <w:r>
        <w:rPr>
          <w:rFonts w:ascii="Arial" w:hAnsi="Arial" w:cs="Arial"/>
          <w:sz w:val="24"/>
          <w:szCs w:val="24"/>
        </w:rPr>
        <w:t xml:space="preserve"> grounds of appeal are without merit and not in compliance with Rule 7(3)(c</w:t>
      </w:r>
      <w:r w:rsidR="00776234">
        <w:rPr>
          <w:rFonts w:ascii="Arial" w:hAnsi="Arial" w:cs="Arial"/>
          <w:sz w:val="24"/>
          <w:szCs w:val="24"/>
        </w:rPr>
        <w:t>) of this Court’s Rules.</w:t>
      </w:r>
      <w:r w:rsidR="00593642">
        <w:rPr>
          <w:rFonts w:ascii="Arial" w:hAnsi="Arial" w:cs="Arial"/>
          <w:sz w:val="24"/>
          <w:szCs w:val="24"/>
        </w:rPr>
        <w:t xml:space="preserve"> He contends that the respondent</w:t>
      </w:r>
      <w:r>
        <w:rPr>
          <w:rFonts w:ascii="Arial" w:hAnsi="Arial" w:cs="Arial"/>
          <w:sz w:val="24"/>
          <w:szCs w:val="24"/>
        </w:rPr>
        <w:t xml:space="preserve"> failed to identify the findings of fact and conclusion</w:t>
      </w:r>
      <w:r w:rsidR="00894077">
        <w:rPr>
          <w:rFonts w:ascii="Arial" w:hAnsi="Arial" w:cs="Arial"/>
          <w:sz w:val="24"/>
          <w:szCs w:val="24"/>
        </w:rPr>
        <w:t>s</w:t>
      </w:r>
      <w:r>
        <w:rPr>
          <w:rFonts w:ascii="Arial" w:hAnsi="Arial" w:cs="Arial"/>
          <w:sz w:val="24"/>
          <w:szCs w:val="24"/>
        </w:rPr>
        <w:t xml:space="preserve"> of law to which she seeks the </w:t>
      </w:r>
      <w:r w:rsidR="00DD44D5">
        <w:rPr>
          <w:rFonts w:ascii="Arial" w:hAnsi="Arial" w:cs="Arial"/>
          <w:sz w:val="24"/>
          <w:szCs w:val="24"/>
        </w:rPr>
        <w:t>orders to be appealed and that she further</w:t>
      </w:r>
      <w:r>
        <w:rPr>
          <w:rFonts w:ascii="Arial" w:hAnsi="Arial" w:cs="Arial"/>
          <w:sz w:val="24"/>
          <w:szCs w:val="24"/>
        </w:rPr>
        <w:t xml:space="preserve"> failed to set out the prayer she wants th</w:t>
      </w:r>
      <w:r w:rsidR="00593642">
        <w:rPr>
          <w:rFonts w:ascii="Arial" w:hAnsi="Arial" w:cs="Arial"/>
          <w:sz w:val="24"/>
          <w:szCs w:val="24"/>
        </w:rPr>
        <w:t>is</w:t>
      </w:r>
      <w:r>
        <w:rPr>
          <w:rFonts w:ascii="Arial" w:hAnsi="Arial" w:cs="Arial"/>
          <w:sz w:val="24"/>
          <w:szCs w:val="24"/>
        </w:rPr>
        <w:t xml:space="preserve"> </w:t>
      </w:r>
      <w:r w:rsidR="00DD44D5">
        <w:rPr>
          <w:rFonts w:ascii="Arial" w:hAnsi="Arial" w:cs="Arial"/>
          <w:sz w:val="24"/>
          <w:szCs w:val="24"/>
        </w:rPr>
        <w:t>C</w:t>
      </w:r>
      <w:r>
        <w:rPr>
          <w:rFonts w:ascii="Arial" w:hAnsi="Arial" w:cs="Arial"/>
          <w:sz w:val="24"/>
          <w:szCs w:val="24"/>
        </w:rPr>
        <w:t>ourt to grant.</w:t>
      </w:r>
    </w:p>
    <w:p w14:paraId="54D7D235" w14:textId="77777777" w:rsidR="007606A5" w:rsidRDefault="007606A5" w:rsidP="007606A5">
      <w:pPr>
        <w:pStyle w:val="ListParagraph"/>
        <w:rPr>
          <w:rFonts w:ascii="Arial" w:hAnsi="Arial" w:cs="Arial"/>
          <w:sz w:val="24"/>
          <w:szCs w:val="24"/>
        </w:rPr>
      </w:pPr>
    </w:p>
    <w:p w14:paraId="48C9CA12" w14:textId="77777777" w:rsidR="009E5074" w:rsidRPr="009E5074" w:rsidRDefault="00593642" w:rsidP="00DF7873">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t xml:space="preserve">According to </w:t>
      </w:r>
      <w:r w:rsidR="007606A5">
        <w:rPr>
          <w:rFonts w:ascii="Arial" w:hAnsi="Arial" w:cs="Arial"/>
          <w:sz w:val="24"/>
          <w:szCs w:val="24"/>
        </w:rPr>
        <w:t>Mr Colmer</w:t>
      </w:r>
      <w:r>
        <w:rPr>
          <w:rFonts w:ascii="Arial" w:hAnsi="Arial" w:cs="Arial"/>
          <w:sz w:val="24"/>
          <w:szCs w:val="24"/>
        </w:rPr>
        <w:t xml:space="preserve">, the respondent </w:t>
      </w:r>
      <w:r w:rsidR="007606A5">
        <w:rPr>
          <w:rFonts w:ascii="Arial" w:hAnsi="Arial" w:cs="Arial"/>
          <w:sz w:val="24"/>
          <w:szCs w:val="24"/>
        </w:rPr>
        <w:t xml:space="preserve">does not enjoy prospects of success because the </w:t>
      </w:r>
      <w:r>
        <w:rPr>
          <w:rFonts w:ascii="Arial" w:hAnsi="Arial" w:cs="Arial"/>
          <w:sz w:val="24"/>
          <w:szCs w:val="24"/>
        </w:rPr>
        <w:t xml:space="preserve">applicant </w:t>
      </w:r>
      <w:r w:rsidR="007606A5">
        <w:rPr>
          <w:rFonts w:ascii="Arial" w:hAnsi="Arial" w:cs="Arial"/>
          <w:sz w:val="24"/>
          <w:szCs w:val="24"/>
        </w:rPr>
        <w:t xml:space="preserve">has complied with the provisions of Rule 108 </w:t>
      </w:r>
      <w:r>
        <w:rPr>
          <w:rFonts w:ascii="Arial" w:hAnsi="Arial" w:cs="Arial"/>
          <w:sz w:val="24"/>
          <w:szCs w:val="24"/>
        </w:rPr>
        <w:t xml:space="preserve">as </w:t>
      </w:r>
      <w:r w:rsidR="005C2FF0">
        <w:rPr>
          <w:rFonts w:ascii="Arial" w:hAnsi="Arial" w:cs="Arial"/>
          <w:sz w:val="24"/>
          <w:szCs w:val="24"/>
        </w:rPr>
        <w:t xml:space="preserve">the immovable property is bonded in favour of the </w:t>
      </w:r>
      <w:r>
        <w:rPr>
          <w:rFonts w:ascii="Arial" w:hAnsi="Arial" w:cs="Arial"/>
          <w:sz w:val="24"/>
          <w:szCs w:val="24"/>
        </w:rPr>
        <w:t>applicant</w:t>
      </w:r>
      <w:r w:rsidR="005C2FF0">
        <w:rPr>
          <w:rFonts w:ascii="Arial" w:hAnsi="Arial" w:cs="Arial"/>
          <w:sz w:val="24"/>
          <w:szCs w:val="24"/>
        </w:rPr>
        <w:t xml:space="preserve">, </w:t>
      </w:r>
      <w:r>
        <w:rPr>
          <w:rFonts w:ascii="Arial" w:hAnsi="Arial" w:cs="Arial"/>
          <w:sz w:val="24"/>
          <w:szCs w:val="24"/>
        </w:rPr>
        <w:t xml:space="preserve">and that </w:t>
      </w:r>
      <w:r w:rsidR="005C2FF0">
        <w:rPr>
          <w:rFonts w:ascii="Arial" w:hAnsi="Arial" w:cs="Arial"/>
          <w:sz w:val="24"/>
          <w:szCs w:val="24"/>
        </w:rPr>
        <w:t xml:space="preserve">it has a substantial real right over the property. He further contends that no fault can be attributed to the court </w:t>
      </w:r>
      <w:r w:rsidR="005C2FF0" w:rsidRPr="001F308C">
        <w:rPr>
          <w:rFonts w:ascii="Arial" w:hAnsi="Arial" w:cs="Arial"/>
          <w:i/>
          <w:sz w:val="24"/>
          <w:szCs w:val="24"/>
        </w:rPr>
        <w:t>a quo</w:t>
      </w:r>
      <w:r w:rsidR="005C2FF0">
        <w:rPr>
          <w:rFonts w:ascii="Arial" w:hAnsi="Arial" w:cs="Arial"/>
          <w:sz w:val="24"/>
          <w:szCs w:val="24"/>
        </w:rPr>
        <w:t xml:space="preserve"> as the </w:t>
      </w:r>
      <w:r>
        <w:rPr>
          <w:rFonts w:ascii="Arial" w:hAnsi="Arial" w:cs="Arial"/>
          <w:sz w:val="24"/>
          <w:szCs w:val="24"/>
        </w:rPr>
        <w:t>respondent</w:t>
      </w:r>
      <w:r w:rsidR="005C2FF0">
        <w:rPr>
          <w:rFonts w:ascii="Arial" w:hAnsi="Arial" w:cs="Arial"/>
          <w:sz w:val="24"/>
          <w:szCs w:val="24"/>
        </w:rPr>
        <w:t xml:space="preserve"> did not offer a less drastic </w:t>
      </w:r>
      <w:r>
        <w:rPr>
          <w:rFonts w:ascii="Arial" w:hAnsi="Arial" w:cs="Arial"/>
          <w:sz w:val="24"/>
          <w:szCs w:val="24"/>
        </w:rPr>
        <w:t xml:space="preserve">alternative to sale in execution </w:t>
      </w:r>
      <w:r w:rsidR="005C2FF0">
        <w:rPr>
          <w:rFonts w:ascii="Arial" w:hAnsi="Arial" w:cs="Arial"/>
          <w:sz w:val="24"/>
          <w:szCs w:val="24"/>
        </w:rPr>
        <w:t xml:space="preserve">and that the sale of the immovable property was an option of last resort for the </w:t>
      </w:r>
      <w:r>
        <w:rPr>
          <w:rFonts w:ascii="Arial" w:hAnsi="Arial" w:cs="Arial"/>
          <w:sz w:val="24"/>
          <w:szCs w:val="24"/>
        </w:rPr>
        <w:t xml:space="preserve">applicant </w:t>
      </w:r>
      <w:r w:rsidR="005C2FF0">
        <w:rPr>
          <w:rFonts w:ascii="Arial" w:hAnsi="Arial" w:cs="Arial"/>
          <w:sz w:val="24"/>
          <w:szCs w:val="24"/>
        </w:rPr>
        <w:t>to recove</w:t>
      </w:r>
      <w:r w:rsidR="00CE79EE">
        <w:rPr>
          <w:rFonts w:ascii="Arial" w:hAnsi="Arial" w:cs="Arial"/>
          <w:sz w:val="24"/>
          <w:szCs w:val="24"/>
        </w:rPr>
        <w:t xml:space="preserve">r its money. </w:t>
      </w:r>
    </w:p>
    <w:p w14:paraId="15EF8758" w14:textId="77777777" w:rsidR="009E5074" w:rsidRDefault="009E5074" w:rsidP="009E5074">
      <w:pPr>
        <w:pStyle w:val="NoSpacing"/>
        <w:spacing w:line="480" w:lineRule="auto"/>
        <w:jc w:val="both"/>
        <w:rPr>
          <w:rFonts w:ascii="Arial" w:hAnsi="Arial" w:cs="Arial"/>
          <w:sz w:val="24"/>
          <w:szCs w:val="24"/>
        </w:rPr>
      </w:pPr>
    </w:p>
    <w:p w14:paraId="76A80D86" w14:textId="17FEF926" w:rsidR="00B87711" w:rsidRPr="007606A5" w:rsidRDefault="00523240" w:rsidP="00DF7873">
      <w:pPr>
        <w:pStyle w:val="NoSpacing"/>
        <w:numPr>
          <w:ilvl w:val="0"/>
          <w:numId w:val="1"/>
        </w:numPr>
        <w:spacing w:line="480" w:lineRule="auto"/>
        <w:ind w:left="0" w:firstLine="0"/>
        <w:jc w:val="both"/>
        <w:rPr>
          <w:rFonts w:ascii="Arial" w:hAnsi="Arial" w:cs="Arial"/>
          <w:i/>
          <w:sz w:val="24"/>
          <w:szCs w:val="24"/>
        </w:rPr>
      </w:pPr>
      <w:r>
        <w:rPr>
          <w:rFonts w:ascii="Arial" w:hAnsi="Arial" w:cs="Arial"/>
          <w:sz w:val="24"/>
          <w:szCs w:val="24"/>
        </w:rPr>
        <w:lastRenderedPageBreak/>
        <w:t>Mr Colme</w:t>
      </w:r>
      <w:r w:rsidR="009E5074">
        <w:rPr>
          <w:rFonts w:ascii="Arial" w:hAnsi="Arial" w:cs="Arial"/>
          <w:sz w:val="24"/>
          <w:szCs w:val="24"/>
        </w:rPr>
        <w:t xml:space="preserve">r therefore prays that </w:t>
      </w:r>
      <w:r w:rsidR="005B578E">
        <w:rPr>
          <w:rFonts w:ascii="Arial" w:hAnsi="Arial" w:cs="Arial"/>
          <w:sz w:val="24"/>
          <w:szCs w:val="24"/>
        </w:rPr>
        <w:t>the appeal be dismissed in terms of s 14(7)(</w:t>
      </w:r>
      <w:r w:rsidR="005B578E" w:rsidRPr="00DA5F3E">
        <w:rPr>
          <w:rFonts w:ascii="Arial" w:hAnsi="Arial" w:cs="Arial"/>
          <w:i/>
          <w:sz w:val="24"/>
          <w:szCs w:val="24"/>
        </w:rPr>
        <w:t>a</w:t>
      </w:r>
      <w:r w:rsidR="005B578E">
        <w:rPr>
          <w:rFonts w:ascii="Arial" w:hAnsi="Arial" w:cs="Arial"/>
          <w:sz w:val="24"/>
          <w:szCs w:val="24"/>
        </w:rPr>
        <w:t>) of the Supreme Court Act, read with Rule 6.</w:t>
      </w:r>
    </w:p>
    <w:p w14:paraId="3FEE2A79" w14:textId="77777777" w:rsidR="00A57484" w:rsidRDefault="00A57484" w:rsidP="006349C3">
      <w:pPr>
        <w:pStyle w:val="NoSpacing"/>
        <w:spacing w:line="480" w:lineRule="auto"/>
        <w:jc w:val="both"/>
        <w:rPr>
          <w:rFonts w:ascii="Arial" w:hAnsi="Arial" w:cs="Arial"/>
          <w:sz w:val="24"/>
          <w:szCs w:val="24"/>
          <w:u w:val="single"/>
        </w:rPr>
      </w:pPr>
    </w:p>
    <w:p w14:paraId="4A800DD6" w14:textId="77777777" w:rsidR="00E63464" w:rsidRPr="00E63464" w:rsidRDefault="00E63464" w:rsidP="006349C3">
      <w:pPr>
        <w:pStyle w:val="NoSpacing"/>
        <w:spacing w:line="480" w:lineRule="auto"/>
        <w:jc w:val="both"/>
        <w:rPr>
          <w:rFonts w:ascii="Arial" w:hAnsi="Arial" w:cs="Arial"/>
          <w:sz w:val="24"/>
          <w:szCs w:val="24"/>
          <w:u w:val="single"/>
        </w:rPr>
      </w:pPr>
      <w:r w:rsidRPr="00E63464">
        <w:rPr>
          <w:rFonts w:ascii="Arial" w:hAnsi="Arial" w:cs="Arial"/>
          <w:sz w:val="24"/>
          <w:szCs w:val="24"/>
          <w:u w:val="single"/>
        </w:rPr>
        <w:t>Disposal</w:t>
      </w:r>
    </w:p>
    <w:p w14:paraId="2D9FA076" w14:textId="0027D41A" w:rsidR="003935ED" w:rsidRPr="003935ED" w:rsidRDefault="003935ED" w:rsidP="003935ED">
      <w:pPr>
        <w:pStyle w:val="NoSpacing"/>
        <w:numPr>
          <w:ilvl w:val="0"/>
          <w:numId w:val="1"/>
        </w:numPr>
        <w:spacing w:line="480" w:lineRule="auto"/>
        <w:ind w:left="0" w:firstLine="0"/>
        <w:jc w:val="both"/>
        <w:rPr>
          <w:rFonts w:ascii="Arial" w:hAnsi="Arial" w:cs="Arial"/>
          <w:sz w:val="24"/>
          <w:szCs w:val="24"/>
        </w:rPr>
      </w:pPr>
      <w:r w:rsidRPr="003935ED">
        <w:rPr>
          <w:rFonts w:ascii="Arial" w:hAnsi="Arial" w:cs="Arial"/>
          <w:sz w:val="24"/>
          <w:szCs w:val="24"/>
        </w:rPr>
        <w:t xml:space="preserve">In </w:t>
      </w:r>
      <w:r w:rsidR="005C3255">
        <w:rPr>
          <w:rFonts w:ascii="Arial" w:hAnsi="Arial" w:cs="Arial"/>
          <w:sz w:val="24"/>
          <w:szCs w:val="24"/>
        </w:rPr>
        <w:t>her way-out-of time</w:t>
      </w:r>
      <w:r w:rsidRPr="003935ED">
        <w:rPr>
          <w:rFonts w:ascii="Arial" w:hAnsi="Arial" w:cs="Arial"/>
          <w:sz w:val="24"/>
          <w:szCs w:val="24"/>
        </w:rPr>
        <w:t xml:space="preserve"> notice of appeal to this Court delivered on 15 September 2023, the respondent states that she appeals against both the default judgment and </w:t>
      </w:r>
      <w:r w:rsidR="005C3255">
        <w:rPr>
          <w:rFonts w:ascii="Arial" w:hAnsi="Arial" w:cs="Arial"/>
          <w:sz w:val="24"/>
          <w:szCs w:val="24"/>
        </w:rPr>
        <w:t xml:space="preserve">the </w:t>
      </w:r>
      <w:r w:rsidRPr="003935ED">
        <w:rPr>
          <w:rFonts w:ascii="Arial" w:hAnsi="Arial" w:cs="Arial"/>
          <w:sz w:val="24"/>
          <w:szCs w:val="24"/>
        </w:rPr>
        <w:t xml:space="preserve">Rule </w:t>
      </w:r>
      <w:r w:rsidR="003F180F">
        <w:rPr>
          <w:rFonts w:ascii="Arial" w:hAnsi="Arial" w:cs="Arial"/>
          <w:sz w:val="24"/>
          <w:szCs w:val="24"/>
        </w:rPr>
        <w:t>108 order. The latter was, of course</w:t>
      </w:r>
      <w:r w:rsidRPr="003935ED">
        <w:rPr>
          <w:rFonts w:ascii="Arial" w:hAnsi="Arial" w:cs="Arial"/>
          <w:sz w:val="24"/>
          <w:szCs w:val="24"/>
        </w:rPr>
        <w:t>, only possible because of the former. If the default judgment falls away the Rule 108 order will suffer the same fate.</w:t>
      </w:r>
      <w:r w:rsidR="005C3255">
        <w:rPr>
          <w:rFonts w:ascii="Arial" w:hAnsi="Arial" w:cs="Arial"/>
          <w:sz w:val="24"/>
          <w:szCs w:val="24"/>
        </w:rPr>
        <w:t xml:space="preserve"> I will accordingly deal with the question whether the purported appeal against the default judgment is competent.</w:t>
      </w:r>
    </w:p>
    <w:p w14:paraId="5FDBA0E9" w14:textId="77777777" w:rsidR="003935ED" w:rsidRPr="003935ED" w:rsidRDefault="003935ED" w:rsidP="003935ED">
      <w:pPr>
        <w:pStyle w:val="NoSpacing"/>
        <w:spacing w:line="480" w:lineRule="auto"/>
        <w:jc w:val="both"/>
        <w:rPr>
          <w:rFonts w:ascii="Arial" w:hAnsi="Arial" w:cs="Arial"/>
          <w:sz w:val="24"/>
          <w:szCs w:val="24"/>
        </w:rPr>
      </w:pPr>
    </w:p>
    <w:p w14:paraId="4AC00666" w14:textId="115566E1" w:rsidR="002365B6" w:rsidRDefault="003935ED" w:rsidP="003935ED">
      <w:pPr>
        <w:pStyle w:val="NoSpacing"/>
        <w:numPr>
          <w:ilvl w:val="0"/>
          <w:numId w:val="1"/>
        </w:numPr>
        <w:spacing w:line="480" w:lineRule="auto"/>
        <w:ind w:left="0" w:firstLine="0"/>
        <w:jc w:val="both"/>
        <w:rPr>
          <w:rFonts w:ascii="Arial" w:hAnsi="Arial" w:cs="Arial"/>
          <w:sz w:val="24"/>
          <w:szCs w:val="24"/>
        </w:rPr>
      </w:pPr>
      <w:r w:rsidRPr="003935ED">
        <w:rPr>
          <w:rFonts w:ascii="Arial" w:hAnsi="Arial" w:cs="Arial"/>
          <w:sz w:val="24"/>
          <w:szCs w:val="24"/>
        </w:rPr>
        <w:t>The notice o</w:t>
      </w:r>
      <w:r w:rsidR="00894077">
        <w:rPr>
          <w:rFonts w:ascii="Arial" w:hAnsi="Arial" w:cs="Arial"/>
          <w:sz w:val="24"/>
          <w:szCs w:val="24"/>
        </w:rPr>
        <w:t>f appeal was</w:t>
      </w:r>
      <w:r>
        <w:rPr>
          <w:rFonts w:ascii="Arial" w:hAnsi="Arial" w:cs="Arial"/>
          <w:sz w:val="24"/>
          <w:szCs w:val="24"/>
        </w:rPr>
        <w:t xml:space="preserve"> filed out of time </w:t>
      </w:r>
      <w:r w:rsidR="003F180F">
        <w:rPr>
          <w:rFonts w:ascii="Arial" w:hAnsi="Arial" w:cs="Arial"/>
          <w:sz w:val="24"/>
          <w:szCs w:val="24"/>
        </w:rPr>
        <w:t xml:space="preserve">by four years with regards the default judgment and two years </w:t>
      </w:r>
      <w:r w:rsidR="005C3255">
        <w:rPr>
          <w:rFonts w:ascii="Arial" w:hAnsi="Arial" w:cs="Arial"/>
          <w:sz w:val="24"/>
          <w:szCs w:val="24"/>
        </w:rPr>
        <w:t xml:space="preserve">out of time </w:t>
      </w:r>
      <w:r w:rsidR="009E5074">
        <w:rPr>
          <w:rFonts w:ascii="Arial" w:hAnsi="Arial" w:cs="Arial"/>
          <w:sz w:val="24"/>
          <w:szCs w:val="24"/>
        </w:rPr>
        <w:t>with regards the Rule 108</w:t>
      </w:r>
      <w:r w:rsidR="005C3255">
        <w:rPr>
          <w:rFonts w:ascii="Arial" w:hAnsi="Arial" w:cs="Arial"/>
          <w:sz w:val="24"/>
          <w:szCs w:val="24"/>
        </w:rPr>
        <w:t>.</w:t>
      </w:r>
      <w:r w:rsidR="00894077">
        <w:rPr>
          <w:rFonts w:ascii="Arial" w:hAnsi="Arial" w:cs="Arial"/>
          <w:sz w:val="24"/>
          <w:szCs w:val="24"/>
        </w:rPr>
        <w:t xml:space="preserve"> </w:t>
      </w:r>
      <w:r w:rsidR="005C3255">
        <w:rPr>
          <w:rFonts w:ascii="Arial" w:hAnsi="Arial" w:cs="Arial"/>
          <w:sz w:val="24"/>
          <w:szCs w:val="24"/>
        </w:rPr>
        <w:t>T</w:t>
      </w:r>
      <w:r w:rsidR="0015596C">
        <w:rPr>
          <w:rFonts w:ascii="Arial" w:hAnsi="Arial" w:cs="Arial"/>
          <w:sz w:val="24"/>
          <w:szCs w:val="24"/>
        </w:rPr>
        <w:t xml:space="preserve">he appeal should have been filed by no later than </w:t>
      </w:r>
      <w:r w:rsidR="00563227">
        <w:rPr>
          <w:rFonts w:ascii="Arial" w:hAnsi="Arial" w:cs="Arial"/>
          <w:sz w:val="24"/>
          <w:szCs w:val="24"/>
        </w:rPr>
        <w:t xml:space="preserve"> </w:t>
      </w:r>
      <w:r w:rsidR="0015596C">
        <w:rPr>
          <w:rFonts w:ascii="Arial" w:hAnsi="Arial" w:cs="Arial"/>
          <w:sz w:val="24"/>
          <w:szCs w:val="24"/>
        </w:rPr>
        <w:t>26 October 2021 with regards the Rule 108 order and by 9 October 2019 with regards the default judgment.</w:t>
      </w:r>
      <w:r w:rsidR="00894077">
        <w:rPr>
          <w:rFonts w:ascii="Arial" w:hAnsi="Arial" w:cs="Arial"/>
          <w:sz w:val="24"/>
          <w:szCs w:val="24"/>
        </w:rPr>
        <w:t xml:space="preserve"> </w:t>
      </w:r>
      <w:r w:rsidR="0015596C">
        <w:rPr>
          <w:rFonts w:ascii="Arial" w:hAnsi="Arial" w:cs="Arial"/>
          <w:sz w:val="24"/>
          <w:szCs w:val="24"/>
        </w:rPr>
        <w:t>The respondent ought to have f</w:t>
      </w:r>
      <w:r w:rsidR="00894077">
        <w:rPr>
          <w:rFonts w:ascii="Arial" w:hAnsi="Arial" w:cs="Arial"/>
          <w:sz w:val="24"/>
          <w:szCs w:val="24"/>
        </w:rPr>
        <w:t xml:space="preserve">urnished </w:t>
      </w:r>
      <w:r w:rsidR="0015596C">
        <w:rPr>
          <w:rFonts w:ascii="Arial" w:hAnsi="Arial" w:cs="Arial"/>
          <w:sz w:val="24"/>
          <w:szCs w:val="24"/>
        </w:rPr>
        <w:t>b</w:t>
      </w:r>
      <w:r w:rsidR="00894077">
        <w:rPr>
          <w:rFonts w:ascii="Arial" w:hAnsi="Arial" w:cs="Arial"/>
          <w:sz w:val="24"/>
          <w:szCs w:val="24"/>
        </w:rPr>
        <w:t xml:space="preserve">ut </w:t>
      </w:r>
      <w:r w:rsidR="00563227">
        <w:rPr>
          <w:rFonts w:ascii="Arial" w:hAnsi="Arial" w:cs="Arial"/>
          <w:sz w:val="24"/>
          <w:szCs w:val="24"/>
        </w:rPr>
        <w:t xml:space="preserve">failed to provide security </w:t>
      </w:r>
      <w:r w:rsidR="00894077">
        <w:rPr>
          <w:rFonts w:ascii="Arial" w:hAnsi="Arial" w:cs="Arial"/>
          <w:sz w:val="24"/>
          <w:szCs w:val="24"/>
        </w:rPr>
        <w:t xml:space="preserve">for the applicant’s cost in the appeal and also </w:t>
      </w:r>
      <w:r w:rsidR="00563227">
        <w:rPr>
          <w:rFonts w:ascii="Arial" w:hAnsi="Arial" w:cs="Arial"/>
          <w:sz w:val="24"/>
          <w:szCs w:val="24"/>
        </w:rPr>
        <w:t>failed to file the record</w:t>
      </w:r>
      <w:r w:rsidR="002365B6">
        <w:rPr>
          <w:rFonts w:ascii="Arial" w:hAnsi="Arial" w:cs="Arial"/>
          <w:sz w:val="24"/>
          <w:szCs w:val="24"/>
        </w:rPr>
        <w:t xml:space="preserve"> of proceedings in the court </w:t>
      </w:r>
      <w:r w:rsidR="002365B6" w:rsidRPr="005C43D6">
        <w:rPr>
          <w:rFonts w:ascii="Arial" w:hAnsi="Arial" w:cs="Arial"/>
          <w:i/>
          <w:sz w:val="24"/>
          <w:szCs w:val="24"/>
        </w:rPr>
        <w:t>a quo</w:t>
      </w:r>
      <w:r w:rsidR="00563227">
        <w:rPr>
          <w:rFonts w:ascii="Arial" w:hAnsi="Arial" w:cs="Arial"/>
          <w:sz w:val="24"/>
          <w:szCs w:val="24"/>
        </w:rPr>
        <w:t xml:space="preserve">. </w:t>
      </w:r>
    </w:p>
    <w:p w14:paraId="0FBD5D58" w14:textId="77777777" w:rsidR="002365B6" w:rsidRDefault="002365B6" w:rsidP="002365B6">
      <w:pPr>
        <w:pStyle w:val="NoSpacing"/>
        <w:spacing w:line="480" w:lineRule="auto"/>
        <w:jc w:val="both"/>
        <w:rPr>
          <w:rFonts w:ascii="Arial" w:hAnsi="Arial" w:cs="Arial"/>
          <w:sz w:val="24"/>
          <w:szCs w:val="24"/>
        </w:rPr>
      </w:pPr>
    </w:p>
    <w:p w14:paraId="07B906E1" w14:textId="5E7DF7B1" w:rsidR="003935ED" w:rsidRDefault="00563227" w:rsidP="003935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9E5074">
        <w:rPr>
          <w:rFonts w:ascii="Arial" w:hAnsi="Arial" w:cs="Arial"/>
          <w:sz w:val="24"/>
          <w:szCs w:val="24"/>
        </w:rPr>
        <w:t xml:space="preserve">n the absence of a valid condonation application </w:t>
      </w:r>
      <w:r w:rsidR="00D0744A">
        <w:rPr>
          <w:rFonts w:ascii="Arial" w:hAnsi="Arial" w:cs="Arial"/>
          <w:sz w:val="24"/>
          <w:szCs w:val="24"/>
        </w:rPr>
        <w:t xml:space="preserve">for those transgressions </w:t>
      </w:r>
      <w:r w:rsidR="009E5074">
        <w:rPr>
          <w:rFonts w:ascii="Arial" w:hAnsi="Arial" w:cs="Arial"/>
          <w:sz w:val="24"/>
          <w:szCs w:val="24"/>
        </w:rPr>
        <w:t>the appeal is in any event incompetent.</w:t>
      </w:r>
    </w:p>
    <w:p w14:paraId="03735A0D" w14:textId="77777777" w:rsidR="003935ED" w:rsidRDefault="003935ED" w:rsidP="003935ED">
      <w:pPr>
        <w:pStyle w:val="NoSpacing"/>
        <w:spacing w:line="480" w:lineRule="auto"/>
        <w:jc w:val="both"/>
        <w:rPr>
          <w:rFonts w:ascii="Arial" w:hAnsi="Arial" w:cs="Arial"/>
          <w:sz w:val="24"/>
          <w:szCs w:val="24"/>
        </w:rPr>
      </w:pPr>
    </w:p>
    <w:p w14:paraId="7B525F17" w14:textId="0284461F" w:rsidR="00701FC8" w:rsidRDefault="005C3255" w:rsidP="00701F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merits, t</w:t>
      </w:r>
      <w:r w:rsidR="00A57484">
        <w:rPr>
          <w:rFonts w:ascii="Arial" w:hAnsi="Arial" w:cs="Arial"/>
          <w:sz w:val="24"/>
          <w:szCs w:val="24"/>
        </w:rPr>
        <w:t>here are in any event no prospects</w:t>
      </w:r>
      <w:r w:rsidR="003935ED" w:rsidRPr="00701FC8">
        <w:rPr>
          <w:rFonts w:ascii="Arial" w:hAnsi="Arial" w:cs="Arial"/>
          <w:sz w:val="24"/>
          <w:szCs w:val="24"/>
        </w:rPr>
        <w:t xml:space="preserve"> </w:t>
      </w:r>
      <w:r w:rsidR="009E5074">
        <w:rPr>
          <w:rFonts w:ascii="Arial" w:hAnsi="Arial" w:cs="Arial"/>
          <w:sz w:val="24"/>
          <w:szCs w:val="24"/>
        </w:rPr>
        <w:t>of success because a</w:t>
      </w:r>
      <w:r w:rsidR="003935ED" w:rsidRPr="00701FC8">
        <w:rPr>
          <w:rFonts w:ascii="Arial" w:hAnsi="Arial" w:cs="Arial"/>
          <w:sz w:val="24"/>
          <w:szCs w:val="24"/>
        </w:rPr>
        <w:t xml:space="preserve">n appeal to this court against a default judgment is not the proper route to follow. Rule 16 of the High Court Rules </w:t>
      </w:r>
      <w:r w:rsidR="003F180F" w:rsidRPr="00701FC8">
        <w:rPr>
          <w:rFonts w:ascii="Arial" w:hAnsi="Arial" w:cs="Arial"/>
          <w:sz w:val="24"/>
          <w:szCs w:val="24"/>
        </w:rPr>
        <w:t xml:space="preserve">provided that: </w:t>
      </w:r>
    </w:p>
    <w:p w14:paraId="2216E24E" w14:textId="77777777" w:rsidR="00701FC8" w:rsidRDefault="00701FC8" w:rsidP="00701FC8">
      <w:pPr>
        <w:pStyle w:val="NoSpacing"/>
        <w:spacing w:line="480" w:lineRule="auto"/>
        <w:jc w:val="both"/>
        <w:rPr>
          <w:rFonts w:ascii="Arial" w:hAnsi="Arial" w:cs="Arial"/>
          <w:sz w:val="24"/>
          <w:szCs w:val="24"/>
        </w:rPr>
      </w:pPr>
    </w:p>
    <w:p w14:paraId="62F48201" w14:textId="77777777" w:rsidR="003F180F" w:rsidRPr="00701FC8" w:rsidRDefault="009F5EDA" w:rsidP="00701FC8">
      <w:pPr>
        <w:pStyle w:val="NoSpacing"/>
        <w:spacing w:line="480" w:lineRule="auto"/>
        <w:ind w:left="720"/>
        <w:jc w:val="both"/>
        <w:rPr>
          <w:rFonts w:ascii="Arial" w:hAnsi="Arial" w:cs="Arial"/>
        </w:rPr>
      </w:pPr>
      <w:r w:rsidRPr="00701FC8">
        <w:rPr>
          <w:rFonts w:ascii="Arial" w:hAnsi="Arial" w:cs="Arial"/>
        </w:rPr>
        <w:lastRenderedPageBreak/>
        <w:t>‘A defendant may, within 20 days after he or she has knowledge of the judgment referred to in rule 15(3) and on notice to the plaintiff, apply to the court to set aside that judgment</w:t>
      </w:r>
      <w:r w:rsidR="00701FC8" w:rsidRPr="00701FC8">
        <w:rPr>
          <w:rFonts w:ascii="Arial" w:hAnsi="Arial" w:cs="Arial"/>
        </w:rPr>
        <w:t xml:space="preserve"> </w:t>
      </w:r>
      <w:r w:rsidRPr="00701FC8">
        <w:rPr>
          <w:rFonts w:ascii="Arial" w:hAnsi="Arial" w:cs="Arial"/>
        </w:rPr>
        <w:t>.</w:t>
      </w:r>
      <w:r w:rsidR="00701FC8" w:rsidRPr="00701FC8">
        <w:rPr>
          <w:rFonts w:ascii="Arial" w:hAnsi="Arial" w:cs="Arial"/>
        </w:rPr>
        <w:t xml:space="preserve"> . .</w:t>
      </w:r>
      <w:r w:rsidRPr="00701FC8">
        <w:rPr>
          <w:rFonts w:ascii="Arial" w:hAnsi="Arial" w:cs="Arial"/>
        </w:rPr>
        <w:t>’</w:t>
      </w:r>
    </w:p>
    <w:p w14:paraId="592C5EFE" w14:textId="77777777" w:rsidR="009F5EDA" w:rsidRDefault="009F5EDA" w:rsidP="009F5EDA">
      <w:pPr>
        <w:pStyle w:val="NoSpacing"/>
        <w:spacing w:line="480" w:lineRule="auto"/>
        <w:ind w:left="720"/>
        <w:jc w:val="both"/>
        <w:rPr>
          <w:rFonts w:ascii="Arial" w:hAnsi="Arial" w:cs="Arial"/>
          <w:sz w:val="24"/>
          <w:szCs w:val="24"/>
        </w:rPr>
      </w:pPr>
    </w:p>
    <w:p w14:paraId="2FD7D167" w14:textId="3F16724D" w:rsidR="009A78C4" w:rsidRDefault="00A93CF5" w:rsidP="00E634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Rule 16 of the High Court Rules </w:t>
      </w:r>
      <w:r w:rsidR="003935ED">
        <w:rPr>
          <w:rFonts w:ascii="Arial" w:hAnsi="Arial" w:cs="Arial"/>
          <w:sz w:val="24"/>
          <w:szCs w:val="24"/>
        </w:rPr>
        <w:t>is the appropriate remedy for a party against whom a default judgment has been granted</w:t>
      </w:r>
      <w:r w:rsidR="00C03149">
        <w:rPr>
          <w:rStyle w:val="FootnoteReference"/>
          <w:rFonts w:ascii="Arial" w:hAnsi="Arial" w:cs="Arial"/>
          <w:sz w:val="24"/>
          <w:szCs w:val="24"/>
        </w:rPr>
        <w:footnoteReference w:id="1"/>
      </w:r>
      <w:r w:rsidR="003935ED">
        <w:rPr>
          <w:rFonts w:ascii="Arial" w:hAnsi="Arial" w:cs="Arial"/>
          <w:sz w:val="24"/>
          <w:szCs w:val="24"/>
        </w:rPr>
        <w:t xml:space="preserve">. That is so because it is not a final judgment as </w:t>
      </w:r>
      <w:r w:rsidR="00424B91">
        <w:rPr>
          <w:rFonts w:ascii="Arial" w:hAnsi="Arial" w:cs="Arial"/>
          <w:sz w:val="24"/>
          <w:szCs w:val="24"/>
        </w:rPr>
        <w:t>contemplated</w:t>
      </w:r>
      <w:r w:rsidR="003935ED">
        <w:rPr>
          <w:rFonts w:ascii="Arial" w:hAnsi="Arial" w:cs="Arial"/>
          <w:sz w:val="24"/>
          <w:szCs w:val="24"/>
        </w:rPr>
        <w:t xml:space="preserve"> in s 18 of the High Court Act 16 of 1990</w:t>
      </w:r>
      <w:r w:rsidR="00155E47">
        <w:rPr>
          <w:rStyle w:val="FootnoteReference"/>
          <w:rFonts w:ascii="Arial" w:hAnsi="Arial" w:cs="Arial"/>
          <w:sz w:val="24"/>
          <w:szCs w:val="24"/>
        </w:rPr>
        <w:footnoteReference w:id="2"/>
      </w:r>
      <w:r w:rsidR="003935ED">
        <w:rPr>
          <w:rFonts w:ascii="Arial" w:hAnsi="Arial" w:cs="Arial"/>
          <w:sz w:val="24"/>
          <w:szCs w:val="24"/>
        </w:rPr>
        <w:t>. To the extent that</w:t>
      </w:r>
      <w:r w:rsidR="00713F7A">
        <w:rPr>
          <w:rFonts w:ascii="Arial" w:hAnsi="Arial" w:cs="Arial"/>
          <w:sz w:val="24"/>
          <w:szCs w:val="24"/>
        </w:rPr>
        <w:t xml:space="preserve"> in terms of Rule 16, the High Court</w:t>
      </w:r>
      <w:r w:rsidR="003935ED">
        <w:rPr>
          <w:rFonts w:ascii="Arial" w:hAnsi="Arial" w:cs="Arial"/>
          <w:sz w:val="24"/>
          <w:szCs w:val="24"/>
        </w:rPr>
        <w:t xml:space="preserve"> still has the </w:t>
      </w:r>
      <w:r w:rsidR="00424B91">
        <w:rPr>
          <w:rFonts w:ascii="Arial" w:hAnsi="Arial" w:cs="Arial"/>
          <w:sz w:val="24"/>
          <w:szCs w:val="24"/>
        </w:rPr>
        <w:t xml:space="preserve">competence to rescind its order </w:t>
      </w:r>
      <w:r w:rsidR="00E33854">
        <w:rPr>
          <w:rFonts w:ascii="Arial" w:hAnsi="Arial" w:cs="Arial"/>
          <w:sz w:val="24"/>
          <w:szCs w:val="24"/>
        </w:rPr>
        <w:t>that granted</w:t>
      </w:r>
      <w:r w:rsidR="00424B91">
        <w:rPr>
          <w:rFonts w:ascii="Arial" w:hAnsi="Arial" w:cs="Arial"/>
          <w:sz w:val="24"/>
          <w:szCs w:val="24"/>
        </w:rPr>
        <w:t xml:space="preserve"> default</w:t>
      </w:r>
      <w:r w:rsidR="00E33854">
        <w:rPr>
          <w:rFonts w:ascii="Arial" w:hAnsi="Arial" w:cs="Arial"/>
          <w:sz w:val="24"/>
          <w:szCs w:val="24"/>
        </w:rPr>
        <w:t xml:space="preserve"> judgment</w:t>
      </w:r>
      <w:r w:rsidR="00424B91">
        <w:rPr>
          <w:rFonts w:ascii="Arial" w:hAnsi="Arial" w:cs="Arial"/>
          <w:sz w:val="24"/>
          <w:szCs w:val="24"/>
        </w:rPr>
        <w:t xml:space="preserve"> the question of </w:t>
      </w:r>
      <w:r w:rsidR="00424B91" w:rsidRPr="00424B91">
        <w:rPr>
          <w:rFonts w:ascii="Arial" w:hAnsi="Arial" w:cs="Arial"/>
          <w:i/>
          <w:sz w:val="24"/>
          <w:szCs w:val="24"/>
        </w:rPr>
        <w:t>res judicata</w:t>
      </w:r>
      <w:r w:rsidR="00424B91">
        <w:rPr>
          <w:rFonts w:ascii="Arial" w:hAnsi="Arial" w:cs="Arial"/>
          <w:sz w:val="24"/>
          <w:szCs w:val="24"/>
        </w:rPr>
        <w:t xml:space="preserve"> does not arise.</w:t>
      </w:r>
      <w:r w:rsidR="00082DB1">
        <w:rPr>
          <w:rStyle w:val="FootnoteReference"/>
          <w:rFonts w:ascii="Arial" w:hAnsi="Arial" w:cs="Arial"/>
          <w:sz w:val="24"/>
          <w:szCs w:val="24"/>
        </w:rPr>
        <w:footnoteReference w:id="3"/>
      </w:r>
    </w:p>
    <w:p w14:paraId="1AB78E56" w14:textId="77777777" w:rsidR="00C53979" w:rsidRDefault="00C53979" w:rsidP="00C53979">
      <w:pPr>
        <w:pStyle w:val="NoSpacing"/>
        <w:spacing w:line="480" w:lineRule="auto"/>
        <w:jc w:val="both"/>
        <w:rPr>
          <w:rFonts w:ascii="Arial" w:hAnsi="Arial" w:cs="Arial"/>
          <w:sz w:val="24"/>
          <w:szCs w:val="24"/>
        </w:rPr>
      </w:pPr>
    </w:p>
    <w:p w14:paraId="5E26DA13" w14:textId="2848A42A" w:rsidR="005C3255" w:rsidRDefault="005C3255" w:rsidP="005C325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If a rescission application is out of time, an applicant must seek condonation from the High Court. A</w:t>
      </w:r>
      <w:r w:rsidR="0060795C">
        <w:rPr>
          <w:rFonts w:ascii="Arial" w:hAnsi="Arial" w:cs="Arial"/>
          <w:sz w:val="24"/>
          <w:szCs w:val="24"/>
        </w:rPr>
        <w:t>n appeal will only lie to this C</w:t>
      </w:r>
      <w:r>
        <w:rPr>
          <w:rFonts w:ascii="Arial" w:hAnsi="Arial" w:cs="Arial"/>
          <w:sz w:val="24"/>
          <w:szCs w:val="24"/>
        </w:rPr>
        <w:t>ourt if the High Court refuses to grant a rescission application.</w:t>
      </w:r>
    </w:p>
    <w:p w14:paraId="63F3CACA" w14:textId="77777777" w:rsidR="00C53979" w:rsidRPr="005C3255" w:rsidRDefault="00C53979" w:rsidP="00C53979">
      <w:pPr>
        <w:pStyle w:val="NoSpacing"/>
        <w:spacing w:line="480" w:lineRule="auto"/>
        <w:jc w:val="both"/>
        <w:rPr>
          <w:rFonts w:ascii="Arial" w:hAnsi="Arial" w:cs="Arial"/>
          <w:sz w:val="24"/>
          <w:szCs w:val="24"/>
        </w:rPr>
      </w:pPr>
    </w:p>
    <w:p w14:paraId="2A5D8BFB" w14:textId="3E873792" w:rsidR="00E33854" w:rsidRDefault="00F836D3" w:rsidP="00E634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purported appeal is thus frivolous and vexatious.</w:t>
      </w:r>
    </w:p>
    <w:p w14:paraId="646B9FEC" w14:textId="77777777" w:rsidR="00F836D3" w:rsidRPr="005B389D" w:rsidRDefault="00F836D3" w:rsidP="00F836D3">
      <w:pPr>
        <w:pStyle w:val="NoSpacing"/>
        <w:spacing w:line="480" w:lineRule="auto"/>
        <w:jc w:val="both"/>
        <w:rPr>
          <w:rFonts w:ascii="Arial" w:hAnsi="Arial" w:cs="Arial"/>
          <w:sz w:val="24"/>
          <w:szCs w:val="24"/>
        </w:rPr>
      </w:pPr>
    </w:p>
    <w:p w14:paraId="05893A15" w14:textId="77777777" w:rsidR="00E63464" w:rsidRDefault="00E63464" w:rsidP="00E63464">
      <w:pPr>
        <w:pStyle w:val="NoSpacing"/>
        <w:spacing w:line="480" w:lineRule="auto"/>
        <w:jc w:val="both"/>
        <w:rPr>
          <w:rFonts w:ascii="Arial" w:hAnsi="Arial" w:cs="Arial"/>
          <w:sz w:val="24"/>
          <w:szCs w:val="24"/>
          <w:u w:val="single"/>
        </w:rPr>
      </w:pPr>
      <w:r w:rsidRPr="00E63464">
        <w:rPr>
          <w:rFonts w:ascii="Arial" w:hAnsi="Arial" w:cs="Arial"/>
          <w:sz w:val="24"/>
          <w:szCs w:val="24"/>
          <w:u w:val="single"/>
        </w:rPr>
        <w:t>Costs</w:t>
      </w:r>
    </w:p>
    <w:p w14:paraId="7C85ED0D" w14:textId="2B359BFD" w:rsidR="0072276D" w:rsidRPr="00845D09" w:rsidRDefault="002365B6" w:rsidP="006A7DD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Costs must follow the result</w:t>
      </w:r>
      <w:r w:rsidR="005D6831">
        <w:rPr>
          <w:rFonts w:ascii="Arial" w:hAnsi="Arial" w:cs="Arial"/>
          <w:sz w:val="24"/>
          <w:szCs w:val="24"/>
        </w:rPr>
        <w:t xml:space="preserve">. </w:t>
      </w:r>
    </w:p>
    <w:p w14:paraId="38E3F91E" w14:textId="77777777" w:rsidR="006A7DD2" w:rsidRDefault="006A7DD2" w:rsidP="00E63464">
      <w:pPr>
        <w:pStyle w:val="NoSpacing"/>
        <w:spacing w:line="480" w:lineRule="auto"/>
        <w:jc w:val="both"/>
        <w:rPr>
          <w:rFonts w:ascii="Arial" w:hAnsi="Arial" w:cs="Arial"/>
          <w:sz w:val="24"/>
          <w:szCs w:val="24"/>
          <w:u w:val="single"/>
        </w:rPr>
      </w:pPr>
    </w:p>
    <w:p w14:paraId="1CD8D53C" w14:textId="77777777" w:rsidR="00E63464" w:rsidRPr="00E63464" w:rsidRDefault="00E63464" w:rsidP="00E63464">
      <w:pPr>
        <w:pStyle w:val="NoSpacing"/>
        <w:spacing w:line="480" w:lineRule="auto"/>
        <w:jc w:val="both"/>
        <w:rPr>
          <w:rFonts w:ascii="Arial" w:hAnsi="Arial" w:cs="Arial"/>
          <w:sz w:val="24"/>
          <w:szCs w:val="24"/>
          <w:u w:val="single"/>
        </w:rPr>
      </w:pPr>
      <w:r w:rsidRPr="00E63464">
        <w:rPr>
          <w:rFonts w:ascii="Arial" w:hAnsi="Arial" w:cs="Arial"/>
          <w:sz w:val="24"/>
          <w:szCs w:val="24"/>
          <w:u w:val="single"/>
        </w:rPr>
        <w:t>Order</w:t>
      </w:r>
    </w:p>
    <w:p w14:paraId="45791066" w14:textId="77777777" w:rsidR="00455B20" w:rsidRDefault="00455B20" w:rsidP="00140825">
      <w:pPr>
        <w:pStyle w:val="NoSpacing"/>
        <w:numPr>
          <w:ilvl w:val="0"/>
          <w:numId w:val="1"/>
        </w:numPr>
        <w:spacing w:line="480" w:lineRule="auto"/>
        <w:ind w:left="0" w:firstLine="0"/>
        <w:jc w:val="both"/>
        <w:rPr>
          <w:rFonts w:ascii="Arial" w:hAnsi="Arial" w:cs="Arial"/>
          <w:sz w:val="24"/>
          <w:szCs w:val="24"/>
        </w:rPr>
      </w:pPr>
      <w:r w:rsidRPr="006A7DD2">
        <w:rPr>
          <w:rFonts w:ascii="Arial" w:hAnsi="Arial" w:cs="Arial"/>
          <w:sz w:val="24"/>
          <w:szCs w:val="24"/>
        </w:rPr>
        <w:t xml:space="preserve">In the result, </w:t>
      </w:r>
    </w:p>
    <w:p w14:paraId="5076FC56" w14:textId="77777777" w:rsidR="006A7DD2" w:rsidRDefault="006A7DD2" w:rsidP="006A7DD2">
      <w:pPr>
        <w:pStyle w:val="NoSpacing"/>
        <w:spacing w:line="480" w:lineRule="auto"/>
        <w:jc w:val="both"/>
        <w:rPr>
          <w:rFonts w:ascii="Arial" w:hAnsi="Arial" w:cs="Arial"/>
          <w:sz w:val="24"/>
          <w:szCs w:val="24"/>
        </w:rPr>
      </w:pPr>
    </w:p>
    <w:p w14:paraId="7FBB3C91" w14:textId="42AE149F" w:rsidR="006A7DD2" w:rsidRPr="006A7DD2" w:rsidRDefault="006A7DD2" w:rsidP="00845D09">
      <w:pPr>
        <w:pStyle w:val="NoSpacing"/>
        <w:spacing w:line="480" w:lineRule="auto"/>
        <w:ind w:firstLine="720"/>
        <w:jc w:val="both"/>
        <w:rPr>
          <w:rFonts w:ascii="Arial" w:hAnsi="Arial" w:cs="Arial"/>
          <w:sz w:val="24"/>
          <w:szCs w:val="24"/>
        </w:rPr>
      </w:pPr>
      <w:r>
        <w:rPr>
          <w:rFonts w:ascii="Arial" w:hAnsi="Arial" w:cs="Arial"/>
          <w:sz w:val="24"/>
          <w:szCs w:val="24"/>
        </w:rPr>
        <w:t>T</w:t>
      </w:r>
      <w:r w:rsidR="00845D09">
        <w:rPr>
          <w:rFonts w:ascii="Arial" w:hAnsi="Arial" w:cs="Arial"/>
          <w:sz w:val="24"/>
          <w:szCs w:val="24"/>
        </w:rPr>
        <w:t>he appeal is dismissed</w:t>
      </w:r>
      <w:r w:rsidR="002365B6">
        <w:rPr>
          <w:rFonts w:ascii="Arial" w:hAnsi="Arial" w:cs="Arial"/>
          <w:sz w:val="24"/>
          <w:szCs w:val="24"/>
        </w:rPr>
        <w:t>,</w:t>
      </w:r>
      <w:r w:rsidR="00845D09">
        <w:rPr>
          <w:rFonts w:ascii="Arial" w:hAnsi="Arial" w:cs="Arial"/>
          <w:sz w:val="24"/>
          <w:szCs w:val="24"/>
        </w:rPr>
        <w:t xml:space="preserve"> with costs</w:t>
      </w:r>
      <w:r>
        <w:rPr>
          <w:rFonts w:ascii="Arial" w:hAnsi="Arial" w:cs="Arial"/>
          <w:sz w:val="24"/>
          <w:szCs w:val="24"/>
        </w:rPr>
        <w:t>.</w:t>
      </w:r>
    </w:p>
    <w:p w14:paraId="4D0F71E6" w14:textId="77777777" w:rsidR="00455B20" w:rsidRDefault="00455B20" w:rsidP="00455B20">
      <w:pPr>
        <w:pStyle w:val="NoSpacing"/>
        <w:spacing w:line="480" w:lineRule="auto"/>
        <w:jc w:val="both"/>
        <w:rPr>
          <w:rFonts w:ascii="Arial" w:hAnsi="Arial" w:cs="Arial"/>
          <w:sz w:val="24"/>
          <w:szCs w:val="24"/>
        </w:rPr>
      </w:pPr>
    </w:p>
    <w:p w14:paraId="4DABC155" w14:textId="77777777" w:rsidR="00C9279C" w:rsidRDefault="00C9279C" w:rsidP="00455B20">
      <w:pPr>
        <w:pStyle w:val="NoSpacing"/>
        <w:spacing w:line="480" w:lineRule="auto"/>
        <w:jc w:val="both"/>
        <w:rPr>
          <w:rFonts w:ascii="Arial" w:hAnsi="Arial" w:cs="Arial"/>
          <w:sz w:val="24"/>
          <w:szCs w:val="24"/>
        </w:rPr>
      </w:pPr>
    </w:p>
    <w:p w14:paraId="5124C2DA" w14:textId="77777777" w:rsidR="00C9279C" w:rsidRDefault="00C9279C" w:rsidP="00455B20">
      <w:pPr>
        <w:pStyle w:val="NoSpacing"/>
        <w:spacing w:line="480" w:lineRule="auto"/>
        <w:jc w:val="both"/>
        <w:rPr>
          <w:rFonts w:ascii="Arial" w:hAnsi="Arial" w:cs="Arial"/>
          <w:sz w:val="24"/>
          <w:szCs w:val="24"/>
        </w:rPr>
      </w:pPr>
    </w:p>
    <w:p w14:paraId="64915BB2" w14:textId="77777777" w:rsidR="00455B20" w:rsidRPr="00883824" w:rsidRDefault="00455B20" w:rsidP="00455B20">
      <w:pPr>
        <w:pStyle w:val="NoSpacing"/>
        <w:rPr>
          <w:rFonts w:ascii="Arial" w:hAnsi="Arial" w:cs="Arial"/>
          <w:b/>
          <w:sz w:val="24"/>
          <w:szCs w:val="24"/>
        </w:rPr>
      </w:pPr>
      <w:r w:rsidRPr="00883824">
        <w:rPr>
          <w:rFonts w:ascii="Arial" w:hAnsi="Arial" w:cs="Arial"/>
          <w:b/>
          <w:sz w:val="24"/>
          <w:szCs w:val="24"/>
        </w:rPr>
        <w:t>__________________</w:t>
      </w:r>
    </w:p>
    <w:p w14:paraId="37779F05" w14:textId="77777777" w:rsidR="00455B20" w:rsidRPr="00883824" w:rsidRDefault="00672FC1" w:rsidP="00455B20">
      <w:pPr>
        <w:spacing w:after="0" w:line="240" w:lineRule="auto"/>
        <w:jc w:val="both"/>
        <w:rPr>
          <w:rFonts w:ascii="Arial" w:hAnsi="Arial" w:cs="Arial"/>
          <w:b/>
          <w:sz w:val="24"/>
          <w:szCs w:val="24"/>
        </w:rPr>
      </w:pPr>
      <w:r>
        <w:rPr>
          <w:rFonts w:ascii="Arial" w:hAnsi="Arial" w:cs="Arial"/>
          <w:b/>
          <w:sz w:val="24"/>
          <w:szCs w:val="24"/>
        </w:rPr>
        <w:t>DAMASEB DCJ</w:t>
      </w:r>
    </w:p>
    <w:p w14:paraId="031C571D" w14:textId="77777777" w:rsidR="00455B20" w:rsidRDefault="00455B20" w:rsidP="00455B20">
      <w:pPr>
        <w:pStyle w:val="ListParagraph"/>
        <w:spacing w:after="0" w:line="480" w:lineRule="auto"/>
        <w:ind w:left="0"/>
        <w:jc w:val="both"/>
        <w:rPr>
          <w:rFonts w:ascii="Arial" w:hAnsi="Arial" w:cs="Arial"/>
          <w:sz w:val="24"/>
          <w:szCs w:val="24"/>
        </w:rPr>
      </w:pPr>
    </w:p>
    <w:p w14:paraId="022AA626" w14:textId="77777777" w:rsidR="005D2E5E" w:rsidRDefault="005D2E5E" w:rsidP="00455B20">
      <w:pPr>
        <w:pStyle w:val="BodyText"/>
        <w:autoSpaceDE w:val="0"/>
        <w:autoSpaceDN w:val="0"/>
        <w:adjustRightInd w:val="0"/>
        <w:spacing w:line="480" w:lineRule="auto"/>
        <w:jc w:val="both"/>
        <w:rPr>
          <w:rFonts w:ascii="Arial" w:hAnsi="Arial" w:cs="Arial"/>
        </w:rPr>
      </w:pPr>
    </w:p>
    <w:p w14:paraId="3EFAFB16" w14:textId="77777777" w:rsidR="000624E9" w:rsidRDefault="000624E9" w:rsidP="00455B20">
      <w:pPr>
        <w:pStyle w:val="BodyText"/>
        <w:autoSpaceDE w:val="0"/>
        <w:autoSpaceDN w:val="0"/>
        <w:adjustRightInd w:val="0"/>
        <w:spacing w:line="480" w:lineRule="auto"/>
        <w:jc w:val="both"/>
        <w:rPr>
          <w:rFonts w:ascii="Arial" w:hAnsi="Arial" w:cs="Arial"/>
        </w:rPr>
      </w:pPr>
    </w:p>
    <w:p w14:paraId="3D7F4552" w14:textId="77777777" w:rsidR="000624E9" w:rsidRDefault="000624E9" w:rsidP="00455B20">
      <w:pPr>
        <w:pStyle w:val="BodyText"/>
        <w:autoSpaceDE w:val="0"/>
        <w:autoSpaceDN w:val="0"/>
        <w:adjustRightInd w:val="0"/>
        <w:spacing w:line="480" w:lineRule="auto"/>
        <w:jc w:val="both"/>
        <w:rPr>
          <w:rFonts w:ascii="Arial" w:hAnsi="Arial" w:cs="Arial"/>
        </w:rPr>
      </w:pPr>
    </w:p>
    <w:p w14:paraId="56933BD2" w14:textId="77777777" w:rsidR="000624E9" w:rsidRDefault="000624E9" w:rsidP="00455B20">
      <w:pPr>
        <w:pStyle w:val="BodyText"/>
        <w:autoSpaceDE w:val="0"/>
        <w:autoSpaceDN w:val="0"/>
        <w:adjustRightInd w:val="0"/>
        <w:spacing w:line="480" w:lineRule="auto"/>
        <w:jc w:val="both"/>
        <w:rPr>
          <w:rFonts w:ascii="Arial" w:hAnsi="Arial" w:cs="Arial"/>
        </w:rPr>
      </w:pPr>
    </w:p>
    <w:p w14:paraId="40DEE9BB" w14:textId="77777777" w:rsidR="00AF445F" w:rsidRDefault="00AF445F" w:rsidP="00455B20">
      <w:pPr>
        <w:pStyle w:val="BodyText"/>
        <w:autoSpaceDE w:val="0"/>
        <w:autoSpaceDN w:val="0"/>
        <w:adjustRightInd w:val="0"/>
        <w:spacing w:line="480" w:lineRule="auto"/>
        <w:jc w:val="both"/>
        <w:rPr>
          <w:rFonts w:ascii="Arial" w:hAnsi="Arial" w:cs="Arial"/>
        </w:rPr>
      </w:pPr>
    </w:p>
    <w:p w14:paraId="42B991E3" w14:textId="77777777" w:rsidR="00AF445F" w:rsidRDefault="00AF445F" w:rsidP="00455B20">
      <w:pPr>
        <w:pStyle w:val="BodyText"/>
        <w:autoSpaceDE w:val="0"/>
        <w:autoSpaceDN w:val="0"/>
        <w:adjustRightInd w:val="0"/>
        <w:spacing w:line="480" w:lineRule="auto"/>
        <w:jc w:val="both"/>
        <w:rPr>
          <w:rFonts w:ascii="Arial" w:hAnsi="Arial" w:cs="Arial"/>
        </w:rPr>
      </w:pPr>
    </w:p>
    <w:p w14:paraId="641E7AF8" w14:textId="77777777" w:rsidR="00AF445F" w:rsidRDefault="00AF445F" w:rsidP="00455B20">
      <w:pPr>
        <w:pStyle w:val="BodyText"/>
        <w:autoSpaceDE w:val="0"/>
        <w:autoSpaceDN w:val="0"/>
        <w:adjustRightInd w:val="0"/>
        <w:spacing w:line="480" w:lineRule="auto"/>
        <w:jc w:val="both"/>
        <w:rPr>
          <w:rFonts w:ascii="Arial" w:hAnsi="Arial" w:cs="Arial"/>
        </w:rPr>
      </w:pPr>
    </w:p>
    <w:p w14:paraId="00605D34" w14:textId="77777777" w:rsidR="00AF445F" w:rsidRDefault="00AF445F" w:rsidP="00455B20">
      <w:pPr>
        <w:pStyle w:val="BodyText"/>
        <w:autoSpaceDE w:val="0"/>
        <w:autoSpaceDN w:val="0"/>
        <w:adjustRightInd w:val="0"/>
        <w:spacing w:line="480" w:lineRule="auto"/>
        <w:jc w:val="both"/>
        <w:rPr>
          <w:rFonts w:ascii="Arial" w:hAnsi="Arial" w:cs="Arial"/>
        </w:rPr>
      </w:pPr>
    </w:p>
    <w:p w14:paraId="224443FD" w14:textId="77777777" w:rsidR="0055431B" w:rsidRDefault="0055431B" w:rsidP="00455B20">
      <w:pPr>
        <w:pStyle w:val="BodyText"/>
        <w:autoSpaceDE w:val="0"/>
        <w:autoSpaceDN w:val="0"/>
        <w:adjustRightInd w:val="0"/>
        <w:spacing w:line="480" w:lineRule="auto"/>
        <w:jc w:val="both"/>
        <w:rPr>
          <w:rFonts w:ascii="Arial" w:hAnsi="Arial" w:cs="Arial"/>
        </w:rPr>
      </w:pPr>
    </w:p>
    <w:p w14:paraId="2FF0FF08" w14:textId="77777777" w:rsidR="0055431B" w:rsidRDefault="0055431B" w:rsidP="00455B20">
      <w:pPr>
        <w:pStyle w:val="BodyText"/>
        <w:autoSpaceDE w:val="0"/>
        <w:autoSpaceDN w:val="0"/>
        <w:adjustRightInd w:val="0"/>
        <w:spacing w:line="480" w:lineRule="auto"/>
        <w:jc w:val="both"/>
        <w:rPr>
          <w:rFonts w:ascii="Arial" w:hAnsi="Arial" w:cs="Arial"/>
        </w:rPr>
      </w:pPr>
    </w:p>
    <w:p w14:paraId="4B749046" w14:textId="77777777" w:rsidR="0055431B" w:rsidRDefault="0055431B" w:rsidP="00455B20">
      <w:pPr>
        <w:pStyle w:val="BodyText"/>
        <w:autoSpaceDE w:val="0"/>
        <w:autoSpaceDN w:val="0"/>
        <w:adjustRightInd w:val="0"/>
        <w:spacing w:line="480" w:lineRule="auto"/>
        <w:jc w:val="both"/>
        <w:rPr>
          <w:rFonts w:ascii="Arial" w:hAnsi="Arial" w:cs="Arial"/>
        </w:rPr>
      </w:pPr>
    </w:p>
    <w:p w14:paraId="51CFBA60" w14:textId="77777777" w:rsidR="0055431B" w:rsidRDefault="0055431B" w:rsidP="00455B20">
      <w:pPr>
        <w:pStyle w:val="BodyText"/>
        <w:autoSpaceDE w:val="0"/>
        <w:autoSpaceDN w:val="0"/>
        <w:adjustRightInd w:val="0"/>
        <w:spacing w:line="480" w:lineRule="auto"/>
        <w:jc w:val="both"/>
        <w:rPr>
          <w:rFonts w:ascii="Arial" w:hAnsi="Arial" w:cs="Arial"/>
        </w:rPr>
      </w:pPr>
    </w:p>
    <w:p w14:paraId="292DD2C3" w14:textId="77777777" w:rsidR="0055431B" w:rsidRDefault="0055431B" w:rsidP="00455B20">
      <w:pPr>
        <w:pStyle w:val="BodyText"/>
        <w:autoSpaceDE w:val="0"/>
        <w:autoSpaceDN w:val="0"/>
        <w:adjustRightInd w:val="0"/>
        <w:spacing w:line="480" w:lineRule="auto"/>
        <w:jc w:val="both"/>
        <w:rPr>
          <w:rFonts w:ascii="Arial" w:hAnsi="Arial" w:cs="Arial"/>
        </w:rPr>
      </w:pPr>
    </w:p>
    <w:p w14:paraId="5DFB4D2B" w14:textId="77777777" w:rsidR="0055431B" w:rsidRDefault="0055431B" w:rsidP="00455B20">
      <w:pPr>
        <w:pStyle w:val="BodyText"/>
        <w:autoSpaceDE w:val="0"/>
        <w:autoSpaceDN w:val="0"/>
        <w:adjustRightInd w:val="0"/>
        <w:spacing w:line="480" w:lineRule="auto"/>
        <w:jc w:val="both"/>
        <w:rPr>
          <w:rFonts w:ascii="Arial" w:hAnsi="Arial" w:cs="Arial"/>
        </w:rPr>
      </w:pPr>
    </w:p>
    <w:p w14:paraId="0BE456F4" w14:textId="77777777" w:rsidR="00AF445F" w:rsidRDefault="00AF445F" w:rsidP="00455B20">
      <w:pPr>
        <w:pStyle w:val="BodyText"/>
        <w:autoSpaceDE w:val="0"/>
        <w:autoSpaceDN w:val="0"/>
        <w:adjustRightInd w:val="0"/>
        <w:spacing w:line="480" w:lineRule="auto"/>
        <w:jc w:val="both"/>
        <w:rPr>
          <w:rFonts w:ascii="Arial" w:hAnsi="Arial" w:cs="Arial"/>
        </w:rPr>
      </w:pPr>
    </w:p>
    <w:p w14:paraId="51E897EC" w14:textId="77777777" w:rsidR="00AF445F" w:rsidRDefault="00AF445F" w:rsidP="00455B20">
      <w:pPr>
        <w:pStyle w:val="BodyText"/>
        <w:autoSpaceDE w:val="0"/>
        <w:autoSpaceDN w:val="0"/>
        <w:adjustRightInd w:val="0"/>
        <w:spacing w:line="480" w:lineRule="auto"/>
        <w:jc w:val="both"/>
        <w:rPr>
          <w:rFonts w:ascii="Arial" w:hAnsi="Arial" w:cs="Arial"/>
        </w:rPr>
      </w:pPr>
    </w:p>
    <w:p w14:paraId="63191350" w14:textId="77777777" w:rsidR="00AF445F" w:rsidRDefault="00AF445F" w:rsidP="00455B20">
      <w:pPr>
        <w:pStyle w:val="BodyText"/>
        <w:autoSpaceDE w:val="0"/>
        <w:autoSpaceDN w:val="0"/>
        <w:adjustRightInd w:val="0"/>
        <w:spacing w:line="480" w:lineRule="auto"/>
        <w:jc w:val="both"/>
        <w:rPr>
          <w:rFonts w:ascii="Arial" w:hAnsi="Arial" w:cs="Arial"/>
        </w:rPr>
      </w:pPr>
    </w:p>
    <w:p w14:paraId="0CCC4BA8" w14:textId="77777777" w:rsidR="0055431B" w:rsidRDefault="0055431B" w:rsidP="00455B20">
      <w:pPr>
        <w:pStyle w:val="BodyText"/>
        <w:autoSpaceDE w:val="0"/>
        <w:autoSpaceDN w:val="0"/>
        <w:adjustRightInd w:val="0"/>
        <w:spacing w:line="480" w:lineRule="auto"/>
        <w:jc w:val="both"/>
        <w:rPr>
          <w:rFonts w:ascii="Arial" w:hAnsi="Arial" w:cs="Arial"/>
        </w:rPr>
      </w:pPr>
    </w:p>
    <w:p w14:paraId="147F2820" w14:textId="77777777" w:rsidR="0055431B" w:rsidRDefault="0055431B" w:rsidP="00455B20">
      <w:pPr>
        <w:pStyle w:val="BodyText"/>
        <w:autoSpaceDE w:val="0"/>
        <w:autoSpaceDN w:val="0"/>
        <w:adjustRightInd w:val="0"/>
        <w:spacing w:line="480" w:lineRule="auto"/>
        <w:jc w:val="both"/>
        <w:rPr>
          <w:rFonts w:ascii="Arial" w:hAnsi="Arial" w:cs="Arial"/>
        </w:rPr>
      </w:pPr>
    </w:p>
    <w:p w14:paraId="5406C5C5" w14:textId="77777777" w:rsidR="00AF445F" w:rsidRDefault="00AF445F" w:rsidP="00455B20">
      <w:pPr>
        <w:pStyle w:val="BodyText"/>
        <w:autoSpaceDE w:val="0"/>
        <w:autoSpaceDN w:val="0"/>
        <w:adjustRightInd w:val="0"/>
        <w:spacing w:line="480" w:lineRule="auto"/>
        <w:jc w:val="both"/>
        <w:rPr>
          <w:rFonts w:ascii="Arial" w:hAnsi="Arial" w:cs="Arial"/>
        </w:rPr>
      </w:pPr>
    </w:p>
    <w:p w14:paraId="3934AA97" w14:textId="77777777" w:rsidR="00455B20" w:rsidRDefault="00455B20" w:rsidP="00455B20">
      <w:pPr>
        <w:pStyle w:val="BodyText"/>
        <w:autoSpaceDE w:val="0"/>
        <w:autoSpaceDN w:val="0"/>
        <w:adjustRightInd w:val="0"/>
        <w:spacing w:line="480" w:lineRule="auto"/>
        <w:jc w:val="both"/>
        <w:rPr>
          <w:rFonts w:ascii="Arial" w:hAnsi="Arial" w:cs="Arial"/>
        </w:rPr>
      </w:pPr>
      <w:r>
        <w:rPr>
          <w:rFonts w:ascii="Arial" w:hAnsi="Arial" w:cs="Arial"/>
        </w:rPr>
        <w:lastRenderedPageBreak/>
        <w:t>REPRESENTATION</w:t>
      </w:r>
    </w:p>
    <w:p w14:paraId="348131D5" w14:textId="77777777" w:rsidR="00455B20" w:rsidRDefault="00455B20" w:rsidP="00455B20">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497"/>
      </w:tblGrid>
      <w:tr w:rsidR="00455B20" w14:paraId="130C0A1D" w14:textId="77777777" w:rsidTr="00672FC1">
        <w:tc>
          <w:tcPr>
            <w:tcW w:w="4529" w:type="dxa"/>
            <w:hideMark/>
          </w:tcPr>
          <w:p w14:paraId="5B619417" w14:textId="77777777" w:rsidR="00455B20" w:rsidRDefault="00455B20" w:rsidP="00A158E7">
            <w:pPr>
              <w:pStyle w:val="BodyText"/>
              <w:autoSpaceDE w:val="0"/>
              <w:autoSpaceDN w:val="0"/>
              <w:adjustRightInd w:val="0"/>
              <w:spacing w:line="480" w:lineRule="auto"/>
              <w:ind w:left="-108"/>
              <w:jc w:val="both"/>
              <w:rPr>
                <w:rFonts w:ascii="Arial" w:hAnsi="Arial" w:cs="Arial"/>
              </w:rPr>
            </w:pPr>
            <w:r>
              <w:rPr>
                <w:rFonts w:ascii="Arial" w:hAnsi="Arial" w:cs="Arial"/>
              </w:rPr>
              <w:t>APPLICANT/RESPONDENT:</w:t>
            </w:r>
          </w:p>
        </w:tc>
        <w:tc>
          <w:tcPr>
            <w:tcW w:w="4497" w:type="dxa"/>
          </w:tcPr>
          <w:p w14:paraId="497B1CC8" w14:textId="77777777" w:rsidR="00455B20" w:rsidRDefault="00672FC1" w:rsidP="00A158E7">
            <w:pPr>
              <w:pStyle w:val="BodyText"/>
              <w:autoSpaceDE w:val="0"/>
              <w:autoSpaceDN w:val="0"/>
              <w:adjustRightInd w:val="0"/>
              <w:spacing w:line="480" w:lineRule="auto"/>
              <w:jc w:val="both"/>
              <w:rPr>
                <w:rFonts w:ascii="Arial" w:hAnsi="Arial" w:cs="Arial"/>
              </w:rPr>
            </w:pPr>
            <w:r>
              <w:rPr>
                <w:rFonts w:ascii="Arial" w:hAnsi="Arial" w:cs="Arial"/>
              </w:rPr>
              <w:t>Shikongo Law Chambers</w:t>
            </w:r>
          </w:p>
        </w:tc>
      </w:tr>
      <w:tr w:rsidR="00455B20" w14:paraId="7B469393" w14:textId="77777777" w:rsidTr="00A158E7">
        <w:tc>
          <w:tcPr>
            <w:tcW w:w="4529" w:type="dxa"/>
          </w:tcPr>
          <w:p w14:paraId="4FECABC3" w14:textId="77777777" w:rsidR="00455B20" w:rsidRDefault="00455B20" w:rsidP="00A158E7">
            <w:pPr>
              <w:pStyle w:val="BodyText"/>
              <w:autoSpaceDE w:val="0"/>
              <w:autoSpaceDN w:val="0"/>
              <w:adjustRightInd w:val="0"/>
              <w:spacing w:line="480" w:lineRule="auto"/>
              <w:ind w:left="-108"/>
              <w:jc w:val="both"/>
              <w:rPr>
                <w:rFonts w:ascii="Arial" w:hAnsi="Arial" w:cs="Arial"/>
              </w:rPr>
            </w:pPr>
          </w:p>
          <w:p w14:paraId="45863EA4" w14:textId="77777777" w:rsidR="00455B20" w:rsidRDefault="00455B20" w:rsidP="00A158E7">
            <w:pPr>
              <w:pStyle w:val="BodyText"/>
              <w:autoSpaceDE w:val="0"/>
              <w:autoSpaceDN w:val="0"/>
              <w:adjustRightInd w:val="0"/>
              <w:spacing w:line="480" w:lineRule="auto"/>
              <w:ind w:left="-108"/>
              <w:jc w:val="both"/>
              <w:rPr>
                <w:rFonts w:ascii="Arial" w:hAnsi="Arial" w:cs="Arial"/>
              </w:rPr>
            </w:pPr>
          </w:p>
        </w:tc>
        <w:tc>
          <w:tcPr>
            <w:tcW w:w="4497" w:type="dxa"/>
          </w:tcPr>
          <w:p w14:paraId="4A1DFB82" w14:textId="77777777" w:rsidR="00455B20" w:rsidRDefault="00455B20" w:rsidP="00A158E7">
            <w:pPr>
              <w:pStyle w:val="BodyText"/>
              <w:autoSpaceDE w:val="0"/>
              <w:autoSpaceDN w:val="0"/>
              <w:adjustRightInd w:val="0"/>
              <w:spacing w:line="480" w:lineRule="auto"/>
              <w:jc w:val="both"/>
              <w:rPr>
                <w:rFonts w:ascii="Arial" w:hAnsi="Arial" w:cs="Arial"/>
              </w:rPr>
            </w:pPr>
          </w:p>
        </w:tc>
      </w:tr>
      <w:tr w:rsidR="00455B20" w14:paraId="2675D1C7" w14:textId="77777777" w:rsidTr="00A158E7">
        <w:tc>
          <w:tcPr>
            <w:tcW w:w="4529" w:type="dxa"/>
          </w:tcPr>
          <w:p w14:paraId="5D985713" w14:textId="77777777" w:rsidR="00455B20" w:rsidRDefault="00672FC1" w:rsidP="00672FC1">
            <w:pPr>
              <w:pStyle w:val="BodyText"/>
              <w:autoSpaceDE w:val="0"/>
              <w:autoSpaceDN w:val="0"/>
              <w:adjustRightInd w:val="0"/>
              <w:spacing w:line="480" w:lineRule="auto"/>
              <w:ind w:left="-108"/>
              <w:jc w:val="both"/>
              <w:rPr>
                <w:rFonts w:ascii="Arial" w:hAnsi="Arial" w:cs="Arial"/>
              </w:rPr>
            </w:pPr>
            <w:r>
              <w:rPr>
                <w:rFonts w:ascii="Arial" w:hAnsi="Arial" w:cs="Arial"/>
              </w:rPr>
              <w:t>RESPONDENT</w:t>
            </w:r>
            <w:r w:rsidR="00455B20">
              <w:rPr>
                <w:rFonts w:ascii="Arial" w:hAnsi="Arial" w:cs="Arial"/>
              </w:rPr>
              <w:t>/APPELLANT:</w:t>
            </w:r>
          </w:p>
        </w:tc>
        <w:tc>
          <w:tcPr>
            <w:tcW w:w="4497" w:type="dxa"/>
            <w:hideMark/>
          </w:tcPr>
          <w:p w14:paraId="38516AAA" w14:textId="377DCDC1" w:rsidR="00455B20" w:rsidRDefault="00672FC1" w:rsidP="00A158E7">
            <w:pPr>
              <w:pStyle w:val="BodyText"/>
              <w:autoSpaceDE w:val="0"/>
              <w:autoSpaceDN w:val="0"/>
              <w:adjustRightInd w:val="0"/>
              <w:spacing w:line="480" w:lineRule="auto"/>
              <w:jc w:val="both"/>
              <w:rPr>
                <w:rFonts w:ascii="Arial" w:hAnsi="Arial" w:cs="Arial"/>
              </w:rPr>
            </w:pPr>
            <w:r>
              <w:rPr>
                <w:rFonts w:ascii="Arial" w:hAnsi="Arial" w:cs="Arial"/>
              </w:rPr>
              <w:t>Jos</w:t>
            </w:r>
            <w:r w:rsidR="00FC0AA8">
              <w:rPr>
                <w:rFonts w:ascii="Arial" w:hAnsi="Arial" w:cs="Arial"/>
              </w:rPr>
              <w:t>ephine Louise Sisande</w:t>
            </w:r>
          </w:p>
        </w:tc>
      </w:tr>
    </w:tbl>
    <w:p w14:paraId="10FD86DA" w14:textId="77777777" w:rsidR="00455B20" w:rsidRPr="00703714" w:rsidRDefault="00455B20" w:rsidP="00455B20">
      <w:pPr>
        <w:rPr>
          <w:rFonts w:ascii="Arial" w:hAnsi="Arial" w:cs="Arial"/>
          <w:sz w:val="24"/>
          <w:szCs w:val="24"/>
        </w:rPr>
      </w:pPr>
    </w:p>
    <w:p w14:paraId="692B1E94" w14:textId="77777777" w:rsidR="004E6AB8" w:rsidRDefault="003A4AD1"/>
    <w:sectPr w:rsidR="004E6AB8" w:rsidSect="009B4F82">
      <w:headerReference w:type="default" r:id="rId9"/>
      <w:head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8AF7" w14:textId="77777777" w:rsidR="003A4AD1" w:rsidRDefault="003A4AD1" w:rsidP="00455B20">
      <w:pPr>
        <w:spacing w:after="0" w:line="240" w:lineRule="auto"/>
      </w:pPr>
      <w:r>
        <w:separator/>
      </w:r>
    </w:p>
  </w:endnote>
  <w:endnote w:type="continuationSeparator" w:id="0">
    <w:p w14:paraId="0929D40D" w14:textId="77777777" w:rsidR="003A4AD1" w:rsidRDefault="003A4AD1" w:rsidP="0045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2205" w14:textId="77777777" w:rsidR="003A4AD1" w:rsidRDefault="003A4AD1" w:rsidP="00455B20">
      <w:pPr>
        <w:spacing w:after="0" w:line="240" w:lineRule="auto"/>
      </w:pPr>
      <w:r>
        <w:separator/>
      </w:r>
    </w:p>
  </w:footnote>
  <w:footnote w:type="continuationSeparator" w:id="0">
    <w:p w14:paraId="15BB9AD8" w14:textId="77777777" w:rsidR="003A4AD1" w:rsidRDefault="003A4AD1" w:rsidP="00455B20">
      <w:pPr>
        <w:spacing w:after="0" w:line="240" w:lineRule="auto"/>
      </w:pPr>
      <w:r>
        <w:continuationSeparator/>
      </w:r>
    </w:p>
  </w:footnote>
  <w:footnote w:id="1">
    <w:p w14:paraId="4559B53C" w14:textId="29CB4244" w:rsidR="00C03149" w:rsidRPr="00B74C5F" w:rsidRDefault="00C03149" w:rsidP="00B74C5F">
      <w:pPr>
        <w:pStyle w:val="FootnoteText"/>
        <w:jc w:val="both"/>
        <w:rPr>
          <w:rFonts w:ascii="Arial" w:hAnsi="Arial" w:cs="Arial"/>
          <w:lang w:val="en-US"/>
        </w:rPr>
      </w:pPr>
      <w:r w:rsidRPr="00B74C5F">
        <w:rPr>
          <w:rStyle w:val="FootnoteReference"/>
          <w:rFonts w:ascii="Arial" w:hAnsi="Arial" w:cs="Arial"/>
        </w:rPr>
        <w:footnoteRef/>
      </w:r>
      <w:r w:rsidRPr="00B74C5F">
        <w:rPr>
          <w:rFonts w:ascii="Arial" w:hAnsi="Arial" w:cs="Arial"/>
        </w:rPr>
        <w:t xml:space="preserve"> </w:t>
      </w:r>
      <w:r w:rsidR="00DC0FD3" w:rsidRPr="00B74C5F">
        <w:rPr>
          <w:rFonts w:ascii="Arial" w:hAnsi="Arial" w:cs="Arial"/>
          <w:i/>
        </w:rPr>
        <w:t xml:space="preserve">Gibeon Village Council v Development Bank </w:t>
      </w:r>
      <w:r w:rsidR="00B74C5F" w:rsidRPr="00B74C5F">
        <w:rPr>
          <w:rFonts w:ascii="Arial" w:hAnsi="Arial" w:cs="Arial"/>
          <w:i/>
        </w:rPr>
        <w:t>of Namibia &amp; o</w:t>
      </w:r>
      <w:r w:rsidR="00DC0FD3" w:rsidRPr="00B74C5F">
        <w:rPr>
          <w:rFonts w:ascii="Arial" w:hAnsi="Arial" w:cs="Arial"/>
          <w:i/>
        </w:rPr>
        <w:t>thers</w:t>
      </w:r>
      <w:r w:rsidR="00DC0FD3" w:rsidRPr="00B74C5F">
        <w:rPr>
          <w:rFonts w:ascii="Arial" w:hAnsi="Arial" w:cs="Arial"/>
        </w:rPr>
        <w:t xml:space="preserve"> 2022 (4) NR 1011 (SC).</w:t>
      </w:r>
    </w:p>
  </w:footnote>
  <w:footnote w:id="2">
    <w:p w14:paraId="4CF572D0" w14:textId="79D670A5" w:rsidR="00155E47" w:rsidRPr="005B389D" w:rsidRDefault="00155E47">
      <w:pPr>
        <w:pStyle w:val="FootnoteText"/>
        <w:rPr>
          <w:rFonts w:ascii="Arial" w:hAnsi="Arial" w:cs="Arial"/>
          <w:lang w:val="en-US"/>
        </w:rPr>
      </w:pPr>
      <w:r w:rsidRPr="005B389D">
        <w:rPr>
          <w:rStyle w:val="FootnoteReference"/>
          <w:rFonts w:ascii="Arial" w:hAnsi="Arial" w:cs="Arial"/>
        </w:rPr>
        <w:footnoteRef/>
      </w:r>
      <w:r w:rsidR="005B389D">
        <w:rPr>
          <w:rFonts w:ascii="Arial" w:hAnsi="Arial" w:cs="Arial"/>
        </w:rPr>
        <w:t xml:space="preserve"> </w:t>
      </w:r>
      <w:r w:rsidR="005B389D" w:rsidRPr="005B389D">
        <w:rPr>
          <w:rFonts w:ascii="Arial" w:hAnsi="Arial" w:cs="Arial"/>
          <w:i/>
        </w:rPr>
        <w:t>Di Savino v Nedbank Namibia Ltd</w:t>
      </w:r>
      <w:r w:rsidR="005B389D" w:rsidRPr="005B389D">
        <w:rPr>
          <w:rFonts w:ascii="Arial" w:hAnsi="Arial" w:cs="Arial"/>
        </w:rPr>
        <w:t xml:space="preserve"> 2017 (3) N</w:t>
      </w:r>
      <w:r w:rsidR="005B389D">
        <w:rPr>
          <w:rFonts w:ascii="Arial" w:hAnsi="Arial" w:cs="Arial"/>
        </w:rPr>
        <w:t>R</w:t>
      </w:r>
      <w:r w:rsidR="005B389D" w:rsidRPr="005B389D">
        <w:rPr>
          <w:rFonts w:ascii="Arial" w:hAnsi="Arial" w:cs="Arial"/>
        </w:rPr>
        <w:t xml:space="preserve"> 880 (S</w:t>
      </w:r>
      <w:r w:rsidR="005B389D">
        <w:rPr>
          <w:rFonts w:ascii="Arial" w:hAnsi="Arial" w:cs="Arial"/>
        </w:rPr>
        <w:t>C</w:t>
      </w:r>
      <w:r w:rsidR="005B389D" w:rsidRPr="005B389D">
        <w:rPr>
          <w:rFonts w:ascii="Arial" w:hAnsi="Arial" w:cs="Arial"/>
        </w:rPr>
        <w:t>)</w:t>
      </w:r>
      <w:r w:rsidR="00C53979">
        <w:rPr>
          <w:rFonts w:ascii="Arial" w:hAnsi="Arial" w:cs="Arial"/>
        </w:rPr>
        <w:t xml:space="preserve"> para 51</w:t>
      </w:r>
      <w:r w:rsidR="005B389D">
        <w:rPr>
          <w:rFonts w:ascii="Arial" w:hAnsi="Arial" w:cs="Arial"/>
        </w:rPr>
        <w:t>.</w:t>
      </w:r>
    </w:p>
  </w:footnote>
  <w:footnote w:id="3">
    <w:p w14:paraId="1D8A9365" w14:textId="5165E21E" w:rsidR="00082DB1" w:rsidRPr="00082DB1" w:rsidRDefault="00082DB1" w:rsidP="00B74C5F">
      <w:pPr>
        <w:pStyle w:val="FootnoteText"/>
        <w:jc w:val="both"/>
        <w:rPr>
          <w:rFonts w:ascii="Arial" w:hAnsi="Arial" w:cs="Arial"/>
          <w:lang w:val="en-US"/>
        </w:rPr>
      </w:pPr>
      <w:r w:rsidRPr="00B74C5F">
        <w:rPr>
          <w:rStyle w:val="FootnoteReference"/>
          <w:rFonts w:ascii="Arial" w:hAnsi="Arial" w:cs="Arial"/>
        </w:rPr>
        <w:footnoteRef/>
      </w:r>
      <w:r w:rsidRPr="00B74C5F">
        <w:rPr>
          <w:rFonts w:ascii="Arial" w:hAnsi="Arial" w:cs="Arial"/>
        </w:rPr>
        <w:t xml:space="preserve"> </w:t>
      </w:r>
      <w:r w:rsidRPr="00B74C5F">
        <w:rPr>
          <w:rFonts w:ascii="Arial" w:hAnsi="Arial" w:cs="Arial"/>
          <w:i/>
          <w:lang w:val="en-US"/>
        </w:rPr>
        <w:t>Herbstein &amp; Van Winsen</w:t>
      </w:r>
      <w:r w:rsidRPr="00B74C5F">
        <w:rPr>
          <w:rFonts w:ascii="Arial" w:hAnsi="Arial" w:cs="Arial"/>
          <w:lang w:val="en-US"/>
        </w:rPr>
        <w:t>. The Civil Practice of the High Courts of South Africa, 5</w:t>
      </w:r>
      <w:r w:rsidRPr="00B74C5F">
        <w:rPr>
          <w:rFonts w:ascii="Arial" w:hAnsi="Arial" w:cs="Arial"/>
          <w:vertAlign w:val="superscript"/>
          <w:lang w:val="en-US"/>
        </w:rPr>
        <w:t>th</w:t>
      </w:r>
      <w:r w:rsidRPr="00B74C5F">
        <w:rPr>
          <w:rFonts w:ascii="Arial" w:hAnsi="Arial" w:cs="Arial"/>
          <w:lang w:val="en-US"/>
        </w:rPr>
        <w:t xml:space="preserve"> ed,</w:t>
      </w:r>
      <w:r w:rsidR="004D3E60" w:rsidRPr="00B74C5F">
        <w:rPr>
          <w:rFonts w:ascii="Arial" w:hAnsi="Arial" w:cs="Arial"/>
          <w:lang w:val="en-US"/>
        </w:rPr>
        <w:t xml:space="preserve"> </w:t>
      </w:r>
      <w:r w:rsidRPr="00B74C5F">
        <w:rPr>
          <w:rFonts w:ascii="Arial" w:hAnsi="Arial" w:cs="Arial"/>
          <w:lang w:val="en-US"/>
        </w:rPr>
        <w:t xml:space="preserve">Vol 1, p544 also see </w:t>
      </w:r>
      <w:r w:rsidRPr="00B74C5F">
        <w:rPr>
          <w:rFonts w:ascii="Arial" w:hAnsi="Arial" w:cs="Arial"/>
          <w:i/>
          <w:lang w:val="en-US"/>
        </w:rPr>
        <w:t>Louis Joss Motors (Pty) Ltd v Riholm</w:t>
      </w:r>
      <w:r w:rsidRPr="00B74C5F">
        <w:rPr>
          <w:rFonts w:ascii="Arial" w:hAnsi="Arial" w:cs="Arial"/>
          <w:lang w:val="en-US"/>
        </w:rPr>
        <w:t xml:space="preserve"> 1971 (3) SA 452 (T) at 454.</w:t>
      </w:r>
      <w:r>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370156637"/>
      <w:docPartObj>
        <w:docPartGallery w:val="Page Numbers (Top of Page)"/>
        <w:docPartUnique/>
      </w:docPartObj>
    </w:sdtPr>
    <w:sdtEndPr>
      <w:rPr>
        <w:noProof/>
      </w:rPr>
    </w:sdtEndPr>
    <w:sdtContent>
      <w:p w14:paraId="263F599B" w14:textId="77777777" w:rsidR="009B4F82" w:rsidRPr="009B4F82" w:rsidRDefault="004712BD">
        <w:pPr>
          <w:pStyle w:val="Header"/>
          <w:jc w:val="right"/>
          <w:rPr>
            <w:rFonts w:ascii="Arial" w:hAnsi="Arial" w:cs="Arial"/>
            <w:sz w:val="24"/>
            <w:szCs w:val="24"/>
          </w:rPr>
        </w:pPr>
        <w:r w:rsidRPr="009B4F82">
          <w:rPr>
            <w:rFonts w:ascii="Arial" w:hAnsi="Arial" w:cs="Arial"/>
            <w:sz w:val="24"/>
            <w:szCs w:val="24"/>
          </w:rPr>
          <w:fldChar w:fldCharType="begin"/>
        </w:r>
        <w:r w:rsidRPr="009B4F82">
          <w:rPr>
            <w:rFonts w:ascii="Arial" w:hAnsi="Arial" w:cs="Arial"/>
            <w:sz w:val="24"/>
            <w:szCs w:val="24"/>
          </w:rPr>
          <w:instrText xml:space="preserve"> PAGE   \* MERGEFORMAT </w:instrText>
        </w:r>
        <w:r w:rsidRPr="009B4F82">
          <w:rPr>
            <w:rFonts w:ascii="Arial" w:hAnsi="Arial" w:cs="Arial"/>
            <w:sz w:val="24"/>
            <w:szCs w:val="24"/>
          </w:rPr>
          <w:fldChar w:fldCharType="separate"/>
        </w:r>
        <w:r w:rsidR="00F61C89">
          <w:rPr>
            <w:rFonts w:ascii="Arial" w:hAnsi="Arial" w:cs="Arial"/>
            <w:noProof/>
            <w:sz w:val="24"/>
            <w:szCs w:val="24"/>
          </w:rPr>
          <w:t>9</w:t>
        </w:r>
        <w:r w:rsidRPr="009B4F82">
          <w:rPr>
            <w:rFonts w:ascii="Arial" w:hAnsi="Arial" w:cs="Arial"/>
            <w:noProof/>
            <w:sz w:val="24"/>
            <w:szCs w:val="24"/>
          </w:rPr>
          <w:fldChar w:fldCharType="end"/>
        </w:r>
      </w:p>
    </w:sdtContent>
  </w:sdt>
  <w:p w14:paraId="675D4FF8" w14:textId="77777777" w:rsidR="00703714" w:rsidRDefault="003A4AD1" w:rsidP="009B4F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2E72" w14:textId="77777777" w:rsidR="009B4F82" w:rsidRDefault="003A4AD1">
    <w:pPr>
      <w:pStyle w:val="Header"/>
      <w:jc w:val="right"/>
    </w:pPr>
  </w:p>
  <w:p w14:paraId="734EB536" w14:textId="77777777" w:rsidR="009B4F82" w:rsidRDefault="003A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81D3E"/>
    <w:multiLevelType w:val="hybridMultilevel"/>
    <w:tmpl w:val="30429D30"/>
    <w:lvl w:ilvl="0" w:tplc="A606E6F2">
      <w:start w:val="1"/>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20"/>
    <w:rsid w:val="000624E9"/>
    <w:rsid w:val="00067719"/>
    <w:rsid w:val="000744DB"/>
    <w:rsid w:val="0007567C"/>
    <w:rsid w:val="00082DB1"/>
    <w:rsid w:val="00097252"/>
    <w:rsid w:val="000B08A6"/>
    <w:rsid w:val="000B3266"/>
    <w:rsid w:val="00127984"/>
    <w:rsid w:val="00142B93"/>
    <w:rsid w:val="0015596C"/>
    <w:rsid w:val="00155E47"/>
    <w:rsid w:val="00186C3E"/>
    <w:rsid w:val="00194DC5"/>
    <w:rsid w:val="001A5DA5"/>
    <w:rsid w:val="001B635C"/>
    <w:rsid w:val="001C4E20"/>
    <w:rsid w:val="001F308C"/>
    <w:rsid w:val="001F4589"/>
    <w:rsid w:val="001F564D"/>
    <w:rsid w:val="001F7BD1"/>
    <w:rsid w:val="00206EB4"/>
    <w:rsid w:val="002152F0"/>
    <w:rsid w:val="002365B6"/>
    <w:rsid w:val="00270740"/>
    <w:rsid w:val="002A7C33"/>
    <w:rsid w:val="002C700D"/>
    <w:rsid w:val="002F089A"/>
    <w:rsid w:val="002F4513"/>
    <w:rsid w:val="00304C99"/>
    <w:rsid w:val="003639AD"/>
    <w:rsid w:val="00364D7C"/>
    <w:rsid w:val="00377E60"/>
    <w:rsid w:val="0039312F"/>
    <w:rsid w:val="003935ED"/>
    <w:rsid w:val="003A4AD1"/>
    <w:rsid w:val="003D2045"/>
    <w:rsid w:val="003F180F"/>
    <w:rsid w:val="003F5E4C"/>
    <w:rsid w:val="00402C8C"/>
    <w:rsid w:val="004115F5"/>
    <w:rsid w:val="0041173E"/>
    <w:rsid w:val="00412F1D"/>
    <w:rsid w:val="00424B91"/>
    <w:rsid w:val="00444992"/>
    <w:rsid w:val="00444BC5"/>
    <w:rsid w:val="00455B20"/>
    <w:rsid w:val="004712BD"/>
    <w:rsid w:val="00487760"/>
    <w:rsid w:val="00496F03"/>
    <w:rsid w:val="004A14EB"/>
    <w:rsid w:val="004C3C59"/>
    <w:rsid w:val="004D3E60"/>
    <w:rsid w:val="00523240"/>
    <w:rsid w:val="00523CCD"/>
    <w:rsid w:val="00523D17"/>
    <w:rsid w:val="0055431B"/>
    <w:rsid w:val="0056065F"/>
    <w:rsid w:val="00563227"/>
    <w:rsid w:val="00574FBB"/>
    <w:rsid w:val="00593642"/>
    <w:rsid w:val="005A7748"/>
    <w:rsid w:val="005B389D"/>
    <w:rsid w:val="005B578E"/>
    <w:rsid w:val="005C2FF0"/>
    <w:rsid w:val="005C3255"/>
    <w:rsid w:val="005C43D6"/>
    <w:rsid w:val="005D2E5E"/>
    <w:rsid w:val="005D6831"/>
    <w:rsid w:val="005E245A"/>
    <w:rsid w:val="005F49F1"/>
    <w:rsid w:val="00600BDF"/>
    <w:rsid w:val="00602C0C"/>
    <w:rsid w:val="0060795C"/>
    <w:rsid w:val="00630B7E"/>
    <w:rsid w:val="006349C3"/>
    <w:rsid w:val="006470B9"/>
    <w:rsid w:val="00651360"/>
    <w:rsid w:val="00651D1C"/>
    <w:rsid w:val="00663222"/>
    <w:rsid w:val="00672FC1"/>
    <w:rsid w:val="0069356C"/>
    <w:rsid w:val="006A7DD2"/>
    <w:rsid w:val="006F0B01"/>
    <w:rsid w:val="00701FC8"/>
    <w:rsid w:val="00713F7A"/>
    <w:rsid w:val="00714C19"/>
    <w:rsid w:val="0072276D"/>
    <w:rsid w:val="00723674"/>
    <w:rsid w:val="007606A5"/>
    <w:rsid w:val="00776234"/>
    <w:rsid w:val="00781E4A"/>
    <w:rsid w:val="007C6086"/>
    <w:rsid w:val="007E20D5"/>
    <w:rsid w:val="008052E6"/>
    <w:rsid w:val="00845D09"/>
    <w:rsid w:val="00846D65"/>
    <w:rsid w:val="00867612"/>
    <w:rsid w:val="00894077"/>
    <w:rsid w:val="008B080A"/>
    <w:rsid w:val="008B69EA"/>
    <w:rsid w:val="008C48FE"/>
    <w:rsid w:val="008F749C"/>
    <w:rsid w:val="00903209"/>
    <w:rsid w:val="00905C3D"/>
    <w:rsid w:val="0092299D"/>
    <w:rsid w:val="00934CDD"/>
    <w:rsid w:val="009A53ED"/>
    <w:rsid w:val="009A7035"/>
    <w:rsid w:val="009A78C4"/>
    <w:rsid w:val="009E5074"/>
    <w:rsid w:val="009F2268"/>
    <w:rsid w:val="009F5EDA"/>
    <w:rsid w:val="00A22E3F"/>
    <w:rsid w:val="00A331D2"/>
    <w:rsid w:val="00A57484"/>
    <w:rsid w:val="00A602DF"/>
    <w:rsid w:val="00A877E1"/>
    <w:rsid w:val="00A93CF5"/>
    <w:rsid w:val="00A96B2A"/>
    <w:rsid w:val="00AE22CB"/>
    <w:rsid w:val="00AF445F"/>
    <w:rsid w:val="00B27793"/>
    <w:rsid w:val="00B364E2"/>
    <w:rsid w:val="00B74C5F"/>
    <w:rsid w:val="00B87711"/>
    <w:rsid w:val="00B877C3"/>
    <w:rsid w:val="00BA3A57"/>
    <w:rsid w:val="00BF6552"/>
    <w:rsid w:val="00C03149"/>
    <w:rsid w:val="00C23547"/>
    <w:rsid w:val="00C30F6A"/>
    <w:rsid w:val="00C360D4"/>
    <w:rsid w:val="00C53979"/>
    <w:rsid w:val="00C76697"/>
    <w:rsid w:val="00C85ADF"/>
    <w:rsid w:val="00C9279C"/>
    <w:rsid w:val="00C929A1"/>
    <w:rsid w:val="00C970E0"/>
    <w:rsid w:val="00CE79EE"/>
    <w:rsid w:val="00CF368D"/>
    <w:rsid w:val="00D0744A"/>
    <w:rsid w:val="00D131E0"/>
    <w:rsid w:val="00D37DBA"/>
    <w:rsid w:val="00D51D85"/>
    <w:rsid w:val="00D76A4A"/>
    <w:rsid w:val="00D81AC3"/>
    <w:rsid w:val="00D82C6D"/>
    <w:rsid w:val="00D95972"/>
    <w:rsid w:val="00DA5F3E"/>
    <w:rsid w:val="00DC0FD3"/>
    <w:rsid w:val="00DD44D5"/>
    <w:rsid w:val="00DF7873"/>
    <w:rsid w:val="00E24352"/>
    <w:rsid w:val="00E31881"/>
    <w:rsid w:val="00E33854"/>
    <w:rsid w:val="00E55D1D"/>
    <w:rsid w:val="00E61CBB"/>
    <w:rsid w:val="00E63464"/>
    <w:rsid w:val="00E84006"/>
    <w:rsid w:val="00E86071"/>
    <w:rsid w:val="00E94701"/>
    <w:rsid w:val="00EB6440"/>
    <w:rsid w:val="00ED5F77"/>
    <w:rsid w:val="00EE4467"/>
    <w:rsid w:val="00EF351B"/>
    <w:rsid w:val="00F06C07"/>
    <w:rsid w:val="00F24A95"/>
    <w:rsid w:val="00F33BA3"/>
    <w:rsid w:val="00F4458E"/>
    <w:rsid w:val="00F556AA"/>
    <w:rsid w:val="00F60B71"/>
    <w:rsid w:val="00F61C89"/>
    <w:rsid w:val="00F7241F"/>
    <w:rsid w:val="00F836D3"/>
    <w:rsid w:val="00F83E51"/>
    <w:rsid w:val="00F84621"/>
    <w:rsid w:val="00F97BE0"/>
    <w:rsid w:val="00FC0AA8"/>
    <w:rsid w:val="00FC0E6E"/>
    <w:rsid w:val="00FD3A60"/>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A097"/>
  <w15:chartTrackingRefBased/>
  <w15:docId w15:val="{F3E03F67-65A1-42FD-A957-928B6622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2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B20"/>
    <w:pPr>
      <w:spacing w:after="0" w:line="240" w:lineRule="auto"/>
    </w:pPr>
    <w:rPr>
      <w:lang w:val="en-ZA"/>
    </w:rPr>
  </w:style>
  <w:style w:type="table" w:styleId="TableGrid">
    <w:name w:val="Table Grid"/>
    <w:basedOn w:val="TableNormal"/>
    <w:uiPriority w:val="39"/>
    <w:rsid w:val="00455B20"/>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5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20"/>
    <w:rPr>
      <w:sz w:val="20"/>
      <w:szCs w:val="20"/>
      <w:lang w:val="en-ZA"/>
    </w:rPr>
  </w:style>
  <w:style w:type="character" w:styleId="FootnoteReference">
    <w:name w:val="footnote reference"/>
    <w:basedOn w:val="DefaultParagraphFont"/>
    <w:uiPriority w:val="99"/>
    <w:semiHidden/>
    <w:unhideWhenUsed/>
    <w:rsid w:val="00455B20"/>
    <w:rPr>
      <w:vertAlign w:val="superscript"/>
    </w:rPr>
  </w:style>
  <w:style w:type="paragraph" w:styleId="BodyText">
    <w:name w:val="Body Text"/>
    <w:basedOn w:val="Normal"/>
    <w:link w:val="BodyTextChar"/>
    <w:unhideWhenUsed/>
    <w:rsid w:val="00455B2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55B2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55B20"/>
    <w:pPr>
      <w:ind w:left="720"/>
      <w:contextualSpacing/>
    </w:pPr>
  </w:style>
  <w:style w:type="paragraph" w:styleId="Header">
    <w:name w:val="header"/>
    <w:basedOn w:val="Normal"/>
    <w:link w:val="HeaderChar"/>
    <w:uiPriority w:val="99"/>
    <w:unhideWhenUsed/>
    <w:rsid w:val="0045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B20"/>
    <w:rPr>
      <w:lang w:val="en-ZA"/>
    </w:rPr>
  </w:style>
  <w:style w:type="paragraph" w:customStyle="1" w:styleId="Body">
    <w:name w:val="Body"/>
    <w:rsid w:val="00455B20"/>
    <w:pPr>
      <w:spacing w:line="256" w:lineRule="auto"/>
    </w:pPr>
    <w:rPr>
      <w:rFonts w:ascii="Calibri" w:eastAsia="Arial Unicode MS" w:hAnsi="Calibri" w:cs="Arial Unicode MS"/>
      <w:color w:val="000000"/>
      <w:u w:color="000000"/>
      <w:lang w:val="en-ZA" w:eastAsia="en-GB"/>
    </w:rPr>
  </w:style>
  <w:style w:type="paragraph" w:styleId="BalloonText">
    <w:name w:val="Balloon Text"/>
    <w:basedOn w:val="Normal"/>
    <w:link w:val="BalloonTextChar"/>
    <w:uiPriority w:val="99"/>
    <w:semiHidden/>
    <w:unhideWhenUsed/>
    <w:rsid w:val="00067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19"/>
    <w:rPr>
      <w:rFonts w:ascii="Segoe UI" w:hAnsi="Segoe UI" w:cs="Segoe UI"/>
      <w:sz w:val="18"/>
      <w:szCs w:val="18"/>
      <w:lang w:val="en-ZA"/>
    </w:rPr>
  </w:style>
  <w:style w:type="character" w:styleId="CommentReference">
    <w:name w:val="annotation reference"/>
    <w:basedOn w:val="DefaultParagraphFont"/>
    <w:uiPriority w:val="99"/>
    <w:semiHidden/>
    <w:unhideWhenUsed/>
    <w:rsid w:val="00C76697"/>
    <w:rPr>
      <w:sz w:val="18"/>
      <w:szCs w:val="18"/>
    </w:rPr>
  </w:style>
  <w:style w:type="paragraph" w:styleId="CommentText">
    <w:name w:val="annotation text"/>
    <w:basedOn w:val="Normal"/>
    <w:link w:val="CommentTextChar"/>
    <w:uiPriority w:val="99"/>
    <w:semiHidden/>
    <w:unhideWhenUsed/>
    <w:rsid w:val="00C76697"/>
    <w:pPr>
      <w:spacing w:line="240" w:lineRule="auto"/>
    </w:pPr>
    <w:rPr>
      <w:sz w:val="24"/>
      <w:szCs w:val="24"/>
    </w:rPr>
  </w:style>
  <w:style w:type="character" w:customStyle="1" w:styleId="CommentTextChar">
    <w:name w:val="Comment Text Char"/>
    <w:basedOn w:val="DefaultParagraphFont"/>
    <w:link w:val="CommentText"/>
    <w:uiPriority w:val="99"/>
    <w:semiHidden/>
    <w:rsid w:val="00C76697"/>
    <w:rPr>
      <w:sz w:val="24"/>
      <w:szCs w:val="24"/>
      <w:lang w:val="en-ZA"/>
    </w:rPr>
  </w:style>
  <w:style w:type="paragraph" w:styleId="CommentSubject">
    <w:name w:val="annotation subject"/>
    <w:basedOn w:val="CommentText"/>
    <w:next w:val="CommentText"/>
    <w:link w:val="CommentSubjectChar"/>
    <w:uiPriority w:val="99"/>
    <w:semiHidden/>
    <w:unhideWhenUsed/>
    <w:rsid w:val="00C76697"/>
    <w:rPr>
      <w:b/>
      <w:bCs/>
      <w:sz w:val="20"/>
      <w:szCs w:val="20"/>
    </w:rPr>
  </w:style>
  <w:style w:type="character" w:customStyle="1" w:styleId="CommentSubjectChar">
    <w:name w:val="Comment Subject Char"/>
    <w:basedOn w:val="CommentTextChar"/>
    <w:link w:val="CommentSubject"/>
    <w:uiPriority w:val="99"/>
    <w:semiHidden/>
    <w:rsid w:val="00C76697"/>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2023-12-11T18:30:00+00:00</Judgment_x0020_Date>
    <Year xmlns="63bdd487-88aa-4c54-b893-ddaa81ed2e7c">2023</Year>
  </documentManagement>
</p:properties>
</file>

<file path=customXml/itemProps1.xml><?xml version="1.0" encoding="utf-8"?>
<ds:datastoreItem xmlns:ds="http://schemas.openxmlformats.org/officeDocument/2006/customXml" ds:itemID="{C27D46E6-DFFC-40C1-AE38-33AA82643DA7}"/>
</file>

<file path=customXml/itemProps2.xml><?xml version="1.0" encoding="utf-8"?>
<ds:datastoreItem xmlns:ds="http://schemas.openxmlformats.org/officeDocument/2006/customXml" ds:itemID="{B2A516B5-0957-4A99-A072-B6DDA3D153BA}"/>
</file>

<file path=customXml/itemProps3.xml><?xml version="1.0" encoding="utf-8"?>
<ds:datastoreItem xmlns:ds="http://schemas.openxmlformats.org/officeDocument/2006/customXml" ds:itemID="{E63EAB15-353D-44FC-8B42-953E17258C5D}"/>
</file>

<file path=customXml/itemProps4.xml><?xml version="1.0" encoding="utf-8"?>
<ds:datastoreItem xmlns:ds="http://schemas.openxmlformats.org/officeDocument/2006/customXml" ds:itemID="{C0BFA982-8873-4EA0-9656-B8C5341E3AB0}"/>
</file>

<file path=docProps/app.xml><?xml version="1.0" encoding="utf-8"?>
<Properties xmlns="http://schemas.openxmlformats.org/officeDocument/2006/extended-properties" xmlns:vt="http://schemas.openxmlformats.org/officeDocument/2006/docPropsVTypes">
  <Template>Normal</Template>
  <TotalTime>0</TotalTime>
  <Pages>9</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Sisande v Standard Bank Namibia (SA 113-2023) [2023] NASC (12 December 2023)</dc:title>
  <dc:subject/>
  <dc:creator>Helvi Hilifilwa</dc:creator>
  <cp:keywords/>
  <dc:description/>
  <cp:lastModifiedBy>Helvi Hilifilwa</cp:lastModifiedBy>
  <cp:revision>2</cp:revision>
  <cp:lastPrinted>2023-12-12T08:02:00Z</cp:lastPrinted>
  <dcterms:created xsi:type="dcterms:W3CDTF">2024-03-05T14:17:00Z</dcterms:created>
  <dcterms:modified xsi:type="dcterms:W3CDTF">2024-03-05T14:17:00Z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