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Default="00D26CB5" w:rsidP="00DA6472">
      <w:pPr>
        <w:spacing w:after="0" w:line="360" w:lineRule="auto"/>
        <w:jc w:val="center"/>
        <w:rPr>
          <w:rFonts w:ascii="Arial Narrow" w:hAnsi="Arial Narrow"/>
          <w:sz w:val="24"/>
          <w:szCs w:val="24"/>
        </w:rPr>
      </w:pPr>
      <w:r w:rsidRPr="00E757E9">
        <w:rPr>
          <w:rFonts w:ascii="Arial Narrow" w:hAnsi="Arial Narrow"/>
          <w:sz w:val="24"/>
          <w:szCs w:val="24"/>
        </w:rPr>
        <w:t>Practice Directive 61</w:t>
      </w:r>
    </w:p>
    <w:p w:rsidR="00D26CB5" w:rsidRPr="00E757E9" w:rsidRDefault="00B23D0D" w:rsidP="00B23D0D">
      <w:pPr>
        <w:spacing w:after="0" w:line="360" w:lineRule="auto"/>
        <w:jc w:val="center"/>
        <w:rPr>
          <w:rFonts w:ascii="Arial Narrow" w:hAnsi="Arial Narrow"/>
          <w:sz w:val="24"/>
          <w:szCs w:val="24"/>
        </w:rPr>
      </w:pPr>
      <w:r>
        <w:rPr>
          <w:rFonts w:ascii="Arial Narrow" w:hAnsi="Arial Narrow"/>
          <w:sz w:val="24"/>
          <w:szCs w:val="24"/>
        </w:rPr>
        <w:t>“ANNEXURE 11”</w:t>
      </w: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D26CB5" w:rsidRPr="00B275D2" w:rsidRDefault="009A26B6" w:rsidP="00DA6472">
            <w:pPr>
              <w:spacing w:line="360" w:lineRule="auto"/>
              <w:jc w:val="both"/>
              <w:rPr>
                <w:rFonts w:ascii="Arial Narrow" w:hAnsi="Arial Narrow" w:cs="Arial"/>
                <w:sz w:val="24"/>
                <w:szCs w:val="24"/>
              </w:rPr>
            </w:pPr>
            <w:r>
              <w:rPr>
                <w:rFonts w:ascii="Arial Narrow" w:hAnsi="Arial Narrow" w:cs="Arial"/>
                <w:sz w:val="24"/>
                <w:szCs w:val="24"/>
                <w:lang w:val="en-US"/>
              </w:rPr>
              <w:t>FREEDOM SQUARE (PTY) LTD v</w:t>
            </w:r>
            <w:r w:rsidR="00107CC9">
              <w:rPr>
                <w:rFonts w:ascii="Arial Narrow" w:hAnsi="Arial Narrow" w:cs="Arial"/>
                <w:sz w:val="24"/>
                <w:szCs w:val="24"/>
                <w:lang w:val="en-US"/>
              </w:rPr>
              <w:t xml:space="preserve"> THE SOCIAL SECURITY COMMISSION</w:t>
            </w: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D26CB5" w:rsidRPr="00E757E9" w:rsidRDefault="005A43DF" w:rsidP="00DA6472">
            <w:pPr>
              <w:spacing w:line="360" w:lineRule="auto"/>
              <w:jc w:val="both"/>
              <w:rPr>
                <w:rFonts w:ascii="Arial Narrow" w:hAnsi="Arial Narrow" w:cs="Arial"/>
                <w:b/>
                <w:sz w:val="24"/>
                <w:szCs w:val="24"/>
              </w:rPr>
            </w:pPr>
            <w:r>
              <w:rPr>
                <w:rFonts w:ascii="Arial Narrow" w:hAnsi="Arial Narrow" w:cs="Arial"/>
                <w:sz w:val="24"/>
                <w:szCs w:val="24"/>
              </w:rPr>
              <w:t>HC-MD-CIV-ACT-</w:t>
            </w:r>
            <w:r w:rsidR="00107CC9">
              <w:rPr>
                <w:rFonts w:ascii="Arial Narrow" w:hAnsi="Arial Narrow" w:cs="Arial"/>
                <w:sz w:val="24"/>
                <w:szCs w:val="24"/>
              </w:rPr>
              <w:t>CON-2017/04390</w:t>
            </w:r>
          </w:p>
        </w:tc>
      </w:tr>
      <w:tr w:rsidR="00D26CB5" w:rsidRPr="00E757E9" w:rsidTr="0092129C">
        <w:trPr>
          <w:trHeight w:val="844"/>
        </w:trPr>
        <w:tc>
          <w:tcPr>
            <w:tcW w:w="5397" w:type="dxa"/>
            <w:gridSpan w:val="2"/>
            <w:vMerge/>
          </w:tcPr>
          <w:p w:rsidR="00D26CB5" w:rsidRPr="00E757E9" w:rsidRDefault="00D26CB5" w:rsidP="00DA6472">
            <w:pPr>
              <w:spacing w:line="360" w:lineRule="auto"/>
              <w:jc w:val="both"/>
              <w:rPr>
                <w:rFonts w:ascii="Arial Narrow" w:hAnsi="Arial Narrow" w:cs="Arial"/>
                <w:sz w:val="24"/>
                <w:szCs w:val="24"/>
              </w:rPr>
            </w:pP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DA6472">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DA6472">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107CC9" w:rsidP="00DA6472">
            <w:pPr>
              <w:spacing w:line="360" w:lineRule="auto"/>
              <w:rPr>
                <w:rFonts w:ascii="Arial Narrow" w:hAnsi="Arial Narrow" w:cs="Arial"/>
                <w:sz w:val="24"/>
                <w:szCs w:val="24"/>
              </w:rPr>
            </w:pPr>
            <w:r>
              <w:rPr>
                <w:rFonts w:ascii="Arial Narrow" w:hAnsi="Arial Narrow" w:cs="Arial"/>
                <w:sz w:val="24"/>
                <w:szCs w:val="24"/>
              </w:rPr>
              <w:t>16 JUNE</w:t>
            </w:r>
            <w:r w:rsidR="00CD595C">
              <w:rPr>
                <w:rFonts w:ascii="Arial Narrow" w:hAnsi="Arial Narrow" w:cs="Arial"/>
                <w:sz w:val="24"/>
                <w:szCs w:val="24"/>
              </w:rPr>
              <w:t xml:space="preserve"> 2020</w:t>
            </w:r>
          </w:p>
        </w:tc>
      </w:tr>
      <w:tr w:rsidR="00D26CB5" w:rsidRPr="00E757E9" w:rsidTr="0092129C">
        <w:trPr>
          <w:trHeight w:val="588"/>
        </w:trPr>
        <w:tc>
          <w:tcPr>
            <w:tcW w:w="5397" w:type="dxa"/>
            <w:gridSpan w:val="2"/>
            <w:vMerge/>
          </w:tcPr>
          <w:p w:rsidR="00D26CB5" w:rsidRPr="00E757E9" w:rsidRDefault="00D26CB5" w:rsidP="00DA6472">
            <w:pPr>
              <w:spacing w:line="360" w:lineRule="auto"/>
              <w:jc w:val="both"/>
              <w:rPr>
                <w:rFonts w:ascii="Arial Narrow" w:hAnsi="Arial Narrow" w:cs="Arial"/>
                <w:b/>
                <w:sz w:val="24"/>
                <w:szCs w:val="24"/>
              </w:rPr>
            </w:pPr>
          </w:p>
        </w:tc>
        <w:tc>
          <w:tcPr>
            <w:tcW w:w="4323" w:type="dxa"/>
          </w:tcPr>
          <w:p w:rsidR="00D26CB5" w:rsidRPr="00E757E9" w:rsidRDefault="0042554E" w:rsidP="00DA6472">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107CC9" w:rsidP="00DA6472">
            <w:pPr>
              <w:spacing w:line="360" w:lineRule="auto"/>
              <w:jc w:val="both"/>
              <w:rPr>
                <w:rFonts w:ascii="Arial Narrow" w:hAnsi="Arial Narrow" w:cs="Arial"/>
                <w:sz w:val="24"/>
                <w:szCs w:val="24"/>
              </w:rPr>
            </w:pPr>
            <w:r>
              <w:rPr>
                <w:rFonts w:ascii="Arial Narrow" w:hAnsi="Arial Narrow" w:cs="Arial"/>
                <w:sz w:val="24"/>
                <w:szCs w:val="24"/>
              </w:rPr>
              <w:t>2 JULY</w:t>
            </w:r>
            <w:r w:rsidR="00C01336">
              <w:rPr>
                <w:rFonts w:ascii="Arial Narrow" w:hAnsi="Arial Narrow" w:cs="Arial"/>
                <w:sz w:val="24"/>
                <w:szCs w:val="24"/>
              </w:rPr>
              <w:t xml:space="preserve"> 2020</w:t>
            </w:r>
          </w:p>
          <w:p w:rsidR="00890FD4" w:rsidRDefault="00890FD4" w:rsidP="00DA6472">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9A26B6" w:rsidP="00DA6472">
            <w:pPr>
              <w:spacing w:line="360" w:lineRule="auto"/>
              <w:jc w:val="both"/>
              <w:rPr>
                <w:rFonts w:ascii="Arial Narrow" w:hAnsi="Arial Narrow" w:cs="Arial"/>
                <w:sz w:val="24"/>
                <w:szCs w:val="24"/>
              </w:rPr>
            </w:pPr>
            <w:r>
              <w:rPr>
                <w:rFonts w:ascii="Arial Narrow" w:hAnsi="Arial Narrow" w:cs="Arial"/>
                <w:sz w:val="24"/>
                <w:szCs w:val="24"/>
              </w:rPr>
              <w:t>6</w:t>
            </w:r>
            <w:r w:rsidR="00107CC9">
              <w:rPr>
                <w:rFonts w:ascii="Arial Narrow" w:hAnsi="Arial Narrow" w:cs="Arial"/>
                <w:sz w:val="24"/>
                <w:szCs w:val="24"/>
              </w:rPr>
              <w:t xml:space="preserve"> JULY</w:t>
            </w:r>
            <w:r w:rsidR="00C01336">
              <w:rPr>
                <w:rFonts w:ascii="Arial Narrow" w:hAnsi="Arial Narrow" w:cs="Arial"/>
                <w:sz w:val="24"/>
                <w:szCs w:val="24"/>
              </w:rPr>
              <w:t xml:space="preserve"> 2020</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jc w:val="both"/>
              <w:rPr>
                <w:rFonts w:ascii="Arial Narrow" w:hAnsi="Arial Narrow" w:cs="Arial"/>
                <w:color w:val="333333"/>
              </w:rPr>
            </w:pPr>
            <w:r w:rsidRPr="00E757E9">
              <w:rPr>
                <w:rFonts w:ascii="Arial Narrow" w:hAnsi="Arial Narrow" w:cs="Arial"/>
                <w:b/>
              </w:rPr>
              <w:t xml:space="preserve">Neutral citation: </w:t>
            </w:r>
            <w:r w:rsidR="00107CC9">
              <w:rPr>
                <w:rFonts w:ascii="Arial Narrow" w:hAnsi="Arial Narrow" w:cs="Arial"/>
                <w:i/>
              </w:rPr>
              <w:t>Freedom Square (Pty) Ltd v The Social Security Commission</w:t>
            </w:r>
            <w:r w:rsidR="00C6130D">
              <w:rPr>
                <w:rFonts w:ascii="Arial Narrow" w:hAnsi="Arial Narrow" w:cs="Arial"/>
                <w:i/>
              </w:rPr>
              <w:t xml:space="preserve"> </w:t>
            </w:r>
            <w:r w:rsidR="00237DF6">
              <w:rPr>
                <w:rFonts w:ascii="Arial Narrow" w:hAnsi="Arial Narrow" w:cs="Arial"/>
              </w:rPr>
              <w:t>(</w:t>
            </w:r>
            <w:r w:rsidR="00222323">
              <w:rPr>
                <w:rFonts w:ascii="Arial Narrow" w:hAnsi="Arial Narrow" w:cs="Arial"/>
              </w:rPr>
              <w:t>HC-MD-CIV-ACT-</w:t>
            </w:r>
            <w:r w:rsidR="00107CC9">
              <w:rPr>
                <w:rFonts w:ascii="Arial Narrow" w:hAnsi="Arial Narrow" w:cs="Arial"/>
              </w:rPr>
              <w:t>CON</w:t>
            </w:r>
            <w:r w:rsidR="00222323">
              <w:rPr>
                <w:rFonts w:ascii="Arial Narrow" w:hAnsi="Arial Narrow" w:cs="Arial"/>
              </w:rPr>
              <w:t>-201</w:t>
            </w:r>
            <w:r w:rsidR="00107CC9">
              <w:rPr>
                <w:rFonts w:ascii="Arial Narrow" w:hAnsi="Arial Narrow" w:cs="Arial"/>
              </w:rPr>
              <w:t>7</w:t>
            </w:r>
            <w:r w:rsidR="00222323">
              <w:rPr>
                <w:rFonts w:ascii="Arial Narrow" w:hAnsi="Arial Narrow" w:cs="Arial"/>
              </w:rPr>
              <w:t>/0</w:t>
            </w:r>
            <w:r w:rsidR="00107CC9">
              <w:rPr>
                <w:rFonts w:ascii="Arial Narrow" w:hAnsi="Arial Narrow" w:cs="Arial"/>
              </w:rPr>
              <w:t>4390</w:t>
            </w:r>
            <w:r w:rsidR="00C01336">
              <w:rPr>
                <w:rFonts w:ascii="Arial Narrow" w:hAnsi="Arial Narrow" w:cs="Arial"/>
              </w:rPr>
              <w:t>) [2020</w:t>
            </w:r>
            <w:r w:rsidR="00237DF6">
              <w:rPr>
                <w:rFonts w:ascii="Arial Narrow" w:hAnsi="Arial Narrow" w:cs="Arial"/>
              </w:rPr>
              <w:t>]</w:t>
            </w:r>
            <w:r w:rsidR="00427466" w:rsidRPr="00E757E9">
              <w:rPr>
                <w:rFonts w:ascii="Arial Narrow" w:hAnsi="Arial Narrow" w:cs="Arial"/>
              </w:rPr>
              <w:t xml:space="preserve"> </w:t>
            </w:r>
            <w:r w:rsidR="00222323" w:rsidRPr="00642ED0">
              <w:rPr>
                <w:rFonts w:ascii="Arial Narrow" w:hAnsi="Arial Narrow" w:cs="Arial"/>
              </w:rPr>
              <w:t>NAH</w:t>
            </w:r>
            <w:r w:rsidR="003F0C01">
              <w:rPr>
                <w:rFonts w:ascii="Arial Narrow" w:hAnsi="Arial Narrow" w:cs="Arial"/>
              </w:rPr>
              <w:t>CMD 270</w:t>
            </w:r>
            <w:r w:rsidR="00DA6472">
              <w:rPr>
                <w:rFonts w:ascii="Arial Narrow" w:hAnsi="Arial Narrow" w:cs="Arial"/>
              </w:rPr>
              <w:t xml:space="preserve"> </w:t>
            </w:r>
            <w:r w:rsidR="00A64DBC" w:rsidRPr="00642ED0">
              <w:rPr>
                <w:rFonts w:ascii="Arial Narrow" w:hAnsi="Arial Narrow" w:cs="Arial"/>
              </w:rPr>
              <w:t>(</w:t>
            </w:r>
            <w:r w:rsidR="00107CC9">
              <w:rPr>
                <w:rFonts w:ascii="Arial Narrow" w:hAnsi="Arial Narrow" w:cs="Arial"/>
              </w:rPr>
              <w:t>2 July</w:t>
            </w:r>
            <w:bookmarkStart w:id="0" w:name="_GoBack"/>
            <w:bookmarkEnd w:id="0"/>
            <w:r w:rsidR="00A64DBC" w:rsidRPr="0047650B">
              <w:rPr>
                <w:rFonts w:ascii="Arial Narrow" w:hAnsi="Arial Narrow" w:cs="Arial"/>
              </w:rPr>
              <w:t xml:space="preserve"> </w:t>
            </w:r>
            <w:r w:rsidR="00CD595C">
              <w:rPr>
                <w:rFonts w:ascii="Arial Narrow" w:hAnsi="Arial Narrow" w:cs="Arial"/>
              </w:rPr>
              <w:t>2020</w:t>
            </w:r>
            <w:r w:rsidRPr="0047650B">
              <w:rPr>
                <w:rFonts w:ascii="Arial Narrow" w:hAnsi="Arial Narrow" w:cs="Arial"/>
              </w:rPr>
              <w:t>)</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rPr>
                <w:rFonts w:ascii="Arial Narrow" w:hAnsi="Arial Narrow" w:cs="Arial"/>
                <w:b/>
              </w:rPr>
            </w:pPr>
            <w:r w:rsidRPr="00E757E9">
              <w:rPr>
                <w:rFonts w:ascii="Arial Narrow" w:hAnsi="Arial Narrow" w:cs="Arial"/>
                <w:b/>
              </w:rPr>
              <w:t>Results on merits:</w:t>
            </w:r>
          </w:p>
          <w:p w:rsidR="00D26CB5" w:rsidRPr="00E757E9" w:rsidRDefault="00107CC9" w:rsidP="00DA6472">
            <w:pPr>
              <w:pStyle w:val="form-control-static"/>
              <w:shd w:val="clear" w:color="auto" w:fill="FFFFFF"/>
              <w:spacing w:before="0" w:beforeAutospacing="0" w:after="0" w:afterAutospacing="0" w:line="360" w:lineRule="auto"/>
              <w:rPr>
                <w:rFonts w:ascii="Arial Narrow" w:hAnsi="Arial Narrow" w:cs="Arial"/>
              </w:rPr>
            </w:pPr>
            <w:r>
              <w:rPr>
                <w:rFonts w:ascii="Arial Narrow" w:hAnsi="Arial Narrow" w:cs="Arial"/>
              </w:rPr>
              <w:t>Condonation Application</w:t>
            </w:r>
            <w:r w:rsidR="00B850C2">
              <w:rPr>
                <w:rFonts w:ascii="Arial Narrow" w:hAnsi="Arial Narrow" w:cs="Arial"/>
              </w:rPr>
              <w:t xml:space="preserve">. Merits not considered. </w:t>
            </w:r>
          </w:p>
        </w:tc>
      </w:tr>
      <w:tr w:rsidR="00D26CB5" w:rsidRPr="00E757E9" w:rsidTr="0092129C">
        <w:tc>
          <w:tcPr>
            <w:tcW w:w="9720" w:type="dxa"/>
            <w:gridSpan w:val="3"/>
          </w:tcPr>
          <w:p w:rsidR="00D26CB5" w:rsidRPr="00E757E9" w:rsidRDefault="00D26CB5" w:rsidP="00DA6472">
            <w:pPr>
              <w:spacing w:line="360" w:lineRule="auto"/>
              <w:jc w:val="both"/>
              <w:rPr>
                <w:rFonts w:ascii="Arial Narrow" w:hAnsi="Arial Narrow" w:cs="Arial"/>
                <w:sz w:val="24"/>
                <w:szCs w:val="24"/>
              </w:rPr>
            </w:pPr>
          </w:p>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sidR="005A43DF">
              <w:rPr>
                <w:rFonts w:ascii="Arial Narrow" w:hAnsi="Arial Narrow" w:cs="Arial"/>
                <w:b/>
                <w:sz w:val="24"/>
                <w:szCs w:val="24"/>
              </w:rPr>
              <w:t xml:space="preserve">HEREBY </w:t>
            </w:r>
            <w:r w:rsidRPr="00E757E9">
              <w:rPr>
                <w:rFonts w:ascii="Arial Narrow" w:hAnsi="Arial Narrow" w:cs="Arial"/>
                <w:b/>
                <w:sz w:val="24"/>
                <w:szCs w:val="24"/>
              </w:rPr>
              <w:t>ORDERED THAT:</w:t>
            </w:r>
          </w:p>
          <w:p w:rsidR="005D11AD" w:rsidRPr="005A6958" w:rsidRDefault="003918BE" w:rsidP="003918BE">
            <w:pPr>
              <w:pStyle w:val="NormalWeb"/>
              <w:numPr>
                <w:ilvl w:val="0"/>
                <w:numId w:val="10"/>
              </w:numPr>
              <w:spacing w:before="0" w:beforeAutospacing="0" w:after="0" w:afterAutospacing="0" w:line="360" w:lineRule="auto"/>
              <w:jc w:val="both"/>
              <w:rPr>
                <w:rFonts w:ascii="Arial Narrow" w:hAnsi="Arial Narrow"/>
              </w:rPr>
            </w:pPr>
            <w:r w:rsidRPr="005A6958">
              <w:rPr>
                <w:rFonts w:ascii="Arial Narrow" w:hAnsi="Arial Narrow"/>
                <w:lang w:val="en-ZA"/>
              </w:rPr>
              <w:t>The</w:t>
            </w:r>
            <w:r w:rsidR="00AD1512" w:rsidRPr="005A6958">
              <w:rPr>
                <w:rFonts w:ascii="Arial Narrow" w:hAnsi="Arial Narrow"/>
                <w:lang w:val="en-ZA"/>
              </w:rPr>
              <w:t xml:space="preserve"> </w:t>
            </w:r>
            <w:r w:rsidRPr="005A6958">
              <w:rPr>
                <w:rFonts w:ascii="Arial Narrow" w:hAnsi="Arial Narrow"/>
                <w:lang w:val="en-ZA"/>
              </w:rPr>
              <w:t>Applicant’s application for condonation is dismissed</w:t>
            </w:r>
            <w:r w:rsidR="005D11AD" w:rsidRPr="005A6958">
              <w:rPr>
                <w:rFonts w:ascii="Arial Narrow" w:hAnsi="Arial Narrow"/>
              </w:rPr>
              <w:t>.</w:t>
            </w:r>
          </w:p>
          <w:p w:rsidR="005D11AD" w:rsidRPr="005A6958" w:rsidRDefault="003918BE" w:rsidP="003918BE">
            <w:pPr>
              <w:pStyle w:val="NormalWeb"/>
              <w:numPr>
                <w:ilvl w:val="0"/>
                <w:numId w:val="10"/>
              </w:numPr>
              <w:spacing w:before="0" w:beforeAutospacing="0" w:after="0" w:afterAutospacing="0" w:line="360" w:lineRule="auto"/>
              <w:jc w:val="both"/>
              <w:rPr>
                <w:rFonts w:ascii="Arial Narrow" w:hAnsi="Arial Narrow"/>
              </w:rPr>
            </w:pPr>
            <w:r w:rsidRPr="005A6958">
              <w:rPr>
                <w:rFonts w:ascii="Arial Narrow" w:hAnsi="Arial Narrow"/>
                <w:lang w:val="af-ZA"/>
              </w:rPr>
              <w:t xml:space="preserve">The </w:t>
            </w:r>
            <w:r w:rsidR="00403A79" w:rsidRPr="005A6958">
              <w:rPr>
                <w:rFonts w:ascii="Arial Narrow" w:hAnsi="Arial Narrow"/>
                <w:lang w:val="af-ZA"/>
              </w:rPr>
              <w:t>Fi</w:t>
            </w:r>
            <w:r w:rsidRPr="005A6958">
              <w:rPr>
                <w:rFonts w:ascii="Arial Narrow" w:hAnsi="Arial Narrow"/>
                <w:lang w:val="af-ZA"/>
              </w:rPr>
              <w:t>r</w:t>
            </w:r>
            <w:r w:rsidR="00403A79" w:rsidRPr="005A6958">
              <w:rPr>
                <w:rFonts w:ascii="Arial Narrow" w:hAnsi="Arial Narrow"/>
                <w:lang w:val="af-ZA"/>
              </w:rPr>
              <w:t>s</w:t>
            </w:r>
            <w:r w:rsidR="00AD1512" w:rsidRPr="005A6958">
              <w:rPr>
                <w:rFonts w:ascii="Arial Narrow" w:hAnsi="Arial Narrow"/>
                <w:lang w:val="af-ZA"/>
              </w:rPr>
              <w:t xml:space="preserve">t </w:t>
            </w:r>
            <w:r w:rsidRPr="005A6958">
              <w:rPr>
                <w:rFonts w:ascii="Arial Narrow" w:hAnsi="Arial Narrow"/>
                <w:lang w:val="af-ZA"/>
              </w:rPr>
              <w:t xml:space="preserve">Respondent’s points </w:t>
            </w:r>
            <w:r w:rsidRPr="005A6958">
              <w:rPr>
                <w:rFonts w:ascii="Arial Narrow" w:hAnsi="Arial Narrow"/>
                <w:i/>
                <w:lang w:val="af-ZA"/>
              </w:rPr>
              <w:t>in limine</w:t>
            </w:r>
            <w:r w:rsidRPr="005A6958">
              <w:rPr>
                <w:rFonts w:ascii="Arial Narrow" w:hAnsi="Arial Narrow"/>
                <w:lang w:val="af-ZA"/>
              </w:rPr>
              <w:t xml:space="preserve"> </w:t>
            </w:r>
            <w:r w:rsidR="00AD1512" w:rsidRPr="005A6958">
              <w:rPr>
                <w:rFonts w:ascii="Arial Narrow" w:hAnsi="Arial Narrow"/>
                <w:lang w:val="af-ZA"/>
              </w:rPr>
              <w:t xml:space="preserve">regarding non-compliance with the peremptory requirments in Rule 56 and failure to address any prospects of success in the founding affidavit </w:t>
            </w:r>
            <w:r w:rsidRPr="005A6958">
              <w:rPr>
                <w:rFonts w:ascii="Arial Narrow" w:hAnsi="Arial Narrow"/>
                <w:lang w:val="af-ZA"/>
              </w:rPr>
              <w:t>are upheld</w:t>
            </w:r>
            <w:r w:rsidR="008D6833" w:rsidRPr="005A6958">
              <w:rPr>
                <w:rFonts w:ascii="Arial Narrow" w:hAnsi="Arial Narrow"/>
                <w:lang w:val="af-ZA"/>
              </w:rPr>
              <w:t>.</w:t>
            </w:r>
            <w:r w:rsidR="005D11AD" w:rsidRPr="005A6958">
              <w:rPr>
                <w:rFonts w:ascii="Arial Narrow" w:hAnsi="Arial Narrow"/>
                <w:lang w:val="af-ZA"/>
              </w:rPr>
              <w:t xml:space="preserve"> </w:t>
            </w:r>
          </w:p>
          <w:p w:rsidR="00AD1512" w:rsidRPr="005A6958" w:rsidRDefault="00AD1512" w:rsidP="003918BE">
            <w:pPr>
              <w:pStyle w:val="NormalWeb"/>
              <w:numPr>
                <w:ilvl w:val="0"/>
                <w:numId w:val="10"/>
              </w:numPr>
              <w:spacing w:before="0" w:beforeAutospacing="0" w:after="0" w:afterAutospacing="0" w:line="360" w:lineRule="auto"/>
              <w:jc w:val="both"/>
              <w:rPr>
                <w:rFonts w:ascii="Arial Narrow" w:hAnsi="Arial Narrow"/>
              </w:rPr>
            </w:pPr>
            <w:r w:rsidRPr="005A6958">
              <w:rPr>
                <w:rFonts w:ascii="Arial Narrow" w:hAnsi="Arial Narrow"/>
                <w:lang w:val="en-ZA"/>
              </w:rPr>
              <w:t>The Applicant to pay the costs of the application, which is limited in terms of Rule 32 (11).</w:t>
            </w:r>
          </w:p>
          <w:p w:rsidR="00C01336" w:rsidRPr="00761DA2" w:rsidRDefault="003918BE" w:rsidP="00761DA2">
            <w:pPr>
              <w:pStyle w:val="NormalWeb"/>
              <w:numPr>
                <w:ilvl w:val="0"/>
                <w:numId w:val="10"/>
              </w:numPr>
              <w:spacing w:before="0" w:beforeAutospacing="0" w:after="0" w:afterAutospacing="0" w:line="360" w:lineRule="auto"/>
              <w:jc w:val="both"/>
              <w:rPr>
                <w:rFonts w:ascii="Arial Narrow" w:hAnsi="Arial Narrow"/>
                <w:color w:val="000000"/>
              </w:rPr>
            </w:pPr>
            <w:r w:rsidRPr="005A6958">
              <w:rPr>
                <w:rFonts w:ascii="Arial Narrow" w:hAnsi="Arial Narrow"/>
              </w:rPr>
              <w:t xml:space="preserve">The case is postponed to </w:t>
            </w:r>
            <w:r w:rsidR="00403A79" w:rsidRPr="005A6958">
              <w:rPr>
                <w:rFonts w:ascii="Arial Narrow" w:hAnsi="Arial Narrow"/>
                <w:b/>
              </w:rPr>
              <w:t>13 July 2020</w:t>
            </w:r>
            <w:r w:rsidRPr="005A6958">
              <w:rPr>
                <w:rFonts w:ascii="Arial Narrow" w:hAnsi="Arial Narrow"/>
              </w:rPr>
              <w:t xml:space="preserve"> at </w:t>
            </w:r>
            <w:r w:rsidR="00403A79" w:rsidRPr="005A6958">
              <w:rPr>
                <w:rStyle w:val="Strong"/>
                <w:rFonts w:ascii="Arial Narrow" w:hAnsi="Arial Narrow"/>
              </w:rPr>
              <w:t>09</w:t>
            </w:r>
            <w:r w:rsidRPr="005A6958">
              <w:rPr>
                <w:rStyle w:val="Strong"/>
                <w:rFonts w:ascii="Arial Narrow" w:hAnsi="Arial Narrow"/>
              </w:rPr>
              <w:t>:00</w:t>
            </w:r>
            <w:r w:rsidR="00403A79" w:rsidRPr="005A6958">
              <w:rPr>
                <w:rFonts w:ascii="Arial Narrow" w:hAnsi="Arial Narrow"/>
              </w:rPr>
              <w:t> for Interlocutory hearing</w:t>
            </w:r>
            <w:r w:rsidRPr="005A6958">
              <w:rPr>
                <w:rFonts w:ascii="Arial Narrow" w:hAnsi="Arial Narrow"/>
              </w:rPr>
              <w:t xml:space="preserve"> (Reasons</w:t>
            </w:r>
            <w:r>
              <w:rPr>
                <w:rFonts w:ascii="Arial Narrow" w:hAnsi="Arial Narrow"/>
                <w:color w:val="000000"/>
              </w:rPr>
              <w:t>:</w:t>
            </w:r>
            <w:r w:rsidR="0078507C">
              <w:rPr>
                <w:rFonts w:ascii="Arial Narrow" w:hAnsi="Arial Narrow"/>
                <w:color w:val="000000"/>
              </w:rPr>
              <w:t xml:space="preserve"> First </w:t>
            </w:r>
            <w:r w:rsidR="00761DA2">
              <w:rPr>
                <w:rFonts w:ascii="Arial Narrow" w:hAnsi="Arial Narrow"/>
                <w:color w:val="000000"/>
              </w:rPr>
              <w:t>Respondent’s</w:t>
            </w:r>
            <w:r>
              <w:rPr>
                <w:rFonts w:ascii="Arial Narrow" w:hAnsi="Arial Narrow"/>
                <w:color w:val="000000"/>
              </w:rPr>
              <w:t xml:space="preserve"> to move its application </w:t>
            </w:r>
            <w:r w:rsidR="00761DA2">
              <w:rPr>
                <w:rFonts w:ascii="Arial Narrow" w:hAnsi="Arial Narrow"/>
                <w:color w:val="000000"/>
              </w:rPr>
              <w:t xml:space="preserve">in terms of Rule 61 </w:t>
            </w:r>
            <w:r>
              <w:rPr>
                <w:rFonts w:ascii="Arial Narrow" w:hAnsi="Arial Narrow"/>
                <w:color w:val="000000"/>
              </w:rPr>
              <w:t>and to determine the further conduct of the matter)</w:t>
            </w:r>
            <w:r w:rsidRPr="00247BE3">
              <w:rPr>
                <w:rFonts w:ascii="Arial Narrow" w:hAnsi="Arial Narrow"/>
                <w:color w:val="000000"/>
              </w:rPr>
              <w:t>.</w:t>
            </w:r>
          </w:p>
        </w:tc>
      </w:tr>
      <w:tr w:rsidR="00D26CB5" w:rsidRPr="00E757E9" w:rsidTr="0092129C">
        <w:tc>
          <w:tcPr>
            <w:tcW w:w="9720" w:type="dxa"/>
            <w:gridSpan w:val="3"/>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DE5F56" w:rsidTr="00194111">
        <w:tc>
          <w:tcPr>
            <w:tcW w:w="9720" w:type="dxa"/>
            <w:gridSpan w:val="3"/>
            <w:shd w:val="clear" w:color="auto" w:fill="auto"/>
          </w:tcPr>
          <w:p w:rsidR="00C01336" w:rsidRDefault="00C01336" w:rsidP="00DA6472">
            <w:pPr>
              <w:tabs>
                <w:tab w:val="left" w:pos="1275"/>
              </w:tabs>
              <w:spacing w:line="360" w:lineRule="auto"/>
              <w:jc w:val="both"/>
              <w:rPr>
                <w:rFonts w:ascii="Arial Narrow" w:hAnsi="Arial Narrow" w:cs="Arial"/>
                <w:sz w:val="24"/>
                <w:szCs w:val="24"/>
                <w:u w:val="single"/>
              </w:rPr>
            </w:pPr>
          </w:p>
          <w:p w:rsidR="00C861E1" w:rsidRDefault="00010FE7" w:rsidP="00DA6472">
            <w:pPr>
              <w:tabs>
                <w:tab w:val="left" w:pos="1275"/>
              </w:tabs>
              <w:spacing w:line="360" w:lineRule="auto"/>
              <w:jc w:val="both"/>
              <w:rPr>
                <w:rFonts w:ascii="Arial Narrow" w:hAnsi="Arial Narrow" w:cs="Arial"/>
                <w:sz w:val="24"/>
                <w:szCs w:val="24"/>
                <w:u w:val="single"/>
              </w:rPr>
            </w:pPr>
            <w:r w:rsidRPr="00DE5F56">
              <w:rPr>
                <w:rFonts w:ascii="Arial Narrow" w:hAnsi="Arial Narrow" w:cs="Arial"/>
                <w:sz w:val="24"/>
                <w:szCs w:val="24"/>
                <w:u w:val="single"/>
              </w:rPr>
              <w:t>Introduction</w:t>
            </w:r>
          </w:p>
          <w:p w:rsidR="00C01336" w:rsidRPr="00644E63" w:rsidRDefault="00C01336" w:rsidP="00DA6472">
            <w:pPr>
              <w:tabs>
                <w:tab w:val="left" w:pos="1275"/>
              </w:tabs>
              <w:spacing w:line="360" w:lineRule="auto"/>
              <w:jc w:val="both"/>
              <w:rPr>
                <w:rFonts w:ascii="Arial Narrow" w:hAnsi="Arial Narrow" w:cs="Arial"/>
                <w:sz w:val="24"/>
                <w:szCs w:val="24"/>
                <w:u w:val="single"/>
              </w:rPr>
            </w:pPr>
          </w:p>
          <w:p w:rsidR="000F6D8E" w:rsidRDefault="00C861E1" w:rsidP="00DA6472">
            <w:pPr>
              <w:spacing w:line="360" w:lineRule="auto"/>
              <w:jc w:val="both"/>
              <w:rPr>
                <w:rFonts w:ascii="Arial Narrow" w:hAnsi="Arial Narrow" w:cs="Arial"/>
                <w:sz w:val="24"/>
                <w:szCs w:val="24"/>
              </w:rPr>
            </w:pPr>
            <w:r w:rsidRPr="00DE5F56">
              <w:rPr>
                <w:rFonts w:ascii="Arial Narrow" w:hAnsi="Arial Narrow" w:cs="Arial"/>
                <w:sz w:val="24"/>
                <w:szCs w:val="24"/>
              </w:rPr>
              <w:t>[1]</w:t>
            </w:r>
            <w:r w:rsidR="005B1E59">
              <w:rPr>
                <w:rFonts w:ascii="Arial Narrow" w:hAnsi="Arial Narrow" w:cs="Arial"/>
                <w:sz w:val="24"/>
                <w:szCs w:val="24"/>
              </w:rPr>
              <w:t xml:space="preserve">     </w:t>
            </w:r>
            <w:r w:rsidR="00E565A6">
              <w:rPr>
                <w:rFonts w:ascii="Arial Narrow" w:hAnsi="Arial Narrow" w:cs="Arial"/>
                <w:sz w:val="24"/>
                <w:szCs w:val="24"/>
              </w:rPr>
              <w:t xml:space="preserve"> </w:t>
            </w:r>
            <w:r w:rsidR="00FD2529">
              <w:rPr>
                <w:rFonts w:ascii="Arial Narrow" w:hAnsi="Arial Narrow" w:cs="Arial"/>
                <w:sz w:val="24"/>
                <w:szCs w:val="24"/>
              </w:rPr>
              <w:t xml:space="preserve">This </w:t>
            </w:r>
            <w:r w:rsidR="00A462EB">
              <w:rPr>
                <w:rFonts w:ascii="Arial Narrow" w:hAnsi="Arial Narrow" w:cs="Arial"/>
                <w:sz w:val="24"/>
                <w:szCs w:val="24"/>
              </w:rPr>
              <w:t>matter</w:t>
            </w:r>
            <w:r w:rsidR="0077720E">
              <w:rPr>
                <w:rFonts w:ascii="Arial Narrow" w:hAnsi="Arial Narrow" w:cs="Arial"/>
                <w:sz w:val="24"/>
                <w:szCs w:val="24"/>
              </w:rPr>
              <w:t xml:space="preserve"> relates to a condonation application regarding the failure </w:t>
            </w:r>
            <w:r w:rsidR="002B366B">
              <w:rPr>
                <w:rFonts w:ascii="Arial Narrow" w:hAnsi="Arial Narrow" w:cs="Arial"/>
                <w:sz w:val="24"/>
                <w:szCs w:val="24"/>
              </w:rPr>
              <w:t xml:space="preserve">to file heads of arguments </w:t>
            </w:r>
            <w:r w:rsidR="000D0DD9">
              <w:rPr>
                <w:rFonts w:ascii="Arial Narrow" w:hAnsi="Arial Narrow" w:cs="Arial"/>
                <w:sz w:val="24"/>
                <w:szCs w:val="24"/>
              </w:rPr>
              <w:t xml:space="preserve">in </w:t>
            </w:r>
            <w:r w:rsidR="00B4465B">
              <w:rPr>
                <w:rFonts w:ascii="Arial Narrow" w:hAnsi="Arial Narrow" w:cs="Arial"/>
                <w:sz w:val="24"/>
                <w:szCs w:val="24"/>
              </w:rPr>
              <w:t xml:space="preserve">a Rule 61 </w:t>
            </w:r>
            <w:r w:rsidR="00B4465B" w:rsidRPr="003F0C01">
              <w:rPr>
                <w:rFonts w:ascii="Arial Narrow" w:hAnsi="Arial Narrow" w:cs="Arial"/>
                <w:sz w:val="24"/>
                <w:szCs w:val="24"/>
              </w:rPr>
              <w:t>a</w:t>
            </w:r>
            <w:r w:rsidR="0077720E" w:rsidRPr="003F0C01">
              <w:rPr>
                <w:rFonts w:ascii="Arial Narrow" w:hAnsi="Arial Narrow" w:cs="Arial"/>
                <w:sz w:val="24"/>
                <w:szCs w:val="24"/>
              </w:rPr>
              <w:t>pplication</w:t>
            </w:r>
            <w:r w:rsidR="00841BCF" w:rsidRPr="003F0C01">
              <w:rPr>
                <w:rFonts w:ascii="Arial Narrow" w:hAnsi="Arial Narrow" w:cs="Arial"/>
                <w:sz w:val="24"/>
                <w:szCs w:val="24"/>
              </w:rPr>
              <w:t>,</w:t>
            </w:r>
            <w:r w:rsidR="00CF4BBD" w:rsidRPr="003F0C01">
              <w:rPr>
                <w:rFonts w:ascii="Arial Narrow" w:hAnsi="Arial Narrow" w:cs="Arial"/>
                <w:sz w:val="24"/>
                <w:szCs w:val="24"/>
              </w:rPr>
              <w:t xml:space="preserve"> which was to be heard on 27 March 2020</w:t>
            </w:r>
            <w:r w:rsidR="0077720E" w:rsidRPr="003F0C01">
              <w:rPr>
                <w:rFonts w:ascii="Arial Narrow" w:hAnsi="Arial Narrow" w:cs="Arial"/>
                <w:sz w:val="24"/>
                <w:szCs w:val="24"/>
              </w:rPr>
              <w:t xml:space="preserve">. </w:t>
            </w:r>
            <w:r w:rsidR="000D0DD9" w:rsidRPr="003F0C01">
              <w:rPr>
                <w:rFonts w:ascii="Arial Narrow" w:hAnsi="Arial Narrow" w:cs="Arial"/>
                <w:sz w:val="24"/>
                <w:szCs w:val="24"/>
              </w:rPr>
              <w:t>The applicant herein</w:t>
            </w:r>
            <w:r w:rsidR="00B4465B" w:rsidRPr="003F0C01">
              <w:rPr>
                <w:rFonts w:ascii="Arial Narrow" w:hAnsi="Arial Narrow" w:cs="Arial"/>
                <w:sz w:val="24"/>
                <w:szCs w:val="24"/>
              </w:rPr>
              <w:t xml:space="preserve"> failed</w:t>
            </w:r>
            <w:r w:rsidR="000D0DD9" w:rsidRPr="003F0C01">
              <w:rPr>
                <w:rFonts w:ascii="Arial Narrow" w:hAnsi="Arial Narrow" w:cs="Arial"/>
                <w:sz w:val="24"/>
                <w:szCs w:val="24"/>
              </w:rPr>
              <w:t xml:space="preserve"> to comply with a</w:t>
            </w:r>
            <w:r w:rsidR="006B34D1" w:rsidRPr="003F0C01">
              <w:rPr>
                <w:rFonts w:ascii="Arial Narrow" w:hAnsi="Arial Narrow" w:cs="Arial"/>
                <w:sz w:val="24"/>
                <w:szCs w:val="24"/>
              </w:rPr>
              <w:t xml:space="preserve"> court order dated 20 February 2020</w:t>
            </w:r>
            <w:r w:rsidR="00722DEF" w:rsidRPr="003F0C01">
              <w:rPr>
                <w:rFonts w:ascii="Arial Narrow" w:hAnsi="Arial Narrow" w:cs="Arial"/>
                <w:sz w:val="24"/>
                <w:szCs w:val="24"/>
              </w:rPr>
              <w:t>,</w:t>
            </w:r>
            <w:r w:rsidR="00095A3A" w:rsidRPr="003F0C01">
              <w:rPr>
                <w:rFonts w:ascii="Arial Narrow" w:hAnsi="Arial Narrow" w:cs="Arial"/>
                <w:sz w:val="24"/>
                <w:szCs w:val="24"/>
              </w:rPr>
              <w:t xml:space="preserve"> which directed </w:t>
            </w:r>
            <w:r w:rsidR="0077720E">
              <w:rPr>
                <w:rFonts w:ascii="Arial Narrow" w:hAnsi="Arial Narrow" w:cs="Arial"/>
                <w:sz w:val="24"/>
                <w:szCs w:val="24"/>
              </w:rPr>
              <w:t xml:space="preserve">the parties </w:t>
            </w:r>
            <w:r w:rsidR="001E5CCC">
              <w:rPr>
                <w:rFonts w:ascii="Arial Narrow" w:hAnsi="Arial Narrow" w:cs="Arial"/>
                <w:sz w:val="24"/>
                <w:szCs w:val="24"/>
              </w:rPr>
              <w:t xml:space="preserve">to file their </w:t>
            </w:r>
            <w:r w:rsidR="0077720E">
              <w:rPr>
                <w:rFonts w:ascii="Arial Narrow" w:hAnsi="Arial Narrow" w:cs="Arial"/>
                <w:sz w:val="24"/>
                <w:szCs w:val="24"/>
              </w:rPr>
              <w:t>heads of arguments 10 and 5 days prior to the date of hearing</w:t>
            </w:r>
            <w:r w:rsidR="003D7A92">
              <w:rPr>
                <w:rFonts w:ascii="Arial Narrow" w:hAnsi="Arial Narrow" w:cs="Arial"/>
                <w:sz w:val="24"/>
                <w:szCs w:val="24"/>
              </w:rPr>
              <w:t xml:space="preserve">. </w:t>
            </w:r>
            <w:r w:rsidR="0077720E">
              <w:rPr>
                <w:rFonts w:ascii="Arial Narrow" w:hAnsi="Arial Narrow" w:cs="Arial"/>
                <w:sz w:val="24"/>
                <w:szCs w:val="24"/>
              </w:rPr>
              <w:t xml:space="preserve">First Respondent, as per the order, </w:t>
            </w:r>
            <w:r w:rsidR="003D7A92">
              <w:rPr>
                <w:rFonts w:ascii="Arial Narrow" w:hAnsi="Arial Narrow" w:cs="Arial"/>
                <w:sz w:val="24"/>
                <w:szCs w:val="24"/>
              </w:rPr>
              <w:t>file</w:t>
            </w:r>
            <w:r w:rsidR="0077720E">
              <w:rPr>
                <w:rFonts w:ascii="Arial Narrow" w:hAnsi="Arial Narrow" w:cs="Arial"/>
                <w:sz w:val="24"/>
                <w:szCs w:val="24"/>
              </w:rPr>
              <w:t>d its heads of arguments as directed</w:t>
            </w:r>
            <w:r w:rsidR="005F7F5E">
              <w:rPr>
                <w:rFonts w:ascii="Arial Narrow" w:hAnsi="Arial Narrow" w:cs="Arial"/>
                <w:sz w:val="24"/>
                <w:szCs w:val="24"/>
              </w:rPr>
              <w:t xml:space="preserve"> however the </w:t>
            </w:r>
            <w:r w:rsidR="000D0DD9">
              <w:rPr>
                <w:rFonts w:ascii="Arial Narrow" w:hAnsi="Arial Narrow" w:cs="Arial"/>
                <w:sz w:val="24"/>
                <w:szCs w:val="24"/>
              </w:rPr>
              <w:t>applicant</w:t>
            </w:r>
            <w:r w:rsidR="0077720E">
              <w:rPr>
                <w:rFonts w:ascii="Arial Narrow" w:hAnsi="Arial Narrow" w:cs="Arial"/>
                <w:sz w:val="24"/>
                <w:szCs w:val="24"/>
              </w:rPr>
              <w:t xml:space="preserve"> failed</w:t>
            </w:r>
            <w:r w:rsidR="00E613CD">
              <w:rPr>
                <w:rFonts w:ascii="Arial Narrow" w:hAnsi="Arial Narrow" w:cs="Arial"/>
                <w:sz w:val="24"/>
                <w:szCs w:val="24"/>
              </w:rPr>
              <w:t xml:space="preserve"> to comply with the court order which brought about this condonation application. </w:t>
            </w:r>
          </w:p>
          <w:p w:rsidR="000F6D8E" w:rsidRDefault="000F6D8E" w:rsidP="00DA6472">
            <w:pPr>
              <w:spacing w:line="360" w:lineRule="auto"/>
              <w:jc w:val="both"/>
              <w:rPr>
                <w:rFonts w:ascii="Arial Narrow" w:hAnsi="Arial Narrow" w:cs="Arial"/>
                <w:sz w:val="24"/>
                <w:szCs w:val="24"/>
              </w:rPr>
            </w:pPr>
          </w:p>
          <w:p w:rsidR="001B330C" w:rsidRPr="001B330C" w:rsidRDefault="001B330C" w:rsidP="00DA6472">
            <w:pPr>
              <w:spacing w:line="360" w:lineRule="auto"/>
              <w:jc w:val="both"/>
              <w:rPr>
                <w:rFonts w:ascii="Arial Narrow" w:hAnsi="Arial Narrow" w:cs="Arial"/>
                <w:sz w:val="24"/>
                <w:szCs w:val="24"/>
                <w:u w:val="single"/>
              </w:rPr>
            </w:pPr>
            <w:r w:rsidRPr="001B330C">
              <w:rPr>
                <w:rFonts w:ascii="Arial Narrow" w:hAnsi="Arial Narrow" w:cs="Arial"/>
                <w:sz w:val="24"/>
                <w:szCs w:val="24"/>
                <w:u w:val="single"/>
              </w:rPr>
              <w:lastRenderedPageBreak/>
              <w:t xml:space="preserve">Parties submissions </w:t>
            </w:r>
          </w:p>
          <w:p w:rsidR="001B330C" w:rsidRDefault="001B330C" w:rsidP="00DA6472">
            <w:pPr>
              <w:spacing w:line="360" w:lineRule="auto"/>
              <w:jc w:val="both"/>
              <w:rPr>
                <w:rFonts w:ascii="Arial Narrow" w:hAnsi="Arial Narrow" w:cs="Arial"/>
                <w:sz w:val="24"/>
                <w:szCs w:val="24"/>
              </w:rPr>
            </w:pPr>
          </w:p>
          <w:p w:rsidR="003246A8" w:rsidRPr="003246A8" w:rsidRDefault="00A22E04" w:rsidP="00DA6472">
            <w:pPr>
              <w:spacing w:line="360" w:lineRule="auto"/>
              <w:jc w:val="both"/>
              <w:rPr>
                <w:rFonts w:ascii="Arial Narrow" w:hAnsi="Arial Narrow" w:cs="Arial"/>
                <w:i/>
                <w:sz w:val="24"/>
                <w:szCs w:val="24"/>
              </w:rPr>
            </w:pPr>
            <w:r>
              <w:rPr>
                <w:rFonts w:ascii="Arial Narrow" w:hAnsi="Arial Narrow" w:cs="Arial"/>
                <w:i/>
                <w:sz w:val="24"/>
                <w:szCs w:val="24"/>
              </w:rPr>
              <w:t>The p</w:t>
            </w:r>
            <w:r w:rsidR="003246A8">
              <w:rPr>
                <w:rFonts w:ascii="Arial Narrow" w:hAnsi="Arial Narrow" w:cs="Arial"/>
                <w:i/>
                <w:sz w:val="24"/>
                <w:szCs w:val="24"/>
              </w:rPr>
              <w:t>laintiff</w:t>
            </w:r>
          </w:p>
          <w:p w:rsidR="003246A8" w:rsidRDefault="003246A8" w:rsidP="00DA6472">
            <w:pPr>
              <w:spacing w:line="360" w:lineRule="auto"/>
              <w:jc w:val="both"/>
              <w:rPr>
                <w:rFonts w:ascii="Arial Narrow" w:hAnsi="Arial Narrow" w:cs="Arial"/>
                <w:sz w:val="24"/>
                <w:szCs w:val="24"/>
              </w:rPr>
            </w:pPr>
          </w:p>
          <w:p w:rsidR="001B330C" w:rsidRDefault="00A347AE" w:rsidP="00DA6472">
            <w:pPr>
              <w:tabs>
                <w:tab w:val="left" w:pos="702"/>
              </w:tabs>
              <w:spacing w:line="360" w:lineRule="auto"/>
              <w:jc w:val="both"/>
              <w:rPr>
                <w:rFonts w:ascii="Arial Narrow" w:hAnsi="Arial Narrow" w:cs="Arial"/>
                <w:sz w:val="24"/>
                <w:szCs w:val="24"/>
              </w:rPr>
            </w:pPr>
            <w:r>
              <w:rPr>
                <w:rFonts w:ascii="Arial Narrow" w:hAnsi="Arial Narrow" w:cs="Arial"/>
                <w:sz w:val="24"/>
                <w:szCs w:val="24"/>
              </w:rPr>
              <w:t>[2</w:t>
            </w:r>
            <w:r w:rsidR="005B1E59">
              <w:rPr>
                <w:rFonts w:ascii="Arial Narrow" w:hAnsi="Arial Narrow" w:cs="Arial"/>
                <w:sz w:val="24"/>
                <w:szCs w:val="24"/>
              </w:rPr>
              <w:t xml:space="preserve">]     </w:t>
            </w:r>
            <w:r w:rsidR="003246A8" w:rsidRPr="003246A8">
              <w:rPr>
                <w:rFonts w:ascii="Arial Narrow" w:hAnsi="Arial Narrow" w:cs="Arial"/>
                <w:sz w:val="24"/>
                <w:szCs w:val="24"/>
              </w:rPr>
              <w:t>The application for</w:t>
            </w:r>
            <w:r w:rsidR="003246A8">
              <w:rPr>
                <w:rFonts w:ascii="Arial Narrow" w:hAnsi="Arial Narrow" w:cs="Arial"/>
                <w:sz w:val="24"/>
                <w:szCs w:val="24"/>
              </w:rPr>
              <w:t xml:space="preserve"> condonation is supported by the </w:t>
            </w:r>
            <w:r w:rsidR="003246A8" w:rsidRPr="003F0C01">
              <w:rPr>
                <w:rFonts w:ascii="Arial Narrow" w:hAnsi="Arial Narrow" w:cs="Arial"/>
                <w:sz w:val="24"/>
                <w:szCs w:val="24"/>
              </w:rPr>
              <w:t xml:space="preserve">affidavit of Ms Jason, counsel for the </w:t>
            </w:r>
            <w:r w:rsidR="00316E81" w:rsidRPr="003F0C01">
              <w:rPr>
                <w:rFonts w:ascii="Arial Narrow" w:hAnsi="Arial Narrow" w:cs="Arial"/>
                <w:sz w:val="24"/>
                <w:szCs w:val="24"/>
              </w:rPr>
              <w:t>applicant</w:t>
            </w:r>
            <w:r w:rsidR="006319E1" w:rsidRPr="003F0C01">
              <w:rPr>
                <w:rFonts w:ascii="Arial Narrow" w:hAnsi="Arial Narrow" w:cs="Arial"/>
                <w:sz w:val="24"/>
                <w:szCs w:val="24"/>
              </w:rPr>
              <w:t xml:space="preserve">. Her </w:t>
            </w:r>
            <w:r w:rsidR="003246A8" w:rsidRPr="003F0C01">
              <w:rPr>
                <w:rFonts w:ascii="Arial Narrow" w:hAnsi="Arial Narrow" w:cs="Arial"/>
                <w:sz w:val="24"/>
                <w:szCs w:val="24"/>
              </w:rPr>
              <w:t xml:space="preserve">explanation for the </w:t>
            </w:r>
            <w:r w:rsidR="00841BCF" w:rsidRPr="003F0C01">
              <w:rPr>
                <w:rFonts w:ascii="Arial Narrow" w:hAnsi="Arial Narrow" w:cs="Arial"/>
                <w:sz w:val="24"/>
                <w:szCs w:val="24"/>
              </w:rPr>
              <w:t>n</w:t>
            </w:r>
            <w:r w:rsidR="003246A8" w:rsidRPr="003F0C01">
              <w:rPr>
                <w:rFonts w:ascii="Arial Narrow" w:hAnsi="Arial Narrow" w:cs="Arial"/>
                <w:sz w:val="24"/>
                <w:szCs w:val="24"/>
              </w:rPr>
              <w:t>on</w:t>
            </w:r>
            <w:r w:rsidR="00841BCF" w:rsidRPr="003F0C01">
              <w:rPr>
                <w:rFonts w:ascii="Arial Narrow" w:hAnsi="Arial Narrow" w:cs="Arial"/>
                <w:sz w:val="24"/>
                <w:szCs w:val="24"/>
              </w:rPr>
              <w:t>-</w:t>
            </w:r>
            <w:r w:rsidR="003246A8" w:rsidRPr="003F0C01">
              <w:rPr>
                <w:rFonts w:ascii="Arial Narrow" w:hAnsi="Arial Narrow" w:cs="Arial"/>
                <w:sz w:val="24"/>
                <w:szCs w:val="24"/>
              </w:rPr>
              <w:t xml:space="preserve">compliance </w:t>
            </w:r>
            <w:r w:rsidR="00C00A0E" w:rsidRPr="003F0C01">
              <w:rPr>
                <w:rFonts w:ascii="Arial Narrow" w:hAnsi="Arial Narrow" w:cs="Arial"/>
                <w:sz w:val="24"/>
                <w:szCs w:val="24"/>
              </w:rPr>
              <w:t xml:space="preserve">with the order </w:t>
            </w:r>
            <w:r w:rsidR="00DD6023" w:rsidRPr="003F0C01">
              <w:rPr>
                <w:rFonts w:ascii="Arial Narrow" w:hAnsi="Arial Narrow" w:cs="Arial"/>
                <w:sz w:val="24"/>
                <w:szCs w:val="24"/>
              </w:rPr>
              <w:t xml:space="preserve">relates to </w:t>
            </w:r>
            <w:r w:rsidR="00722DEF" w:rsidRPr="003F0C01">
              <w:rPr>
                <w:rFonts w:ascii="Arial Narrow" w:hAnsi="Arial Narrow" w:cs="Arial"/>
                <w:sz w:val="24"/>
                <w:szCs w:val="24"/>
              </w:rPr>
              <w:t xml:space="preserve">health </w:t>
            </w:r>
            <w:r w:rsidR="00DD6023" w:rsidRPr="003F0C01">
              <w:rPr>
                <w:rFonts w:ascii="Arial Narrow" w:hAnsi="Arial Narrow" w:cs="Arial"/>
                <w:sz w:val="24"/>
                <w:szCs w:val="24"/>
              </w:rPr>
              <w:t xml:space="preserve">issues of a sensitive nature which is more fully explained in an affidavit that was forwarded to the first respondent’s counsel and the managing judge via email due to the sensitivity of the </w:t>
            </w:r>
            <w:r w:rsidR="00A15A7C" w:rsidRPr="003F0C01">
              <w:rPr>
                <w:rFonts w:ascii="Arial Narrow" w:hAnsi="Arial Narrow" w:cs="Arial"/>
                <w:sz w:val="24"/>
                <w:szCs w:val="24"/>
              </w:rPr>
              <w:t>issues raised in the affidavit. Counsel for the first respondent takes no issue with the fact that the comprehensive affidavit</w:t>
            </w:r>
            <w:r w:rsidR="00722DEF" w:rsidRPr="003F0C01">
              <w:rPr>
                <w:rFonts w:ascii="Arial Narrow" w:hAnsi="Arial Narrow" w:cs="Arial"/>
                <w:sz w:val="24"/>
                <w:szCs w:val="24"/>
              </w:rPr>
              <w:t>,</w:t>
            </w:r>
            <w:r w:rsidR="00A15A7C" w:rsidRPr="003F0C01">
              <w:rPr>
                <w:rFonts w:ascii="Arial Narrow" w:hAnsi="Arial Narrow" w:cs="Arial"/>
                <w:sz w:val="24"/>
                <w:szCs w:val="24"/>
              </w:rPr>
              <w:t xml:space="preserve"> </w:t>
            </w:r>
            <w:r w:rsidR="00B5320D" w:rsidRPr="003F0C01">
              <w:rPr>
                <w:rFonts w:ascii="Arial Narrow" w:hAnsi="Arial Narrow" w:cs="Arial"/>
                <w:sz w:val="24"/>
                <w:szCs w:val="24"/>
              </w:rPr>
              <w:t>which consists</w:t>
            </w:r>
            <w:r w:rsidR="00A15A7C" w:rsidRPr="003F0C01">
              <w:rPr>
                <w:rFonts w:ascii="Arial Narrow" w:hAnsi="Arial Narrow" w:cs="Arial"/>
                <w:sz w:val="24"/>
                <w:szCs w:val="24"/>
              </w:rPr>
              <w:t xml:space="preserve"> of explanations of a sensitive nature</w:t>
            </w:r>
            <w:r w:rsidR="00722DEF" w:rsidRPr="003F0C01">
              <w:rPr>
                <w:rFonts w:ascii="Arial Narrow" w:hAnsi="Arial Narrow" w:cs="Arial"/>
                <w:sz w:val="24"/>
                <w:szCs w:val="24"/>
              </w:rPr>
              <w:t>,</w:t>
            </w:r>
            <w:r w:rsidR="00A15A7C" w:rsidRPr="003F0C01">
              <w:rPr>
                <w:rFonts w:ascii="Arial Narrow" w:hAnsi="Arial Narrow" w:cs="Arial"/>
                <w:sz w:val="24"/>
                <w:szCs w:val="24"/>
              </w:rPr>
              <w:t xml:space="preserve"> was </w:t>
            </w:r>
            <w:r w:rsidR="00A15A7C">
              <w:rPr>
                <w:rFonts w:ascii="Arial Narrow" w:hAnsi="Arial Narrow" w:cs="Arial"/>
                <w:sz w:val="24"/>
                <w:szCs w:val="24"/>
              </w:rPr>
              <w:t xml:space="preserve">emailed to him </w:t>
            </w:r>
            <w:r w:rsidR="00B5320D">
              <w:rPr>
                <w:rFonts w:ascii="Arial Narrow" w:hAnsi="Arial Narrow" w:cs="Arial"/>
                <w:sz w:val="24"/>
                <w:szCs w:val="24"/>
              </w:rPr>
              <w:t xml:space="preserve">and the managing judge </w:t>
            </w:r>
            <w:r w:rsidR="00A15A7C">
              <w:rPr>
                <w:rFonts w:ascii="Arial Narrow" w:hAnsi="Arial Narrow" w:cs="Arial"/>
                <w:sz w:val="24"/>
                <w:szCs w:val="24"/>
              </w:rPr>
              <w:t xml:space="preserve">and does not formally form part of the record on the e justice system. </w:t>
            </w:r>
          </w:p>
          <w:p w:rsidR="00D415E5" w:rsidRPr="00D415E5" w:rsidRDefault="00D415E5" w:rsidP="00DA6472">
            <w:pPr>
              <w:spacing w:line="360" w:lineRule="auto"/>
              <w:jc w:val="both"/>
              <w:rPr>
                <w:rFonts w:ascii="Arial Narrow" w:hAnsi="Arial Narrow" w:cs="Arial"/>
                <w:sz w:val="24"/>
                <w:szCs w:val="24"/>
              </w:rPr>
            </w:pPr>
          </w:p>
          <w:p w:rsidR="0015050A" w:rsidRPr="000D648A" w:rsidRDefault="00A347AE"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[3</w:t>
            </w:r>
            <w:r w:rsidR="00536735">
              <w:rPr>
                <w:rFonts w:ascii="Arial Narrow" w:hAnsi="Arial Narrow" w:cs="Arial"/>
                <w:sz w:val="24"/>
                <w:szCs w:val="24"/>
              </w:rPr>
              <w:t>]</w:t>
            </w:r>
            <w:r w:rsidR="005C696A">
              <w:rPr>
                <w:rFonts w:ascii="Arial Narrow" w:hAnsi="Arial Narrow" w:cs="Arial"/>
                <w:sz w:val="24"/>
                <w:szCs w:val="24"/>
              </w:rPr>
              <w:t xml:space="preserve">    </w:t>
            </w:r>
            <w:r w:rsidR="00771EB8">
              <w:rPr>
                <w:rFonts w:ascii="Arial Narrow" w:hAnsi="Arial Narrow" w:cs="Arial"/>
                <w:sz w:val="24"/>
                <w:szCs w:val="24"/>
              </w:rPr>
              <w:t xml:space="preserve">Ms Jason alleges in her founding affidavit that </w:t>
            </w:r>
            <w:r w:rsidR="009C09E4">
              <w:rPr>
                <w:rFonts w:ascii="Arial Narrow" w:hAnsi="Arial Narrow" w:cs="Arial"/>
                <w:sz w:val="24"/>
                <w:szCs w:val="24"/>
              </w:rPr>
              <w:t>she</w:t>
            </w:r>
            <w:r w:rsidR="005C696A">
              <w:rPr>
                <w:rFonts w:ascii="Arial Narrow" w:hAnsi="Arial Narrow" w:cs="Arial"/>
                <w:sz w:val="24"/>
                <w:szCs w:val="24"/>
              </w:rPr>
              <w:t xml:space="preserve"> contacted Mr </w:t>
            </w:r>
            <w:proofErr w:type="spellStart"/>
            <w:r w:rsidR="005C696A">
              <w:rPr>
                <w:rFonts w:ascii="Arial Narrow" w:hAnsi="Arial Narrow" w:cs="Arial"/>
                <w:sz w:val="24"/>
                <w:szCs w:val="24"/>
              </w:rPr>
              <w:t>Kauta</w:t>
            </w:r>
            <w:proofErr w:type="spellEnd"/>
            <w:r w:rsidR="005C696A">
              <w:rPr>
                <w:rFonts w:ascii="Arial Narrow" w:hAnsi="Arial Narrow" w:cs="Arial"/>
                <w:sz w:val="24"/>
                <w:szCs w:val="24"/>
              </w:rPr>
              <w:t>, counsel for the first respondent, the week of the 27</w:t>
            </w:r>
            <w:r w:rsidR="005C696A" w:rsidRPr="005C696A">
              <w:rPr>
                <w:rFonts w:ascii="Arial Narrow" w:hAnsi="Arial Narrow" w:cs="Arial"/>
                <w:sz w:val="24"/>
                <w:szCs w:val="24"/>
                <w:vertAlign w:val="superscript"/>
              </w:rPr>
              <w:t>th</w:t>
            </w:r>
            <w:r w:rsidR="005C696A">
              <w:rPr>
                <w:rFonts w:ascii="Arial Narrow" w:hAnsi="Arial Narrow" w:cs="Arial"/>
                <w:sz w:val="24"/>
                <w:szCs w:val="24"/>
              </w:rPr>
              <w:t xml:space="preserve"> of March </w:t>
            </w:r>
            <w:r w:rsidR="00573231">
              <w:rPr>
                <w:rFonts w:ascii="Arial Narrow" w:hAnsi="Arial Narrow" w:cs="Arial"/>
                <w:sz w:val="24"/>
                <w:szCs w:val="24"/>
              </w:rPr>
              <w:t xml:space="preserve">2020 </w:t>
            </w:r>
            <w:r w:rsidR="005C696A">
              <w:rPr>
                <w:rFonts w:ascii="Arial Narrow" w:hAnsi="Arial Narrow" w:cs="Arial"/>
                <w:sz w:val="24"/>
                <w:szCs w:val="24"/>
              </w:rPr>
              <w:t>indicating tha</w:t>
            </w:r>
            <w:r w:rsidR="00573231">
              <w:rPr>
                <w:rFonts w:ascii="Arial Narrow" w:hAnsi="Arial Narrow" w:cs="Arial"/>
                <w:sz w:val="24"/>
                <w:szCs w:val="24"/>
              </w:rPr>
              <w:t>t she did not file the applicant</w:t>
            </w:r>
            <w:r w:rsidR="005C696A">
              <w:rPr>
                <w:rFonts w:ascii="Arial Narrow" w:hAnsi="Arial Narrow" w:cs="Arial"/>
                <w:sz w:val="24"/>
                <w:szCs w:val="24"/>
              </w:rPr>
              <w:t>’s heads as she has been</w:t>
            </w:r>
            <w:r w:rsidR="00EC471B">
              <w:rPr>
                <w:rFonts w:ascii="Arial Narrow" w:hAnsi="Arial Narrow" w:cs="Arial"/>
                <w:sz w:val="24"/>
                <w:szCs w:val="24"/>
              </w:rPr>
              <w:t xml:space="preserve"> ill and</w:t>
            </w:r>
            <w:r w:rsidR="005C696A">
              <w:rPr>
                <w:rFonts w:ascii="Arial Narrow" w:hAnsi="Arial Narrow" w:cs="Arial"/>
                <w:sz w:val="24"/>
                <w:szCs w:val="24"/>
              </w:rPr>
              <w:t xml:space="preserve"> placed in self-isolation due to signs of possible COVID-19 symptoms</w:t>
            </w:r>
            <w:r w:rsidR="0015050A" w:rsidRPr="000D648A">
              <w:rPr>
                <w:rFonts w:ascii="Arial Narrow" w:hAnsi="Arial Narrow" w:cs="Arial"/>
                <w:sz w:val="24"/>
                <w:szCs w:val="24"/>
              </w:rPr>
              <w:t>.</w:t>
            </w:r>
            <w:r w:rsidR="003A02EF">
              <w:rPr>
                <w:rFonts w:ascii="Arial Narrow" w:hAnsi="Arial Narrow" w:cs="Arial"/>
                <w:sz w:val="24"/>
                <w:szCs w:val="24"/>
              </w:rPr>
              <w:t xml:space="preserve"> She further alleg</w:t>
            </w:r>
            <w:r w:rsidR="009C09E4">
              <w:rPr>
                <w:rFonts w:ascii="Arial Narrow" w:hAnsi="Arial Narrow" w:cs="Arial"/>
                <w:sz w:val="24"/>
                <w:szCs w:val="24"/>
              </w:rPr>
              <w:t>es that during lockdown she</w:t>
            </w:r>
            <w:r w:rsidR="00573231">
              <w:rPr>
                <w:rFonts w:ascii="Arial Narrow" w:hAnsi="Arial Narrow" w:cs="Arial"/>
                <w:sz w:val="24"/>
                <w:szCs w:val="24"/>
              </w:rPr>
              <w:t xml:space="preserve"> also</w:t>
            </w:r>
            <w:r w:rsidR="009C09E4">
              <w:rPr>
                <w:rFonts w:ascii="Arial Narrow" w:hAnsi="Arial Narrow" w:cs="Arial"/>
                <w:sz w:val="24"/>
                <w:szCs w:val="24"/>
              </w:rPr>
              <w:t xml:space="preserve"> </w:t>
            </w:r>
            <w:r w:rsidR="003A02EF">
              <w:rPr>
                <w:rFonts w:ascii="Arial Narrow" w:hAnsi="Arial Narrow" w:cs="Arial"/>
                <w:sz w:val="24"/>
                <w:szCs w:val="24"/>
              </w:rPr>
              <w:t xml:space="preserve">called Mr </w:t>
            </w:r>
            <w:proofErr w:type="spellStart"/>
            <w:r w:rsidR="003A02EF">
              <w:rPr>
                <w:rFonts w:ascii="Arial Narrow" w:hAnsi="Arial Narrow" w:cs="Arial"/>
                <w:sz w:val="24"/>
                <w:szCs w:val="24"/>
              </w:rPr>
              <w:t>Kauta</w:t>
            </w:r>
            <w:proofErr w:type="spellEnd"/>
            <w:r w:rsidR="003A02EF">
              <w:rPr>
                <w:rFonts w:ascii="Arial Narrow" w:hAnsi="Arial Narrow" w:cs="Arial"/>
                <w:sz w:val="24"/>
                <w:szCs w:val="24"/>
              </w:rPr>
              <w:t xml:space="preserve"> and informed him that the heads of arguments will be filed on 28 April</w:t>
            </w:r>
            <w:r w:rsidR="00573231">
              <w:rPr>
                <w:rFonts w:ascii="Arial Narrow" w:hAnsi="Arial Narrow" w:cs="Arial"/>
                <w:sz w:val="24"/>
                <w:szCs w:val="24"/>
              </w:rPr>
              <w:t xml:space="preserve"> 2020</w:t>
            </w:r>
            <w:r w:rsidR="003A02EF">
              <w:rPr>
                <w:rFonts w:ascii="Arial Narrow" w:hAnsi="Arial Narrow" w:cs="Arial"/>
                <w:sz w:val="24"/>
                <w:szCs w:val="24"/>
              </w:rPr>
              <w:t>, however she failed to file the heads</w:t>
            </w:r>
            <w:r w:rsidR="00573231">
              <w:rPr>
                <w:rFonts w:ascii="Arial Narrow" w:hAnsi="Arial Narrow" w:cs="Arial"/>
                <w:sz w:val="24"/>
                <w:szCs w:val="24"/>
              </w:rPr>
              <w:t xml:space="preserve"> on the said date</w:t>
            </w:r>
            <w:r w:rsidR="003A02EF">
              <w:rPr>
                <w:rFonts w:ascii="Arial Narrow" w:hAnsi="Arial Narrow" w:cs="Arial"/>
                <w:sz w:val="24"/>
                <w:szCs w:val="24"/>
              </w:rPr>
              <w:t>.</w:t>
            </w:r>
            <w:r w:rsidR="009C09E4">
              <w:rPr>
                <w:rFonts w:ascii="Arial Narrow" w:hAnsi="Arial Narrow" w:cs="Arial"/>
                <w:sz w:val="24"/>
                <w:szCs w:val="24"/>
              </w:rPr>
              <w:t xml:space="preserve"> She also alleges that upon he</w:t>
            </w:r>
            <w:r w:rsidR="00966FBE">
              <w:rPr>
                <w:rFonts w:ascii="Arial Narrow" w:hAnsi="Arial Narrow" w:cs="Arial"/>
                <w:sz w:val="24"/>
                <w:szCs w:val="24"/>
              </w:rPr>
              <w:t>r</w:t>
            </w:r>
            <w:r w:rsidR="009C09E4">
              <w:rPr>
                <w:rFonts w:ascii="Arial Narrow" w:hAnsi="Arial Narrow" w:cs="Arial"/>
                <w:sz w:val="24"/>
                <w:szCs w:val="24"/>
              </w:rPr>
              <w:t xml:space="preserve"> return to office on 5 May 2020 she was inundated with preparation </w:t>
            </w:r>
            <w:r w:rsidR="00966FBE">
              <w:rPr>
                <w:rFonts w:ascii="Arial Narrow" w:hAnsi="Arial Narrow" w:cs="Arial"/>
                <w:sz w:val="24"/>
                <w:szCs w:val="24"/>
              </w:rPr>
              <w:t xml:space="preserve">and attendance </w:t>
            </w:r>
            <w:r w:rsidR="00C018BA">
              <w:rPr>
                <w:rFonts w:ascii="Arial Narrow" w:hAnsi="Arial Narrow" w:cs="Arial"/>
                <w:sz w:val="24"/>
                <w:szCs w:val="24"/>
              </w:rPr>
              <w:t>of</w:t>
            </w:r>
            <w:r w:rsidR="0013022E">
              <w:rPr>
                <w:rFonts w:ascii="Arial Narrow" w:hAnsi="Arial Narrow" w:cs="Arial"/>
                <w:sz w:val="24"/>
                <w:szCs w:val="24"/>
              </w:rPr>
              <w:t xml:space="preserve"> </w:t>
            </w:r>
            <w:r w:rsidR="0013022E" w:rsidRPr="003F0C01">
              <w:rPr>
                <w:rFonts w:ascii="Arial Narrow" w:hAnsi="Arial Narrow" w:cs="Arial"/>
                <w:sz w:val="24"/>
                <w:szCs w:val="24"/>
              </w:rPr>
              <w:t>boa</w:t>
            </w:r>
            <w:r w:rsidR="00C018BA" w:rsidRPr="003F0C01">
              <w:rPr>
                <w:rFonts w:ascii="Arial Narrow" w:hAnsi="Arial Narrow" w:cs="Arial"/>
                <w:sz w:val="24"/>
                <w:szCs w:val="24"/>
              </w:rPr>
              <w:t>rd meetings</w:t>
            </w:r>
            <w:r w:rsidR="00722DEF" w:rsidRPr="003F0C01">
              <w:rPr>
                <w:rFonts w:ascii="Arial Narrow" w:hAnsi="Arial Narrow" w:cs="Arial"/>
                <w:sz w:val="24"/>
                <w:szCs w:val="24"/>
              </w:rPr>
              <w:t>,</w:t>
            </w:r>
            <w:r w:rsidR="00C018BA" w:rsidRPr="003F0C01">
              <w:rPr>
                <w:rFonts w:ascii="Arial Narrow" w:hAnsi="Arial Narrow" w:cs="Arial"/>
                <w:sz w:val="24"/>
                <w:szCs w:val="24"/>
              </w:rPr>
              <w:t xml:space="preserve"> which </w:t>
            </w:r>
            <w:r w:rsidR="00C018BA">
              <w:rPr>
                <w:rFonts w:ascii="Arial Narrow" w:hAnsi="Arial Narrow" w:cs="Arial"/>
                <w:sz w:val="24"/>
                <w:szCs w:val="24"/>
              </w:rPr>
              <w:t>took</w:t>
            </w:r>
            <w:r w:rsidR="009A4D03">
              <w:rPr>
                <w:rFonts w:ascii="Arial Narrow" w:hAnsi="Arial Narrow" w:cs="Arial"/>
                <w:sz w:val="24"/>
                <w:szCs w:val="24"/>
              </w:rPr>
              <w:t xml:space="preserve"> place</w:t>
            </w:r>
            <w:r w:rsidR="0013022E">
              <w:rPr>
                <w:rFonts w:ascii="Arial Narrow" w:hAnsi="Arial Narrow" w:cs="Arial"/>
                <w:sz w:val="24"/>
                <w:szCs w:val="24"/>
              </w:rPr>
              <w:t xml:space="preserve"> on 7 and 8 May</w:t>
            </w:r>
            <w:r w:rsidR="009A4D03">
              <w:rPr>
                <w:rFonts w:ascii="Arial Narrow" w:hAnsi="Arial Narrow" w:cs="Arial"/>
                <w:sz w:val="24"/>
                <w:szCs w:val="24"/>
              </w:rPr>
              <w:t xml:space="preserve"> 2020 hence she couldn’t</w:t>
            </w:r>
            <w:r w:rsidR="0013022E">
              <w:rPr>
                <w:rFonts w:ascii="Arial Narrow" w:hAnsi="Arial Narrow" w:cs="Arial"/>
                <w:sz w:val="24"/>
                <w:szCs w:val="24"/>
              </w:rPr>
              <w:t xml:space="preserve"> file the heads upon her return to work. </w:t>
            </w:r>
            <w:r w:rsidR="009C09E4">
              <w:rPr>
                <w:rFonts w:ascii="Arial Narrow" w:hAnsi="Arial Narrow" w:cs="Arial"/>
                <w:sz w:val="24"/>
                <w:szCs w:val="24"/>
              </w:rPr>
              <w:t xml:space="preserve"> </w:t>
            </w:r>
            <w:r w:rsidR="003A02EF">
              <w:rPr>
                <w:rFonts w:ascii="Arial Narrow" w:hAnsi="Arial Narrow" w:cs="Arial"/>
                <w:sz w:val="24"/>
                <w:szCs w:val="24"/>
              </w:rPr>
              <w:t xml:space="preserve">  </w:t>
            </w:r>
            <w:r w:rsidR="0015050A" w:rsidRPr="000D648A">
              <w:rPr>
                <w:rFonts w:ascii="Arial Narrow" w:hAnsi="Arial Narrow" w:cs="Arial"/>
                <w:sz w:val="24"/>
                <w:szCs w:val="24"/>
              </w:rPr>
              <w:t xml:space="preserve">  </w:t>
            </w:r>
          </w:p>
          <w:p w:rsidR="006000CB" w:rsidRPr="000D648A" w:rsidRDefault="006000CB" w:rsidP="00DA6472">
            <w:pPr>
              <w:tabs>
                <w:tab w:val="left" w:pos="2085"/>
              </w:tabs>
              <w:spacing w:line="360" w:lineRule="auto"/>
              <w:jc w:val="both"/>
              <w:rPr>
                <w:rFonts w:ascii="Arial Narrow" w:hAnsi="Arial Narrow" w:cs="Arial"/>
                <w:sz w:val="24"/>
                <w:szCs w:val="24"/>
              </w:rPr>
            </w:pPr>
          </w:p>
          <w:p w:rsidR="00C77FF2" w:rsidRDefault="00A347AE"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[4</w:t>
            </w:r>
            <w:r w:rsidR="00C77FF2" w:rsidRPr="000D648A">
              <w:rPr>
                <w:rFonts w:ascii="Arial Narrow" w:hAnsi="Arial Narrow" w:cs="Arial"/>
                <w:sz w:val="24"/>
                <w:szCs w:val="24"/>
              </w:rPr>
              <w:t>]</w:t>
            </w:r>
            <w:r w:rsidR="008A107C" w:rsidRPr="000D648A">
              <w:rPr>
                <w:rFonts w:ascii="Arial Narrow" w:hAnsi="Arial Narrow" w:cs="Arial"/>
                <w:sz w:val="24"/>
                <w:szCs w:val="24"/>
              </w:rPr>
              <w:t xml:space="preserve">     </w:t>
            </w:r>
            <w:r w:rsidR="0013022E">
              <w:rPr>
                <w:rFonts w:ascii="Arial Narrow" w:hAnsi="Arial Narrow" w:cs="Arial"/>
                <w:sz w:val="24"/>
                <w:szCs w:val="24"/>
              </w:rPr>
              <w:t xml:space="preserve"> Ms Jason </w:t>
            </w:r>
            <w:r w:rsidR="00EB550E">
              <w:rPr>
                <w:rFonts w:ascii="Arial Narrow" w:hAnsi="Arial Narrow" w:cs="Arial"/>
                <w:sz w:val="24"/>
                <w:szCs w:val="24"/>
              </w:rPr>
              <w:t>submitted that her</w:t>
            </w:r>
            <w:r w:rsidR="0013022E">
              <w:rPr>
                <w:rFonts w:ascii="Arial Narrow" w:hAnsi="Arial Narrow" w:cs="Arial"/>
                <w:sz w:val="24"/>
                <w:szCs w:val="24"/>
              </w:rPr>
              <w:t xml:space="preserve"> non-compliance </w:t>
            </w:r>
            <w:r w:rsidR="0011296F">
              <w:rPr>
                <w:rFonts w:ascii="Arial Narrow" w:hAnsi="Arial Narrow" w:cs="Arial"/>
                <w:sz w:val="24"/>
                <w:szCs w:val="24"/>
              </w:rPr>
              <w:t xml:space="preserve">with the court order </w:t>
            </w:r>
            <w:r w:rsidR="00A571FA">
              <w:rPr>
                <w:rFonts w:ascii="Arial Narrow" w:hAnsi="Arial Narrow" w:cs="Arial"/>
                <w:sz w:val="24"/>
                <w:szCs w:val="24"/>
              </w:rPr>
              <w:t>was not wilful nor was it</w:t>
            </w:r>
            <w:r w:rsidR="0013022E">
              <w:rPr>
                <w:rFonts w:ascii="Arial Narrow" w:hAnsi="Arial Narrow" w:cs="Arial"/>
                <w:sz w:val="24"/>
                <w:szCs w:val="24"/>
              </w:rPr>
              <w:t xml:space="preserve"> a disregard for the rules of court </w:t>
            </w:r>
            <w:r w:rsidR="0011296F">
              <w:rPr>
                <w:rFonts w:ascii="Arial Narrow" w:hAnsi="Arial Narrow" w:cs="Arial"/>
                <w:sz w:val="24"/>
                <w:szCs w:val="24"/>
              </w:rPr>
              <w:t xml:space="preserve">but as a result of circumstances beyond </w:t>
            </w:r>
            <w:r w:rsidR="00EB550E">
              <w:rPr>
                <w:rFonts w:ascii="Arial Narrow" w:hAnsi="Arial Narrow" w:cs="Arial"/>
                <w:sz w:val="24"/>
                <w:szCs w:val="24"/>
              </w:rPr>
              <w:t>her control. She further submitted</w:t>
            </w:r>
            <w:r w:rsidR="0011296F">
              <w:rPr>
                <w:rFonts w:ascii="Arial Narrow" w:hAnsi="Arial Narrow" w:cs="Arial"/>
                <w:sz w:val="24"/>
                <w:szCs w:val="24"/>
              </w:rPr>
              <w:t xml:space="preserve"> that </w:t>
            </w:r>
            <w:r w:rsidR="0013022E">
              <w:rPr>
                <w:rFonts w:ascii="Arial Narrow" w:hAnsi="Arial Narrow" w:cs="Arial"/>
                <w:sz w:val="24"/>
                <w:szCs w:val="24"/>
              </w:rPr>
              <w:t>the first defendant suffers no prejudice</w:t>
            </w:r>
            <w:r w:rsidR="0011296F">
              <w:rPr>
                <w:rFonts w:ascii="Arial Narrow" w:hAnsi="Arial Narrow" w:cs="Arial"/>
                <w:sz w:val="24"/>
                <w:szCs w:val="24"/>
              </w:rPr>
              <w:t xml:space="preserve"> as the </w:t>
            </w:r>
            <w:r w:rsidR="007A7231">
              <w:rPr>
                <w:rFonts w:ascii="Arial Narrow" w:hAnsi="Arial Narrow" w:cs="Arial"/>
                <w:sz w:val="24"/>
                <w:szCs w:val="24"/>
              </w:rPr>
              <w:t xml:space="preserve">no trial date has been yet set and the </w:t>
            </w:r>
            <w:r w:rsidR="0011296F">
              <w:rPr>
                <w:rFonts w:ascii="Arial Narrow" w:hAnsi="Arial Narrow" w:cs="Arial"/>
                <w:sz w:val="24"/>
                <w:szCs w:val="24"/>
              </w:rPr>
              <w:t>postponem</w:t>
            </w:r>
            <w:r w:rsidR="007A7231">
              <w:rPr>
                <w:rFonts w:ascii="Arial Narrow" w:hAnsi="Arial Narrow" w:cs="Arial"/>
                <w:sz w:val="24"/>
                <w:szCs w:val="24"/>
              </w:rPr>
              <w:t>ent of the hearing of the Rule 61 application</w:t>
            </w:r>
            <w:r w:rsidR="0011296F">
              <w:rPr>
                <w:rFonts w:ascii="Arial Narrow" w:hAnsi="Arial Narrow" w:cs="Arial"/>
                <w:sz w:val="24"/>
                <w:szCs w:val="24"/>
              </w:rPr>
              <w:t xml:space="preserve"> was due to COVID-19 and not as a result of the applicant’s non-compliance with the court order</w:t>
            </w:r>
            <w:r w:rsidR="0013022E">
              <w:rPr>
                <w:rFonts w:ascii="Arial Narrow" w:hAnsi="Arial Narrow" w:cs="Arial"/>
                <w:sz w:val="24"/>
                <w:szCs w:val="24"/>
              </w:rPr>
              <w:t xml:space="preserve">. </w:t>
            </w:r>
          </w:p>
          <w:p w:rsidR="0015050A" w:rsidRDefault="0015050A" w:rsidP="00DA6472">
            <w:pPr>
              <w:tabs>
                <w:tab w:val="left" w:pos="2085"/>
              </w:tabs>
              <w:spacing w:line="360" w:lineRule="auto"/>
              <w:jc w:val="both"/>
              <w:rPr>
                <w:rFonts w:ascii="Arial Narrow" w:hAnsi="Arial Narrow" w:cs="Arial"/>
                <w:sz w:val="24"/>
                <w:szCs w:val="24"/>
              </w:rPr>
            </w:pPr>
          </w:p>
          <w:p w:rsidR="00A571FA" w:rsidRPr="00A571FA" w:rsidRDefault="00A571FA" w:rsidP="00DA6472">
            <w:pPr>
              <w:tabs>
                <w:tab w:val="left" w:pos="2085"/>
              </w:tabs>
              <w:spacing w:line="360" w:lineRule="auto"/>
              <w:jc w:val="both"/>
              <w:rPr>
                <w:rFonts w:ascii="Arial Narrow" w:hAnsi="Arial Narrow" w:cs="Arial"/>
                <w:i/>
                <w:sz w:val="24"/>
                <w:szCs w:val="24"/>
              </w:rPr>
            </w:pPr>
            <w:r>
              <w:rPr>
                <w:rFonts w:ascii="Arial Narrow" w:hAnsi="Arial Narrow" w:cs="Arial"/>
                <w:i/>
                <w:sz w:val="24"/>
                <w:szCs w:val="24"/>
              </w:rPr>
              <w:t>First defendant</w:t>
            </w:r>
          </w:p>
          <w:p w:rsidR="00A571FA" w:rsidRDefault="00A571FA" w:rsidP="00DA6472">
            <w:pPr>
              <w:tabs>
                <w:tab w:val="left" w:pos="2085"/>
              </w:tabs>
              <w:spacing w:line="360" w:lineRule="auto"/>
              <w:jc w:val="both"/>
              <w:rPr>
                <w:rFonts w:ascii="Arial Narrow" w:hAnsi="Arial Narrow" w:cs="Arial"/>
                <w:sz w:val="24"/>
                <w:szCs w:val="24"/>
              </w:rPr>
            </w:pPr>
          </w:p>
          <w:p w:rsidR="0053273A" w:rsidRDefault="00A347AE" w:rsidP="00DA6472">
            <w:pPr>
              <w:tabs>
                <w:tab w:val="left" w:pos="1590"/>
              </w:tabs>
              <w:spacing w:line="360" w:lineRule="auto"/>
              <w:jc w:val="both"/>
              <w:rPr>
                <w:rFonts w:ascii="Arial Narrow" w:hAnsi="Arial Narrow" w:cs="Arial"/>
                <w:sz w:val="24"/>
                <w:szCs w:val="24"/>
              </w:rPr>
            </w:pPr>
            <w:r>
              <w:rPr>
                <w:rFonts w:ascii="Arial Narrow" w:hAnsi="Arial Narrow" w:cs="Arial"/>
                <w:sz w:val="24"/>
                <w:szCs w:val="24"/>
              </w:rPr>
              <w:t>[5</w:t>
            </w:r>
            <w:r w:rsidR="00C65157">
              <w:rPr>
                <w:rFonts w:ascii="Arial Narrow" w:hAnsi="Arial Narrow" w:cs="Arial"/>
                <w:sz w:val="24"/>
                <w:szCs w:val="24"/>
              </w:rPr>
              <w:t xml:space="preserve">]     </w:t>
            </w:r>
            <w:r w:rsidR="009A26B6">
              <w:rPr>
                <w:rFonts w:ascii="Arial Narrow" w:hAnsi="Arial Narrow" w:cs="Arial"/>
                <w:sz w:val="24"/>
                <w:szCs w:val="24"/>
              </w:rPr>
              <w:t xml:space="preserve">Mr </w:t>
            </w:r>
            <w:proofErr w:type="spellStart"/>
            <w:r w:rsidR="009A26B6" w:rsidRPr="003F0C01">
              <w:rPr>
                <w:rFonts w:ascii="Arial Narrow" w:hAnsi="Arial Narrow" w:cs="Arial"/>
                <w:sz w:val="24"/>
                <w:szCs w:val="24"/>
              </w:rPr>
              <w:t>Kauta</w:t>
            </w:r>
            <w:proofErr w:type="spellEnd"/>
            <w:r w:rsidR="009A26B6" w:rsidRPr="003F0C01">
              <w:rPr>
                <w:rFonts w:ascii="Arial Narrow" w:hAnsi="Arial Narrow" w:cs="Arial"/>
                <w:sz w:val="24"/>
                <w:szCs w:val="24"/>
              </w:rPr>
              <w:t>, c</w:t>
            </w:r>
            <w:r w:rsidR="009C7087" w:rsidRPr="003F0C01">
              <w:rPr>
                <w:rFonts w:ascii="Arial Narrow" w:hAnsi="Arial Narrow" w:cs="Arial"/>
                <w:sz w:val="24"/>
                <w:szCs w:val="24"/>
              </w:rPr>
              <w:t>ounsel</w:t>
            </w:r>
            <w:r w:rsidR="007916A8" w:rsidRPr="003F0C01">
              <w:rPr>
                <w:rFonts w:ascii="Arial Narrow" w:hAnsi="Arial Narrow" w:cs="Arial"/>
                <w:sz w:val="24"/>
                <w:szCs w:val="24"/>
              </w:rPr>
              <w:t xml:space="preserve"> for the first respondent</w:t>
            </w:r>
            <w:r w:rsidR="009A26B6" w:rsidRPr="003F0C01">
              <w:rPr>
                <w:rFonts w:ascii="Arial Narrow" w:hAnsi="Arial Narrow" w:cs="Arial"/>
                <w:sz w:val="24"/>
                <w:szCs w:val="24"/>
              </w:rPr>
              <w:t>,</w:t>
            </w:r>
            <w:r w:rsidR="00DB37A3" w:rsidRPr="003F0C01">
              <w:rPr>
                <w:rFonts w:ascii="Arial Narrow" w:hAnsi="Arial Narrow" w:cs="Arial"/>
                <w:sz w:val="24"/>
                <w:szCs w:val="24"/>
              </w:rPr>
              <w:t xml:space="preserve"> </w:t>
            </w:r>
            <w:r w:rsidR="00870753" w:rsidRPr="003F0C01">
              <w:rPr>
                <w:rFonts w:ascii="Arial Narrow" w:hAnsi="Arial Narrow" w:cs="Arial"/>
                <w:sz w:val="24"/>
                <w:szCs w:val="24"/>
              </w:rPr>
              <w:t>indicated to Court</w:t>
            </w:r>
            <w:r w:rsidR="00DA65E2" w:rsidRPr="003F0C01">
              <w:rPr>
                <w:rFonts w:ascii="Arial Narrow" w:hAnsi="Arial Narrow" w:cs="Arial"/>
                <w:sz w:val="24"/>
                <w:szCs w:val="24"/>
              </w:rPr>
              <w:t xml:space="preserve"> </w:t>
            </w:r>
            <w:r w:rsidR="007916A8" w:rsidRPr="003F0C01">
              <w:rPr>
                <w:rFonts w:ascii="Arial Narrow" w:hAnsi="Arial Narrow" w:cs="Arial"/>
                <w:sz w:val="24"/>
                <w:szCs w:val="24"/>
              </w:rPr>
              <w:t>at</w:t>
            </w:r>
            <w:r w:rsidR="00870753" w:rsidRPr="003F0C01">
              <w:rPr>
                <w:rFonts w:ascii="Arial Narrow" w:hAnsi="Arial Narrow" w:cs="Arial"/>
                <w:sz w:val="24"/>
                <w:szCs w:val="24"/>
              </w:rPr>
              <w:t xml:space="preserve"> the </w:t>
            </w:r>
            <w:r w:rsidR="002522B9" w:rsidRPr="003F0C01">
              <w:rPr>
                <w:rFonts w:ascii="Arial Narrow" w:hAnsi="Arial Narrow" w:cs="Arial"/>
                <w:sz w:val="24"/>
                <w:szCs w:val="24"/>
              </w:rPr>
              <w:t>onset</w:t>
            </w:r>
            <w:r w:rsidR="00585D76" w:rsidRPr="003F0C01">
              <w:rPr>
                <w:rFonts w:ascii="Arial Narrow" w:hAnsi="Arial Narrow" w:cs="Arial"/>
                <w:sz w:val="24"/>
                <w:szCs w:val="24"/>
              </w:rPr>
              <w:t xml:space="preserve"> of oral</w:t>
            </w:r>
            <w:r w:rsidR="00870753" w:rsidRPr="003F0C01">
              <w:rPr>
                <w:rFonts w:ascii="Arial Narrow" w:hAnsi="Arial Narrow" w:cs="Arial"/>
                <w:sz w:val="24"/>
                <w:szCs w:val="24"/>
              </w:rPr>
              <w:t xml:space="preserve"> </w:t>
            </w:r>
            <w:r w:rsidR="00DA65E2" w:rsidRPr="003F0C01">
              <w:rPr>
                <w:rFonts w:ascii="Arial Narrow" w:hAnsi="Arial Narrow" w:cs="Arial"/>
                <w:sz w:val="24"/>
                <w:szCs w:val="24"/>
              </w:rPr>
              <w:t xml:space="preserve">argument </w:t>
            </w:r>
            <w:r w:rsidR="009A26B6" w:rsidRPr="003F0C01">
              <w:rPr>
                <w:rFonts w:ascii="Arial Narrow" w:hAnsi="Arial Narrow" w:cs="Arial"/>
                <w:sz w:val="24"/>
                <w:szCs w:val="24"/>
              </w:rPr>
              <w:t>that the</w:t>
            </w:r>
            <w:r w:rsidR="002522B9" w:rsidRPr="003F0C01">
              <w:rPr>
                <w:rFonts w:ascii="Arial Narrow" w:hAnsi="Arial Narrow" w:cs="Arial"/>
                <w:sz w:val="24"/>
                <w:szCs w:val="24"/>
              </w:rPr>
              <w:t xml:space="preserve"> applicant</w:t>
            </w:r>
            <w:r w:rsidR="00DA65E2" w:rsidRPr="003F0C01">
              <w:rPr>
                <w:rFonts w:ascii="Arial Narrow" w:hAnsi="Arial Narrow" w:cs="Arial"/>
                <w:sz w:val="24"/>
                <w:szCs w:val="24"/>
              </w:rPr>
              <w:t>’s counsel</w:t>
            </w:r>
            <w:r w:rsidR="00722DEF" w:rsidRPr="003F0C01">
              <w:rPr>
                <w:rFonts w:ascii="Arial Narrow" w:hAnsi="Arial Narrow" w:cs="Arial"/>
                <w:sz w:val="24"/>
                <w:szCs w:val="24"/>
              </w:rPr>
              <w:t>’s argument</w:t>
            </w:r>
            <w:r w:rsidR="00DA65E2" w:rsidRPr="003F0C01">
              <w:rPr>
                <w:rFonts w:ascii="Arial Narrow" w:hAnsi="Arial Narrow" w:cs="Arial"/>
                <w:sz w:val="24"/>
                <w:szCs w:val="24"/>
              </w:rPr>
              <w:t xml:space="preserve"> is misconceived </w:t>
            </w:r>
            <w:r w:rsidR="00DA65E2">
              <w:rPr>
                <w:rFonts w:ascii="Arial Narrow" w:hAnsi="Arial Narrow" w:cs="Arial"/>
                <w:sz w:val="24"/>
                <w:szCs w:val="24"/>
              </w:rPr>
              <w:t xml:space="preserve">on so many levels. </w:t>
            </w:r>
            <w:r w:rsidR="000F2DC3">
              <w:rPr>
                <w:rFonts w:ascii="Arial Narrow" w:hAnsi="Arial Narrow" w:cs="Arial"/>
                <w:sz w:val="24"/>
                <w:szCs w:val="24"/>
              </w:rPr>
              <w:t xml:space="preserve">He </w:t>
            </w:r>
            <w:r w:rsidR="0053273A">
              <w:rPr>
                <w:rFonts w:ascii="Arial Narrow" w:hAnsi="Arial Narrow" w:cs="Arial"/>
                <w:sz w:val="24"/>
                <w:szCs w:val="24"/>
              </w:rPr>
              <w:t>argued</w:t>
            </w:r>
            <w:r w:rsidR="000F2DC3">
              <w:rPr>
                <w:rFonts w:ascii="Arial Narrow" w:hAnsi="Arial Narrow" w:cs="Arial"/>
                <w:sz w:val="24"/>
                <w:szCs w:val="24"/>
              </w:rPr>
              <w:t xml:space="preserve"> that the </w:t>
            </w:r>
            <w:r w:rsidR="0078168A">
              <w:rPr>
                <w:rFonts w:ascii="Arial Narrow" w:hAnsi="Arial Narrow" w:cs="Arial"/>
                <w:sz w:val="24"/>
                <w:szCs w:val="24"/>
              </w:rPr>
              <w:t>applicant</w:t>
            </w:r>
            <w:r w:rsidR="000F2DC3">
              <w:rPr>
                <w:rFonts w:ascii="Arial Narrow" w:hAnsi="Arial Narrow" w:cs="Arial"/>
                <w:sz w:val="24"/>
                <w:szCs w:val="24"/>
              </w:rPr>
              <w:t xml:space="preserve"> was given an opportunity to oppose the Rule 61 application and fil</w:t>
            </w:r>
            <w:r w:rsidR="00870753">
              <w:rPr>
                <w:rFonts w:ascii="Arial Narrow" w:hAnsi="Arial Narrow" w:cs="Arial"/>
                <w:sz w:val="24"/>
                <w:szCs w:val="24"/>
              </w:rPr>
              <w:t>e heads of arguments however nothing</w:t>
            </w:r>
            <w:r w:rsidR="000F2DC3">
              <w:rPr>
                <w:rFonts w:ascii="Arial Narrow" w:hAnsi="Arial Narrow" w:cs="Arial"/>
                <w:sz w:val="24"/>
                <w:szCs w:val="24"/>
              </w:rPr>
              <w:t xml:space="preserve"> has been filed. Ms Jason says her condonation application is simply with respect to her failure to file heads of arguments </w:t>
            </w:r>
            <w:r w:rsidR="00870753">
              <w:rPr>
                <w:rFonts w:ascii="Arial Narrow" w:hAnsi="Arial Narrow" w:cs="Arial"/>
                <w:sz w:val="24"/>
                <w:szCs w:val="24"/>
              </w:rPr>
              <w:t>yet there i</w:t>
            </w:r>
            <w:r w:rsidR="000F2DC3">
              <w:rPr>
                <w:rFonts w:ascii="Arial Narrow" w:hAnsi="Arial Narrow" w:cs="Arial"/>
                <w:sz w:val="24"/>
                <w:szCs w:val="24"/>
              </w:rPr>
              <w:t xml:space="preserve">s </w:t>
            </w:r>
            <w:r w:rsidR="00870753">
              <w:rPr>
                <w:rFonts w:ascii="Arial Narrow" w:hAnsi="Arial Narrow" w:cs="Arial"/>
                <w:sz w:val="24"/>
                <w:szCs w:val="24"/>
              </w:rPr>
              <w:t xml:space="preserve">no </w:t>
            </w:r>
            <w:r w:rsidR="000F2DC3">
              <w:rPr>
                <w:rFonts w:ascii="Arial Narrow" w:hAnsi="Arial Narrow" w:cs="Arial"/>
                <w:sz w:val="24"/>
                <w:szCs w:val="24"/>
              </w:rPr>
              <w:t xml:space="preserve">opposition filed for the said application. </w:t>
            </w:r>
            <w:r w:rsidR="009A26B6">
              <w:rPr>
                <w:rFonts w:ascii="Arial Narrow" w:hAnsi="Arial Narrow" w:cs="Arial"/>
                <w:sz w:val="24"/>
                <w:szCs w:val="24"/>
              </w:rPr>
              <w:t xml:space="preserve"> </w:t>
            </w:r>
            <w:r w:rsidR="00EC27D4">
              <w:rPr>
                <w:rFonts w:ascii="Arial Narrow" w:hAnsi="Arial Narrow" w:cs="Arial"/>
                <w:sz w:val="24"/>
                <w:szCs w:val="24"/>
              </w:rPr>
              <w:t xml:space="preserve">Mr </w:t>
            </w:r>
            <w:proofErr w:type="spellStart"/>
            <w:r w:rsidR="00EC27D4">
              <w:rPr>
                <w:rFonts w:ascii="Arial Narrow" w:hAnsi="Arial Narrow" w:cs="Arial"/>
                <w:sz w:val="24"/>
                <w:szCs w:val="24"/>
              </w:rPr>
              <w:t>Kauta</w:t>
            </w:r>
            <w:proofErr w:type="spellEnd"/>
            <w:r w:rsidR="00EC27D4">
              <w:rPr>
                <w:rFonts w:ascii="Arial Narrow" w:hAnsi="Arial Narrow" w:cs="Arial"/>
                <w:sz w:val="24"/>
                <w:szCs w:val="24"/>
              </w:rPr>
              <w:t xml:space="preserve"> is puzzled as to why a condonation application with respect to the failure to file heads of argument is brought while the Rule 61 application remains unopposed. </w:t>
            </w:r>
          </w:p>
          <w:p w:rsidR="0053273A" w:rsidRDefault="0053273A" w:rsidP="00DA6472">
            <w:pPr>
              <w:tabs>
                <w:tab w:val="left" w:pos="1590"/>
              </w:tabs>
              <w:spacing w:line="360" w:lineRule="auto"/>
              <w:jc w:val="both"/>
              <w:rPr>
                <w:rFonts w:ascii="Arial Narrow" w:hAnsi="Arial Narrow" w:cs="Arial"/>
                <w:sz w:val="24"/>
                <w:szCs w:val="24"/>
              </w:rPr>
            </w:pPr>
          </w:p>
          <w:p w:rsidR="003151D7" w:rsidRDefault="0053273A" w:rsidP="00DA6472">
            <w:pPr>
              <w:tabs>
                <w:tab w:val="left" w:pos="1590"/>
              </w:tabs>
              <w:spacing w:line="360" w:lineRule="auto"/>
              <w:jc w:val="both"/>
              <w:rPr>
                <w:rFonts w:ascii="Arial Narrow" w:hAnsi="Arial Narrow" w:cs="Arial"/>
                <w:sz w:val="24"/>
                <w:szCs w:val="24"/>
              </w:rPr>
            </w:pPr>
            <w:r>
              <w:rPr>
                <w:rFonts w:ascii="Arial Narrow" w:hAnsi="Arial Narrow" w:cs="Arial"/>
                <w:sz w:val="24"/>
                <w:szCs w:val="24"/>
              </w:rPr>
              <w:lastRenderedPageBreak/>
              <w:t>[</w:t>
            </w:r>
            <w:r w:rsidR="00A347AE">
              <w:rPr>
                <w:rFonts w:ascii="Arial Narrow" w:hAnsi="Arial Narrow" w:cs="Arial"/>
                <w:sz w:val="24"/>
                <w:szCs w:val="24"/>
              </w:rPr>
              <w:t xml:space="preserve">6]         </w:t>
            </w:r>
            <w:r w:rsidR="00A9077C">
              <w:rPr>
                <w:rFonts w:ascii="Arial Narrow" w:hAnsi="Arial Narrow" w:cs="Arial"/>
                <w:sz w:val="24"/>
                <w:szCs w:val="24"/>
              </w:rPr>
              <w:t>Counsel</w:t>
            </w:r>
            <w:r w:rsidR="00870753">
              <w:rPr>
                <w:rFonts w:ascii="Arial Narrow" w:hAnsi="Arial Narrow" w:cs="Arial"/>
                <w:sz w:val="24"/>
                <w:szCs w:val="24"/>
              </w:rPr>
              <w:t xml:space="preserve"> </w:t>
            </w:r>
            <w:r>
              <w:rPr>
                <w:rFonts w:ascii="Arial Narrow" w:hAnsi="Arial Narrow" w:cs="Arial"/>
                <w:sz w:val="24"/>
                <w:szCs w:val="24"/>
              </w:rPr>
              <w:t xml:space="preserve">argued that his </w:t>
            </w:r>
            <w:r w:rsidR="009A26B6">
              <w:rPr>
                <w:rFonts w:ascii="Arial Narrow" w:hAnsi="Arial Narrow" w:cs="Arial"/>
                <w:sz w:val="24"/>
                <w:szCs w:val="24"/>
              </w:rPr>
              <w:t>opposition</w:t>
            </w:r>
            <w:r w:rsidR="00F3656C">
              <w:rPr>
                <w:rFonts w:ascii="Arial Narrow" w:hAnsi="Arial Narrow" w:cs="Arial"/>
                <w:sz w:val="24"/>
                <w:szCs w:val="24"/>
              </w:rPr>
              <w:t xml:space="preserve"> to the applicant</w:t>
            </w:r>
            <w:r w:rsidR="009A26B6">
              <w:rPr>
                <w:rFonts w:ascii="Arial Narrow" w:hAnsi="Arial Narrow" w:cs="Arial"/>
                <w:sz w:val="24"/>
                <w:szCs w:val="24"/>
              </w:rPr>
              <w:t xml:space="preserve">’s condonation application is limited to points of law </w:t>
            </w:r>
            <w:r w:rsidR="00CF1E5E">
              <w:rPr>
                <w:rFonts w:ascii="Arial Narrow" w:hAnsi="Arial Narrow" w:cs="Arial"/>
                <w:sz w:val="24"/>
                <w:szCs w:val="24"/>
              </w:rPr>
              <w:t>as he does not take issue with the reasons advanced for the non-compliance</w:t>
            </w:r>
            <w:r w:rsidR="00A241EF">
              <w:rPr>
                <w:rFonts w:ascii="Arial Narrow" w:hAnsi="Arial Narrow" w:cs="Arial"/>
                <w:sz w:val="24"/>
                <w:szCs w:val="24"/>
              </w:rPr>
              <w:t>.</w:t>
            </w:r>
            <w:r w:rsidR="00CF1E5E">
              <w:rPr>
                <w:rFonts w:ascii="Arial Narrow" w:hAnsi="Arial Narrow" w:cs="Arial"/>
                <w:sz w:val="24"/>
                <w:szCs w:val="24"/>
              </w:rPr>
              <w:t xml:space="preserve"> </w:t>
            </w:r>
            <w:r w:rsidR="00370DFB">
              <w:rPr>
                <w:rFonts w:ascii="Arial Narrow" w:hAnsi="Arial Narrow" w:cs="Arial"/>
                <w:sz w:val="24"/>
                <w:szCs w:val="24"/>
              </w:rPr>
              <w:t>He</w:t>
            </w:r>
            <w:r w:rsidR="003151D7">
              <w:rPr>
                <w:rFonts w:ascii="Arial Narrow" w:hAnsi="Arial Narrow" w:cs="Arial"/>
                <w:sz w:val="24"/>
                <w:szCs w:val="24"/>
              </w:rPr>
              <w:t xml:space="preserve"> raised the following points </w:t>
            </w:r>
            <w:r w:rsidR="003151D7" w:rsidRPr="003151D7">
              <w:rPr>
                <w:rFonts w:ascii="Arial Narrow" w:hAnsi="Arial Narrow" w:cs="Arial"/>
                <w:i/>
                <w:sz w:val="24"/>
                <w:szCs w:val="24"/>
              </w:rPr>
              <w:t xml:space="preserve">in </w:t>
            </w:r>
            <w:proofErr w:type="spellStart"/>
            <w:r w:rsidR="003151D7" w:rsidRPr="003151D7">
              <w:rPr>
                <w:rFonts w:ascii="Arial Narrow" w:hAnsi="Arial Narrow" w:cs="Arial"/>
                <w:i/>
                <w:sz w:val="24"/>
                <w:szCs w:val="24"/>
              </w:rPr>
              <w:t>limine</w:t>
            </w:r>
            <w:proofErr w:type="spellEnd"/>
            <w:r w:rsidR="003151D7">
              <w:rPr>
                <w:rFonts w:ascii="Arial Narrow" w:hAnsi="Arial Narrow" w:cs="Arial"/>
                <w:sz w:val="24"/>
                <w:szCs w:val="24"/>
              </w:rPr>
              <w:t>:</w:t>
            </w:r>
          </w:p>
          <w:p w:rsidR="00C65157" w:rsidRDefault="003151D7" w:rsidP="00A17F67">
            <w:pPr>
              <w:pStyle w:val="ListParagraph"/>
              <w:numPr>
                <w:ilvl w:val="0"/>
                <w:numId w:val="13"/>
              </w:numPr>
              <w:tabs>
                <w:tab w:val="left" w:pos="1590"/>
              </w:tabs>
              <w:spacing w:line="360" w:lineRule="auto"/>
              <w:ind w:hanging="588"/>
              <w:jc w:val="both"/>
              <w:rPr>
                <w:rFonts w:ascii="Arial Narrow" w:hAnsi="Arial Narrow" w:cs="Arial"/>
                <w:sz w:val="24"/>
                <w:szCs w:val="24"/>
              </w:rPr>
            </w:pPr>
            <w:r>
              <w:rPr>
                <w:rFonts w:ascii="Arial Narrow" w:hAnsi="Arial Narrow" w:cs="Arial"/>
                <w:sz w:val="24"/>
                <w:szCs w:val="24"/>
              </w:rPr>
              <w:t xml:space="preserve">Plaintiff was </w:t>
            </w:r>
            <w:r w:rsidRPr="00DA016A">
              <w:rPr>
                <w:rFonts w:ascii="Arial Narrow" w:hAnsi="Arial Narrow" w:cs="Arial"/>
                <w:i/>
                <w:sz w:val="24"/>
                <w:szCs w:val="24"/>
              </w:rPr>
              <w:t>ipso facto</w:t>
            </w:r>
            <w:r>
              <w:rPr>
                <w:rFonts w:ascii="Arial Narrow" w:hAnsi="Arial Narrow" w:cs="Arial"/>
                <w:sz w:val="24"/>
                <w:szCs w:val="24"/>
              </w:rPr>
              <w:t xml:space="preserve"> barred for failing to comply with the court order and there is no request by the plaintiff to uplift the automatic bar </w:t>
            </w:r>
            <w:r w:rsidR="00B064C6">
              <w:rPr>
                <w:rFonts w:ascii="Arial Narrow" w:hAnsi="Arial Narrow" w:cs="Arial"/>
                <w:sz w:val="24"/>
                <w:szCs w:val="24"/>
              </w:rPr>
              <w:t>in terms of Rule 54(3)</w:t>
            </w:r>
            <w:r w:rsidR="00B064C6">
              <w:rPr>
                <w:rStyle w:val="FootnoteReference"/>
                <w:rFonts w:ascii="Arial Narrow" w:hAnsi="Arial Narrow" w:cs="Arial"/>
                <w:sz w:val="24"/>
                <w:szCs w:val="24"/>
              </w:rPr>
              <w:footnoteReference w:id="1"/>
            </w:r>
            <w:r w:rsidR="00B064C6">
              <w:rPr>
                <w:rFonts w:ascii="Arial Narrow" w:hAnsi="Arial Narrow" w:cs="Arial"/>
                <w:sz w:val="24"/>
                <w:szCs w:val="24"/>
              </w:rPr>
              <w:t xml:space="preserve">. He </w:t>
            </w:r>
            <w:r w:rsidR="00F3656C">
              <w:rPr>
                <w:rFonts w:ascii="Arial Narrow" w:hAnsi="Arial Narrow" w:cs="Arial"/>
                <w:sz w:val="24"/>
                <w:szCs w:val="24"/>
              </w:rPr>
              <w:t>argued</w:t>
            </w:r>
            <w:r w:rsidR="00B064C6">
              <w:rPr>
                <w:rFonts w:ascii="Arial Narrow" w:hAnsi="Arial Narrow" w:cs="Arial"/>
                <w:sz w:val="24"/>
                <w:szCs w:val="24"/>
              </w:rPr>
              <w:t xml:space="preserve"> that Ms Jason’s </w:t>
            </w:r>
            <w:r w:rsidR="00DA016A">
              <w:rPr>
                <w:rFonts w:ascii="Arial Narrow" w:hAnsi="Arial Narrow" w:cs="Arial"/>
                <w:sz w:val="24"/>
                <w:szCs w:val="24"/>
              </w:rPr>
              <w:t xml:space="preserve">founding affidavit </w:t>
            </w:r>
            <w:r w:rsidR="00370DFB">
              <w:rPr>
                <w:rFonts w:ascii="Arial Narrow" w:hAnsi="Arial Narrow" w:cs="Arial"/>
                <w:sz w:val="24"/>
                <w:szCs w:val="24"/>
              </w:rPr>
              <w:t xml:space="preserve">does not attempt </w:t>
            </w:r>
            <w:r w:rsidR="00DA016A">
              <w:rPr>
                <w:rFonts w:ascii="Arial Narrow" w:hAnsi="Arial Narrow" w:cs="Arial"/>
                <w:sz w:val="24"/>
                <w:szCs w:val="24"/>
              </w:rPr>
              <w:t>to address the</w:t>
            </w:r>
            <w:r w:rsidR="00B064C6">
              <w:rPr>
                <w:rFonts w:ascii="Arial Narrow" w:hAnsi="Arial Narrow" w:cs="Arial"/>
                <w:sz w:val="24"/>
                <w:szCs w:val="24"/>
              </w:rPr>
              <w:t xml:space="preserve"> peremptory requirements in Rule 55.  </w:t>
            </w:r>
          </w:p>
          <w:p w:rsidR="00DA016A" w:rsidRDefault="00DA016A" w:rsidP="00A17F67">
            <w:pPr>
              <w:pStyle w:val="ListParagraph"/>
              <w:numPr>
                <w:ilvl w:val="0"/>
                <w:numId w:val="13"/>
              </w:numPr>
              <w:tabs>
                <w:tab w:val="left" w:pos="1590"/>
              </w:tabs>
              <w:spacing w:line="360" w:lineRule="auto"/>
              <w:ind w:hanging="588"/>
              <w:jc w:val="both"/>
              <w:rPr>
                <w:rFonts w:ascii="Arial Narrow" w:hAnsi="Arial Narrow" w:cs="Arial"/>
                <w:sz w:val="24"/>
                <w:szCs w:val="24"/>
              </w:rPr>
            </w:pPr>
            <w:r>
              <w:rPr>
                <w:rFonts w:ascii="Arial Narrow" w:hAnsi="Arial Narrow" w:cs="Arial"/>
                <w:sz w:val="24"/>
                <w:szCs w:val="24"/>
              </w:rPr>
              <w:t xml:space="preserve">There is further no attempt </w:t>
            </w:r>
            <w:r w:rsidR="00F3656C">
              <w:rPr>
                <w:rFonts w:ascii="Arial Narrow" w:hAnsi="Arial Narrow" w:cs="Arial"/>
                <w:sz w:val="24"/>
                <w:szCs w:val="24"/>
              </w:rPr>
              <w:t>by the applicant</w:t>
            </w:r>
            <w:r>
              <w:rPr>
                <w:rFonts w:ascii="Arial Narrow" w:hAnsi="Arial Narrow" w:cs="Arial"/>
                <w:sz w:val="24"/>
                <w:szCs w:val="24"/>
              </w:rPr>
              <w:t xml:space="preserve"> to address the peremptory requirements in Rule 56.</w:t>
            </w:r>
          </w:p>
          <w:p w:rsidR="00DA016A" w:rsidRDefault="00DA016A" w:rsidP="00A17F67">
            <w:pPr>
              <w:pStyle w:val="ListParagraph"/>
              <w:numPr>
                <w:ilvl w:val="0"/>
                <w:numId w:val="13"/>
              </w:numPr>
              <w:tabs>
                <w:tab w:val="left" w:pos="1590"/>
              </w:tabs>
              <w:spacing w:line="360" w:lineRule="auto"/>
              <w:ind w:hanging="588"/>
              <w:jc w:val="both"/>
              <w:rPr>
                <w:rFonts w:ascii="Arial Narrow" w:hAnsi="Arial Narrow" w:cs="Arial"/>
                <w:sz w:val="24"/>
                <w:szCs w:val="24"/>
              </w:rPr>
            </w:pPr>
            <w:r>
              <w:rPr>
                <w:rFonts w:ascii="Arial Narrow" w:hAnsi="Arial Narrow" w:cs="Arial"/>
                <w:sz w:val="24"/>
                <w:szCs w:val="24"/>
              </w:rPr>
              <w:t xml:space="preserve">The Rule 32(10) report shows that the plaintiff simply pays lip service to the Rules of Court. </w:t>
            </w:r>
          </w:p>
          <w:p w:rsidR="00DA016A" w:rsidRPr="00DA016A" w:rsidRDefault="00DA016A" w:rsidP="00A17F67">
            <w:pPr>
              <w:pStyle w:val="ListParagraph"/>
              <w:numPr>
                <w:ilvl w:val="0"/>
                <w:numId w:val="13"/>
              </w:numPr>
              <w:tabs>
                <w:tab w:val="left" w:pos="1590"/>
              </w:tabs>
              <w:spacing w:line="360" w:lineRule="auto"/>
              <w:ind w:hanging="588"/>
              <w:jc w:val="both"/>
              <w:rPr>
                <w:rFonts w:ascii="Arial Narrow" w:hAnsi="Arial Narrow" w:cs="Arial"/>
                <w:sz w:val="24"/>
                <w:szCs w:val="24"/>
              </w:rPr>
            </w:pPr>
            <w:r>
              <w:rPr>
                <w:rFonts w:ascii="Arial Narrow" w:hAnsi="Arial Narrow" w:cs="Arial"/>
                <w:sz w:val="24"/>
                <w:szCs w:val="24"/>
              </w:rPr>
              <w:t xml:space="preserve">Plaintiff failed to address any prospects of success it has in the rule 61 application. </w:t>
            </w:r>
          </w:p>
          <w:p w:rsidR="008B6695" w:rsidRDefault="008B6695" w:rsidP="00DA6472">
            <w:pPr>
              <w:tabs>
                <w:tab w:val="left" w:pos="2085"/>
              </w:tabs>
              <w:spacing w:line="360" w:lineRule="auto"/>
              <w:jc w:val="both"/>
              <w:rPr>
                <w:rFonts w:ascii="Arial Narrow" w:hAnsi="Arial Narrow" w:cs="Arial"/>
                <w:sz w:val="24"/>
                <w:szCs w:val="24"/>
              </w:rPr>
            </w:pPr>
          </w:p>
          <w:p w:rsidR="009737C0" w:rsidRDefault="00A347AE"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[7</w:t>
            </w:r>
            <w:r w:rsidR="008B6695">
              <w:rPr>
                <w:rFonts w:ascii="Arial Narrow" w:hAnsi="Arial Narrow" w:cs="Arial"/>
                <w:sz w:val="24"/>
                <w:szCs w:val="24"/>
              </w:rPr>
              <w:t xml:space="preserve">]     </w:t>
            </w:r>
            <w:r w:rsidR="00B931A0">
              <w:rPr>
                <w:rFonts w:ascii="Arial Narrow" w:hAnsi="Arial Narrow" w:cs="Arial"/>
                <w:sz w:val="24"/>
                <w:szCs w:val="24"/>
              </w:rPr>
              <w:t xml:space="preserve">  </w:t>
            </w:r>
            <w:r w:rsidR="00AF7A07">
              <w:rPr>
                <w:rFonts w:ascii="Arial Narrow" w:hAnsi="Arial Narrow" w:cs="Arial"/>
                <w:sz w:val="24"/>
                <w:szCs w:val="24"/>
              </w:rPr>
              <w:t xml:space="preserve">   </w:t>
            </w:r>
            <w:r w:rsidR="00DA016A">
              <w:rPr>
                <w:rFonts w:ascii="Arial Narrow" w:hAnsi="Arial Narrow" w:cs="Arial"/>
                <w:sz w:val="24"/>
                <w:szCs w:val="24"/>
              </w:rPr>
              <w:t xml:space="preserve">Mr </w:t>
            </w:r>
            <w:proofErr w:type="spellStart"/>
            <w:r w:rsidR="00DA016A">
              <w:rPr>
                <w:rFonts w:ascii="Arial Narrow" w:hAnsi="Arial Narrow" w:cs="Arial"/>
                <w:sz w:val="24"/>
                <w:szCs w:val="24"/>
              </w:rPr>
              <w:t>Kauta</w:t>
            </w:r>
            <w:proofErr w:type="spellEnd"/>
            <w:r w:rsidR="00DA016A">
              <w:rPr>
                <w:rFonts w:ascii="Arial Narrow" w:hAnsi="Arial Narrow" w:cs="Arial"/>
                <w:sz w:val="24"/>
                <w:szCs w:val="24"/>
              </w:rPr>
              <w:t xml:space="preserve"> argued that the points </w:t>
            </w:r>
            <w:r w:rsidR="00DA016A" w:rsidRPr="00DA016A">
              <w:rPr>
                <w:rFonts w:ascii="Arial Narrow" w:hAnsi="Arial Narrow" w:cs="Arial"/>
                <w:i/>
                <w:sz w:val="24"/>
                <w:szCs w:val="24"/>
              </w:rPr>
              <w:t xml:space="preserve">in </w:t>
            </w:r>
            <w:proofErr w:type="spellStart"/>
            <w:r w:rsidR="00DA016A" w:rsidRPr="00DA016A">
              <w:rPr>
                <w:rFonts w:ascii="Arial Narrow" w:hAnsi="Arial Narrow" w:cs="Arial"/>
                <w:i/>
                <w:sz w:val="24"/>
                <w:szCs w:val="24"/>
              </w:rPr>
              <w:t>limine</w:t>
            </w:r>
            <w:proofErr w:type="spellEnd"/>
            <w:r w:rsidR="00DA016A">
              <w:rPr>
                <w:rFonts w:ascii="Arial Narrow" w:hAnsi="Arial Narrow" w:cs="Arial"/>
                <w:sz w:val="24"/>
                <w:szCs w:val="24"/>
              </w:rPr>
              <w:t xml:space="preserve"> are dispositive</w:t>
            </w:r>
            <w:r w:rsidR="00E93192">
              <w:rPr>
                <w:rFonts w:ascii="Arial Narrow" w:hAnsi="Arial Narrow" w:cs="Arial"/>
                <w:sz w:val="24"/>
                <w:szCs w:val="24"/>
              </w:rPr>
              <w:t xml:space="preserve"> of the applicant</w:t>
            </w:r>
            <w:r w:rsidR="00DA016A">
              <w:rPr>
                <w:rFonts w:ascii="Arial Narrow" w:hAnsi="Arial Narrow" w:cs="Arial"/>
                <w:sz w:val="24"/>
                <w:szCs w:val="24"/>
              </w:rPr>
              <w:t>’s application without the Court having to consider the merits.</w:t>
            </w:r>
          </w:p>
          <w:p w:rsidR="000365F2" w:rsidRDefault="000365F2" w:rsidP="00DA6472">
            <w:pPr>
              <w:tabs>
                <w:tab w:val="left" w:pos="2085"/>
              </w:tabs>
              <w:spacing w:line="360" w:lineRule="auto"/>
              <w:jc w:val="both"/>
              <w:rPr>
                <w:rFonts w:ascii="Arial Narrow" w:hAnsi="Arial Narrow" w:cs="Arial"/>
                <w:sz w:val="24"/>
                <w:szCs w:val="24"/>
              </w:rPr>
            </w:pPr>
          </w:p>
          <w:p w:rsidR="000365F2" w:rsidRDefault="000365F2"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8</w:t>
            </w:r>
            <w:r w:rsidR="00AF7A07">
              <w:rPr>
                <w:rFonts w:ascii="Arial Narrow" w:hAnsi="Arial Narrow" w:cs="Arial"/>
                <w:sz w:val="24"/>
                <w:szCs w:val="24"/>
              </w:rPr>
              <w:t xml:space="preserve">]         </w:t>
            </w:r>
            <w:r w:rsidR="00C614E4">
              <w:rPr>
                <w:rFonts w:ascii="Arial Narrow" w:hAnsi="Arial Narrow" w:cs="Arial"/>
                <w:sz w:val="24"/>
                <w:szCs w:val="24"/>
              </w:rPr>
              <w:t xml:space="preserve">Counsel argued that he does not agree with the </w:t>
            </w:r>
            <w:r w:rsidR="00DB3F0B">
              <w:rPr>
                <w:rFonts w:ascii="Arial Narrow" w:hAnsi="Arial Narrow" w:cs="Arial"/>
                <w:sz w:val="24"/>
                <w:szCs w:val="24"/>
              </w:rPr>
              <w:t>applicant</w:t>
            </w:r>
            <w:r w:rsidR="00C614E4">
              <w:rPr>
                <w:rFonts w:ascii="Arial Narrow" w:hAnsi="Arial Narrow" w:cs="Arial"/>
                <w:sz w:val="24"/>
                <w:szCs w:val="24"/>
              </w:rPr>
              <w:t xml:space="preserve"> that a bar in terms of</w:t>
            </w:r>
            <w:r w:rsidR="00865F24">
              <w:rPr>
                <w:rFonts w:ascii="Arial Narrow" w:hAnsi="Arial Narrow" w:cs="Arial"/>
                <w:sz w:val="24"/>
                <w:szCs w:val="24"/>
              </w:rPr>
              <w:t xml:space="preserve"> rule 54</w:t>
            </w:r>
            <w:r w:rsidR="00C614E4">
              <w:rPr>
                <w:rFonts w:ascii="Arial Narrow" w:hAnsi="Arial Narrow" w:cs="Arial"/>
                <w:sz w:val="24"/>
                <w:szCs w:val="24"/>
              </w:rPr>
              <w:t xml:space="preserve"> only relates to a pleading because the rule does not use the word ‘pleading’ however it uses the word ‘rule, practice direction or court order.’</w:t>
            </w:r>
            <w:r w:rsidR="0098471B">
              <w:rPr>
                <w:rFonts w:ascii="Arial Narrow" w:hAnsi="Arial Narrow" w:cs="Arial"/>
                <w:sz w:val="24"/>
                <w:szCs w:val="24"/>
              </w:rPr>
              <w:t xml:space="preserve"> He argued that there was a court order that needed to be complied with and to come to court to argue that a party can simply ignore the court order because heads of arguments are not pleadings is being disingenuous. </w:t>
            </w:r>
            <w:r w:rsidR="00C614E4">
              <w:rPr>
                <w:rFonts w:ascii="Arial Narrow" w:hAnsi="Arial Narrow" w:cs="Arial"/>
                <w:sz w:val="24"/>
                <w:szCs w:val="24"/>
              </w:rPr>
              <w:t xml:space="preserve">   </w:t>
            </w:r>
          </w:p>
          <w:p w:rsidR="00FA7925" w:rsidRDefault="00FA7925" w:rsidP="00DA6472">
            <w:pPr>
              <w:tabs>
                <w:tab w:val="left" w:pos="2085"/>
              </w:tabs>
              <w:spacing w:line="360" w:lineRule="auto"/>
              <w:jc w:val="both"/>
              <w:rPr>
                <w:rFonts w:ascii="Arial Narrow" w:hAnsi="Arial Narrow" w:cs="Arial"/>
                <w:sz w:val="24"/>
                <w:szCs w:val="24"/>
              </w:rPr>
            </w:pPr>
          </w:p>
          <w:p w:rsidR="00B931A0" w:rsidRDefault="00A347AE"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[9</w:t>
            </w:r>
            <w:r w:rsidR="00FA7925">
              <w:rPr>
                <w:rFonts w:ascii="Arial Narrow" w:hAnsi="Arial Narrow" w:cs="Arial"/>
                <w:sz w:val="24"/>
                <w:szCs w:val="24"/>
              </w:rPr>
              <w:t xml:space="preserve">]     </w:t>
            </w:r>
            <w:r w:rsidR="00B931A0">
              <w:rPr>
                <w:rFonts w:ascii="Arial Narrow" w:hAnsi="Arial Narrow" w:cs="Arial"/>
                <w:sz w:val="24"/>
                <w:szCs w:val="24"/>
              </w:rPr>
              <w:t xml:space="preserve">  </w:t>
            </w:r>
            <w:r w:rsidR="009B1DFD">
              <w:rPr>
                <w:rFonts w:ascii="Arial Narrow" w:hAnsi="Arial Narrow" w:cs="Arial"/>
                <w:sz w:val="24"/>
                <w:szCs w:val="24"/>
              </w:rPr>
              <w:t xml:space="preserve">  </w:t>
            </w:r>
            <w:r w:rsidR="00567A34">
              <w:rPr>
                <w:rFonts w:ascii="Arial Narrow" w:hAnsi="Arial Narrow" w:cs="Arial"/>
                <w:sz w:val="24"/>
                <w:szCs w:val="24"/>
              </w:rPr>
              <w:t>Counsel</w:t>
            </w:r>
            <w:r w:rsidR="009737C0">
              <w:rPr>
                <w:rFonts w:ascii="Arial Narrow" w:hAnsi="Arial Narrow" w:cs="Arial"/>
                <w:sz w:val="24"/>
                <w:szCs w:val="24"/>
              </w:rPr>
              <w:t xml:space="preserve"> submitted that if an applicant is to succeed with an application for condonation, the applicant </w:t>
            </w:r>
            <w:r w:rsidR="003220DD">
              <w:rPr>
                <w:rFonts w:ascii="Arial Narrow" w:hAnsi="Arial Narrow" w:cs="Arial"/>
                <w:sz w:val="24"/>
                <w:szCs w:val="24"/>
              </w:rPr>
              <w:t>must satisfactorily explain the reasons for not complying with the court order and allege reasonable prospects of success.</w:t>
            </w:r>
            <w:r w:rsidR="00D80C26">
              <w:rPr>
                <w:rFonts w:ascii="Arial Narrow" w:hAnsi="Arial Narrow" w:cs="Arial"/>
                <w:sz w:val="24"/>
                <w:szCs w:val="24"/>
              </w:rPr>
              <w:t xml:space="preserve"> He argued that condonation is not a mere formality and</w:t>
            </w:r>
            <w:r w:rsidR="003E54C3">
              <w:rPr>
                <w:rFonts w:ascii="Arial Narrow" w:hAnsi="Arial Narrow" w:cs="Arial"/>
                <w:sz w:val="24"/>
                <w:szCs w:val="24"/>
              </w:rPr>
              <w:t xml:space="preserve"> not for the mere asking.</w:t>
            </w:r>
            <w:r w:rsidR="00D80C26">
              <w:rPr>
                <w:rFonts w:ascii="Arial Narrow" w:hAnsi="Arial Narrow" w:cs="Arial"/>
                <w:sz w:val="24"/>
                <w:szCs w:val="24"/>
              </w:rPr>
              <w:t xml:space="preserve"> </w:t>
            </w:r>
            <w:r w:rsidR="003E54C3">
              <w:rPr>
                <w:rFonts w:ascii="Arial Narrow" w:hAnsi="Arial Narrow" w:cs="Arial"/>
                <w:sz w:val="24"/>
                <w:szCs w:val="24"/>
              </w:rPr>
              <w:t>The</w:t>
            </w:r>
            <w:r w:rsidR="00D80C26">
              <w:rPr>
                <w:rFonts w:ascii="Arial Narrow" w:hAnsi="Arial Narrow" w:cs="Arial"/>
                <w:sz w:val="24"/>
                <w:szCs w:val="24"/>
              </w:rPr>
              <w:t xml:space="preserve"> Court must be satisfied that there is cause to warrant the condonation. </w:t>
            </w:r>
            <w:r w:rsidR="00346AB7">
              <w:rPr>
                <w:rFonts w:ascii="Arial Narrow" w:hAnsi="Arial Narrow" w:cs="Arial"/>
                <w:sz w:val="24"/>
                <w:szCs w:val="24"/>
              </w:rPr>
              <w:t>He argued that t</w:t>
            </w:r>
            <w:r w:rsidR="00D80C26">
              <w:rPr>
                <w:rFonts w:ascii="Arial Narrow" w:hAnsi="Arial Narrow" w:cs="Arial"/>
                <w:sz w:val="24"/>
                <w:szCs w:val="24"/>
              </w:rPr>
              <w:t xml:space="preserve">he </w:t>
            </w:r>
            <w:r w:rsidR="003E54C3">
              <w:rPr>
                <w:rFonts w:ascii="Arial Narrow" w:hAnsi="Arial Narrow" w:cs="Arial"/>
                <w:sz w:val="24"/>
                <w:szCs w:val="24"/>
              </w:rPr>
              <w:t>applicant</w:t>
            </w:r>
            <w:r w:rsidR="00346AB7">
              <w:rPr>
                <w:rFonts w:ascii="Arial Narrow" w:hAnsi="Arial Narrow" w:cs="Arial"/>
                <w:sz w:val="24"/>
                <w:szCs w:val="24"/>
              </w:rPr>
              <w:t xml:space="preserve"> </w:t>
            </w:r>
            <w:r w:rsidR="00D80C26">
              <w:rPr>
                <w:rFonts w:ascii="Arial Narrow" w:hAnsi="Arial Narrow" w:cs="Arial"/>
                <w:sz w:val="24"/>
                <w:szCs w:val="24"/>
              </w:rPr>
              <w:t>failed to discharge that onus by failing to deal with a substantive element of the condonation application</w:t>
            </w:r>
            <w:r w:rsidR="00FA29EF">
              <w:rPr>
                <w:rFonts w:ascii="Arial Narrow" w:hAnsi="Arial Narrow" w:cs="Arial"/>
                <w:sz w:val="24"/>
                <w:szCs w:val="24"/>
              </w:rPr>
              <w:t xml:space="preserve">, which is </w:t>
            </w:r>
            <w:r w:rsidR="00A564BC">
              <w:rPr>
                <w:rFonts w:ascii="Arial Narrow" w:hAnsi="Arial Narrow" w:cs="Arial"/>
                <w:sz w:val="24"/>
                <w:szCs w:val="24"/>
              </w:rPr>
              <w:t>to allege</w:t>
            </w:r>
            <w:r w:rsidR="00FA29EF">
              <w:rPr>
                <w:rFonts w:ascii="Arial Narrow" w:hAnsi="Arial Narrow" w:cs="Arial"/>
                <w:sz w:val="24"/>
                <w:szCs w:val="24"/>
              </w:rPr>
              <w:t xml:space="preserve"> </w:t>
            </w:r>
            <w:r w:rsidR="00CF4FFF">
              <w:rPr>
                <w:rFonts w:ascii="Arial Narrow" w:hAnsi="Arial Narrow" w:cs="Arial"/>
                <w:sz w:val="24"/>
                <w:szCs w:val="24"/>
              </w:rPr>
              <w:t>prospects of success</w:t>
            </w:r>
            <w:r w:rsidR="00D80C26">
              <w:rPr>
                <w:rFonts w:ascii="Arial Narrow" w:hAnsi="Arial Narrow" w:cs="Arial"/>
                <w:sz w:val="24"/>
                <w:szCs w:val="24"/>
              </w:rPr>
              <w:t xml:space="preserve">. </w:t>
            </w:r>
            <w:r w:rsidR="00B07803">
              <w:rPr>
                <w:rFonts w:ascii="Arial Narrow" w:hAnsi="Arial Narrow" w:cs="Arial"/>
                <w:sz w:val="24"/>
                <w:szCs w:val="24"/>
              </w:rPr>
              <w:t xml:space="preserve">He indicated that applicant </w:t>
            </w:r>
            <w:r w:rsidR="00B931A0">
              <w:rPr>
                <w:rFonts w:ascii="Arial Narrow" w:hAnsi="Arial Narrow" w:cs="Arial"/>
                <w:sz w:val="24"/>
                <w:szCs w:val="24"/>
              </w:rPr>
              <w:t xml:space="preserve">could have remedied the founding affidavit for failing to address prospects of success by filing a replying affidavit, however the </w:t>
            </w:r>
            <w:r w:rsidR="005D4ED9">
              <w:rPr>
                <w:rFonts w:ascii="Arial Narrow" w:hAnsi="Arial Narrow" w:cs="Arial"/>
                <w:sz w:val="24"/>
                <w:szCs w:val="24"/>
              </w:rPr>
              <w:t>applicant</w:t>
            </w:r>
            <w:r w:rsidR="00B931A0">
              <w:rPr>
                <w:rFonts w:ascii="Arial Narrow" w:hAnsi="Arial Narrow" w:cs="Arial"/>
                <w:sz w:val="24"/>
                <w:szCs w:val="24"/>
              </w:rPr>
              <w:t xml:space="preserve"> failed to do that. Counsel argued that it is completely wrong for a party to address something that is factual in its heads of arguments as heads do not constitute evidence. Counsel further argued that even if it were to be found by Court that </w:t>
            </w:r>
            <w:r w:rsidR="00EC27D4">
              <w:rPr>
                <w:rFonts w:ascii="Arial Narrow" w:hAnsi="Arial Narrow" w:cs="Arial"/>
                <w:sz w:val="24"/>
                <w:szCs w:val="24"/>
              </w:rPr>
              <w:t xml:space="preserve">the </w:t>
            </w:r>
            <w:r w:rsidR="00887270">
              <w:rPr>
                <w:rFonts w:ascii="Arial Narrow" w:hAnsi="Arial Narrow" w:cs="Arial"/>
                <w:sz w:val="24"/>
                <w:szCs w:val="24"/>
              </w:rPr>
              <w:t>applicant</w:t>
            </w:r>
            <w:r w:rsidR="00EC27D4">
              <w:rPr>
                <w:rFonts w:ascii="Arial Narrow" w:hAnsi="Arial Narrow" w:cs="Arial"/>
                <w:sz w:val="24"/>
                <w:szCs w:val="24"/>
              </w:rPr>
              <w:t xml:space="preserve"> was not wrong in addressing </w:t>
            </w:r>
            <w:r w:rsidR="00B931A0">
              <w:rPr>
                <w:rFonts w:ascii="Arial Narrow" w:hAnsi="Arial Narrow" w:cs="Arial"/>
                <w:sz w:val="24"/>
                <w:szCs w:val="24"/>
              </w:rPr>
              <w:t>prospects of success in</w:t>
            </w:r>
            <w:r w:rsidR="00EC27D4">
              <w:rPr>
                <w:rFonts w:ascii="Arial Narrow" w:hAnsi="Arial Narrow" w:cs="Arial"/>
                <w:sz w:val="24"/>
                <w:szCs w:val="24"/>
              </w:rPr>
              <w:t xml:space="preserve"> the</w:t>
            </w:r>
            <w:r w:rsidR="00B931A0">
              <w:rPr>
                <w:rFonts w:ascii="Arial Narrow" w:hAnsi="Arial Narrow" w:cs="Arial"/>
                <w:sz w:val="24"/>
                <w:szCs w:val="24"/>
              </w:rPr>
              <w:t xml:space="preserve"> heads, </w:t>
            </w:r>
            <w:r w:rsidR="000A3B76">
              <w:rPr>
                <w:rFonts w:ascii="Arial Narrow" w:hAnsi="Arial Narrow" w:cs="Arial"/>
                <w:sz w:val="24"/>
                <w:szCs w:val="24"/>
              </w:rPr>
              <w:t>applicant</w:t>
            </w:r>
            <w:r w:rsidR="00B931A0">
              <w:rPr>
                <w:rFonts w:ascii="Arial Narrow" w:hAnsi="Arial Narrow" w:cs="Arial"/>
                <w:sz w:val="24"/>
                <w:szCs w:val="24"/>
              </w:rPr>
              <w:t xml:space="preserve"> </w:t>
            </w:r>
            <w:r w:rsidR="00803A1C">
              <w:rPr>
                <w:rFonts w:ascii="Arial Narrow" w:hAnsi="Arial Narrow" w:cs="Arial"/>
                <w:sz w:val="24"/>
                <w:szCs w:val="24"/>
              </w:rPr>
              <w:t>failed to address the prospects of success in the Rule 61 application</w:t>
            </w:r>
            <w:r w:rsidR="00EC27D4">
              <w:rPr>
                <w:rFonts w:ascii="Arial Narrow" w:hAnsi="Arial Narrow" w:cs="Arial"/>
                <w:sz w:val="24"/>
                <w:szCs w:val="24"/>
              </w:rPr>
              <w:t xml:space="preserve"> (interlocutory application) and</w:t>
            </w:r>
            <w:r w:rsidR="00803A1C">
              <w:rPr>
                <w:rFonts w:ascii="Arial Narrow" w:hAnsi="Arial Narrow" w:cs="Arial"/>
                <w:sz w:val="24"/>
                <w:szCs w:val="24"/>
              </w:rPr>
              <w:t xml:space="preserve"> only dealt with prospect of success in the main matter. </w:t>
            </w:r>
            <w:r w:rsidR="000365F2">
              <w:rPr>
                <w:rFonts w:ascii="Arial Narrow" w:hAnsi="Arial Narrow" w:cs="Arial"/>
                <w:sz w:val="24"/>
                <w:szCs w:val="24"/>
              </w:rPr>
              <w:t xml:space="preserve">The condonation application must therefore fail on that reason alone together with the concession made. </w:t>
            </w:r>
          </w:p>
          <w:p w:rsidR="00B931A0" w:rsidRDefault="00B931A0" w:rsidP="00DA6472">
            <w:pPr>
              <w:tabs>
                <w:tab w:val="left" w:pos="2085"/>
              </w:tabs>
              <w:spacing w:line="360" w:lineRule="auto"/>
              <w:jc w:val="both"/>
              <w:rPr>
                <w:rFonts w:ascii="Arial Narrow" w:hAnsi="Arial Narrow" w:cs="Arial"/>
                <w:sz w:val="24"/>
                <w:szCs w:val="24"/>
              </w:rPr>
            </w:pPr>
          </w:p>
          <w:p w:rsidR="00FA7925" w:rsidRPr="000D648A" w:rsidRDefault="00B931A0"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10</w:t>
            </w:r>
            <w:r>
              <w:rPr>
                <w:rFonts w:ascii="Arial Narrow" w:hAnsi="Arial Narrow" w:cs="Arial"/>
                <w:sz w:val="24"/>
                <w:szCs w:val="24"/>
              </w:rPr>
              <w:t xml:space="preserve">]        </w:t>
            </w:r>
            <w:r w:rsidR="00815033">
              <w:rPr>
                <w:rFonts w:ascii="Arial Narrow" w:hAnsi="Arial Narrow" w:cs="Arial"/>
                <w:sz w:val="24"/>
                <w:szCs w:val="24"/>
              </w:rPr>
              <w:t xml:space="preserve"> </w:t>
            </w:r>
            <w:r w:rsidR="000E0CB0">
              <w:rPr>
                <w:rFonts w:ascii="Arial Narrow" w:hAnsi="Arial Narrow" w:cs="Arial"/>
                <w:sz w:val="24"/>
                <w:szCs w:val="24"/>
              </w:rPr>
              <w:t>Counsel further</w:t>
            </w:r>
            <w:r w:rsidR="0017123B">
              <w:rPr>
                <w:rFonts w:ascii="Arial Narrow" w:hAnsi="Arial Narrow" w:cs="Arial"/>
                <w:sz w:val="24"/>
                <w:szCs w:val="24"/>
              </w:rPr>
              <w:t xml:space="preserve"> argued</w:t>
            </w:r>
            <w:r w:rsidR="000E0CB0">
              <w:rPr>
                <w:rFonts w:ascii="Arial Narrow" w:hAnsi="Arial Narrow" w:cs="Arial"/>
                <w:sz w:val="24"/>
                <w:szCs w:val="24"/>
              </w:rPr>
              <w:t xml:space="preserve"> that the </w:t>
            </w:r>
            <w:r w:rsidR="00A15AE2">
              <w:rPr>
                <w:rFonts w:ascii="Arial Narrow" w:hAnsi="Arial Narrow" w:cs="Arial"/>
                <w:sz w:val="24"/>
                <w:szCs w:val="24"/>
              </w:rPr>
              <w:t>applicant</w:t>
            </w:r>
            <w:r w:rsidR="000E0CB0">
              <w:rPr>
                <w:rFonts w:ascii="Arial Narrow" w:hAnsi="Arial Narrow" w:cs="Arial"/>
                <w:sz w:val="24"/>
                <w:szCs w:val="24"/>
              </w:rPr>
              <w:t xml:space="preserve"> failed to explain how the delay came about and also fails to explain the duration of the delay as an applicant is required to tender a detailed and accurate explanation for the delay. </w:t>
            </w:r>
          </w:p>
          <w:p w:rsidR="00296593" w:rsidRPr="000D648A" w:rsidRDefault="00296593" w:rsidP="00DA6472">
            <w:pPr>
              <w:tabs>
                <w:tab w:val="left" w:pos="2085"/>
              </w:tabs>
              <w:spacing w:line="360" w:lineRule="auto"/>
              <w:jc w:val="both"/>
              <w:rPr>
                <w:rFonts w:ascii="Arial Narrow" w:hAnsi="Arial Narrow" w:cs="Arial"/>
                <w:sz w:val="24"/>
                <w:szCs w:val="24"/>
              </w:rPr>
            </w:pPr>
          </w:p>
          <w:p w:rsidR="007A537D" w:rsidRPr="000D648A" w:rsidRDefault="00A347AE"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[11</w:t>
            </w:r>
            <w:r w:rsidR="00296593" w:rsidRPr="000D648A">
              <w:rPr>
                <w:rFonts w:ascii="Arial Narrow" w:hAnsi="Arial Narrow" w:cs="Arial"/>
                <w:sz w:val="24"/>
                <w:szCs w:val="24"/>
              </w:rPr>
              <w:t xml:space="preserve">]     </w:t>
            </w:r>
            <w:r w:rsidR="00C366B0">
              <w:rPr>
                <w:rFonts w:ascii="Arial Narrow" w:hAnsi="Arial Narrow" w:cs="Arial"/>
                <w:sz w:val="24"/>
                <w:szCs w:val="24"/>
              </w:rPr>
              <w:t xml:space="preserve"> </w:t>
            </w:r>
            <w:r w:rsidR="00887AD4">
              <w:rPr>
                <w:rFonts w:ascii="Arial Narrow" w:hAnsi="Arial Narrow" w:cs="Arial"/>
                <w:sz w:val="24"/>
                <w:szCs w:val="24"/>
              </w:rPr>
              <w:t xml:space="preserve"> </w:t>
            </w:r>
            <w:r w:rsidR="00815033" w:rsidRPr="000D648A">
              <w:rPr>
                <w:rFonts w:ascii="Arial Narrow" w:hAnsi="Arial Narrow" w:cs="Arial"/>
                <w:sz w:val="24"/>
                <w:szCs w:val="24"/>
              </w:rPr>
              <w:t>Counsel</w:t>
            </w:r>
            <w:r w:rsidR="00815033">
              <w:rPr>
                <w:rFonts w:ascii="Arial Narrow" w:hAnsi="Arial Narrow" w:cs="Arial"/>
                <w:sz w:val="24"/>
                <w:szCs w:val="24"/>
              </w:rPr>
              <w:t xml:space="preserve"> submitted</w:t>
            </w:r>
            <w:r w:rsidR="00CC4F56">
              <w:rPr>
                <w:rFonts w:ascii="Arial Narrow" w:hAnsi="Arial Narrow" w:cs="Arial"/>
                <w:sz w:val="24"/>
                <w:szCs w:val="24"/>
              </w:rPr>
              <w:t xml:space="preserve"> that the first respondent</w:t>
            </w:r>
            <w:r w:rsidR="008847B0">
              <w:rPr>
                <w:rFonts w:ascii="Arial Narrow" w:hAnsi="Arial Narrow" w:cs="Arial"/>
                <w:sz w:val="24"/>
                <w:szCs w:val="24"/>
              </w:rPr>
              <w:t xml:space="preserve"> has been unduly prejudiced as the summons were issued on 16 November 2017</w:t>
            </w:r>
            <w:r w:rsidR="00DB37A3">
              <w:rPr>
                <w:rFonts w:ascii="Arial Narrow" w:hAnsi="Arial Narrow" w:cs="Arial"/>
                <w:sz w:val="24"/>
                <w:szCs w:val="24"/>
              </w:rPr>
              <w:t xml:space="preserve"> and the matter has not been set for trial as yet. He </w:t>
            </w:r>
            <w:r w:rsidR="00887AD4">
              <w:rPr>
                <w:rFonts w:ascii="Arial Narrow" w:hAnsi="Arial Narrow" w:cs="Arial"/>
                <w:sz w:val="24"/>
                <w:szCs w:val="24"/>
              </w:rPr>
              <w:t>argued</w:t>
            </w:r>
            <w:r w:rsidR="00DB37A3">
              <w:rPr>
                <w:rFonts w:ascii="Arial Narrow" w:hAnsi="Arial Narrow" w:cs="Arial"/>
                <w:sz w:val="24"/>
                <w:szCs w:val="24"/>
              </w:rPr>
              <w:t xml:space="preserve"> that a further delay in this matter, instituted more than two years ago, puts at risk the availability of witnesses</w:t>
            </w:r>
            <w:r w:rsidR="00975AE0">
              <w:rPr>
                <w:rFonts w:ascii="Arial Narrow" w:hAnsi="Arial Narrow" w:cs="Arial"/>
                <w:sz w:val="24"/>
                <w:szCs w:val="24"/>
              </w:rPr>
              <w:t xml:space="preserve"> due to economic hardship</w:t>
            </w:r>
            <w:r w:rsidR="003F6F67">
              <w:rPr>
                <w:rFonts w:ascii="Arial Narrow" w:hAnsi="Arial Narrow" w:cs="Arial"/>
                <w:sz w:val="24"/>
                <w:szCs w:val="24"/>
              </w:rPr>
              <w:t xml:space="preserve"> </w:t>
            </w:r>
            <w:r w:rsidR="00975AE0">
              <w:rPr>
                <w:rFonts w:ascii="Arial Narrow" w:hAnsi="Arial Narrow" w:cs="Arial"/>
                <w:sz w:val="24"/>
                <w:szCs w:val="24"/>
              </w:rPr>
              <w:t>currently face</w:t>
            </w:r>
            <w:r w:rsidR="003F6F67">
              <w:rPr>
                <w:rFonts w:ascii="Arial Narrow" w:hAnsi="Arial Narrow" w:cs="Arial"/>
                <w:sz w:val="24"/>
                <w:szCs w:val="24"/>
              </w:rPr>
              <w:t>d,</w:t>
            </w:r>
            <w:r w:rsidR="00975AE0">
              <w:rPr>
                <w:rFonts w:ascii="Arial Narrow" w:hAnsi="Arial Narrow" w:cs="Arial"/>
                <w:sz w:val="24"/>
                <w:szCs w:val="24"/>
              </w:rPr>
              <w:t xml:space="preserve"> exacerbated by the COVID-19 pandemic</w:t>
            </w:r>
            <w:r w:rsidR="004C2B3E" w:rsidRPr="000D648A">
              <w:rPr>
                <w:rFonts w:ascii="Arial Narrow" w:hAnsi="Arial Narrow" w:cs="Arial"/>
                <w:sz w:val="24"/>
                <w:szCs w:val="24"/>
              </w:rPr>
              <w:t xml:space="preserve">. </w:t>
            </w:r>
          </w:p>
          <w:p w:rsidR="006240AB" w:rsidRDefault="006240AB" w:rsidP="00DA6472">
            <w:pPr>
              <w:spacing w:line="360" w:lineRule="auto"/>
              <w:jc w:val="both"/>
              <w:rPr>
                <w:rFonts w:ascii="Arial Narrow" w:hAnsi="Arial Narrow" w:cs="Arial"/>
                <w:color w:val="0D0D0D" w:themeColor="text1" w:themeTint="F2"/>
                <w:sz w:val="24"/>
                <w:szCs w:val="24"/>
              </w:rPr>
            </w:pPr>
          </w:p>
          <w:p w:rsidR="00C366B0" w:rsidRDefault="00C366B0" w:rsidP="00EA499C">
            <w:pPr>
              <w:tabs>
                <w:tab w:val="left" w:pos="765"/>
              </w:tabs>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A347AE">
              <w:rPr>
                <w:rFonts w:ascii="Arial Narrow" w:hAnsi="Arial Narrow" w:cs="Arial"/>
                <w:color w:val="0D0D0D" w:themeColor="text1" w:themeTint="F2"/>
                <w:sz w:val="24"/>
                <w:szCs w:val="24"/>
              </w:rPr>
              <w:t>12</w:t>
            </w:r>
            <w:r>
              <w:rPr>
                <w:rFonts w:ascii="Arial Narrow" w:hAnsi="Arial Narrow" w:cs="Arial"/>
                <w:color w:val="0D0D0D" w:themeColor="text1" w:themeTint="F2"/>
                <w:sz w:val="24"/>
                <w:szCs w:val="24"/>
              </w:rPr>
              <w:t>]</w:t>
            </w:r>
            <w:r w:rsidR="005F27DD">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 xml:space="preserve">In response to the </w:t>
            </w:r>
            <w:r w:rsidR="00A05107">
              <w:rPr>
                <w:rFonts w:ascii="Arial Narrow" w:hAnsi="Arial Narrow" w:cs="Arial"/>
                <w:color w:val="0D0D0D" w:themeColor="text1" w:themeTint="F2"/>
                <w:sz w:val="24"/>
                <w:szCs w:val="24"/>
              </w:rPr>
              <w:t xml:space="preserve">points raised </w:t>
            </w:r>
            <w:r>
              <w:rPr>
                <w:rFonts w:ascii="Arial Narrow" w:hAnsi="Arial Narrow" w:cs="Arial"/>
                <w:color w:val="0D0D0D" w:themeColor="text1" w:themeTint="F2"/>
                <w:sz w:val="24"/>
                <w:szCs w:val="24"/>
              </w:rPr>
              <w:t xml:space="preserve">by Mr </w:t>
            </w:r>
            <w:proofErr w:type="spellStart"/>
            <w:r>
              <w:rPr>
                <w:rFonts w:ascii="Arial Narrow" w:hAnsi="Arial Narrow" w:cs="Arial"/>
                <w:color w:val="0D0D0D" w:themeColor="text1" w:themeTint="F2"/>
                <w:sz w:val="24"/>
                <w:szCs w:val="24"/>
              </w:rPr>
              <w:t>Kauta</w:t>
            </w:r>
            <w:proofErr w:type="spellEnd"/>
            <w:r>
              <w:rPr>
                <w:rFonts w:ascii="Arial Narrow" w:hAnsi="Arial Narrow" w:cs="Arial"/>
                <w:color w:val="0D0D0D" w:themeColor="text1" w:themeTint="F2"/>
                <w:sz w:val="24"/>
                <w:szCs w:val="24"/>
              </w:rPr>
              <w:t xml:space="preserve">, </w:t>
            </w:r>
            <w:r w:rsidR="005F27DD">
              <w:rPr>
                <w:rFonts w:ascii="Arial Narrow" w:hAnsi="Arial Narrow" w:cs="Arial"/>
                <w:color w:val="0D0D0D" w:themeColor="text1" w:themeTint="F2"/>
                <w:sz w:val="24"/>
                <w:szCs w:val="24"/>
              </w:rPr>
              <w:t>Ms Jason</w:t>
            </w:r>
            <w:r>
              <w:rPr>
                <w:rFonts w:ascii="Arial Narrow" w:hAnsi="Arial Narrow" w:cs="Arial"/>
                <w:color w:val="0D0D0D" w:themeColor="text1" w:themeTint="F2"/>
                <w:sz w:val="24"/>
                <w:szCs w:val="24"/>
              </w:rPr>
              <w:t xml:space="preserve"> argued </w:t>
            </w:r>
            <w:r w:rsidR="00EA499C">
              <w:rPr>
                <w:rFonts w:ascii="Arial Narrow" w:hAnsi="Arial Narrow" w:cs="Arial"/>
                <w:color w:val="0D0D0D" w:themeColor="text1" w:themeTint="F2"/>
                <w:sz w:val="24"/>
                <w:szCs w:val="24"/>
              </w:rPr>
              <w:t xml:space="preserve">that heads of arguments are not pleadings and rule 54 is very clear in terms of when a party is automatically barred. A party is only automatically barred when it has failed to file a </w:t>
            </w:r>
            <w:r w:rsidR="00B2692D">
              <w:rPr>
                <w:rFonts w:ascii="Arial Narrow" w:hAnsi="Arial Narrow" w:cs="Arial"/>
                <w:color w:val="0D0D0D" w:themeColor="text1" w:themeTint="F2"/>
                <w:sz w:val="24"/>
                <w:szCs w:val="24"/>
              </w:rPr>
              <w:t>p</w:t>
            </w:r>
            <w:r w:rsidR="00EA499C">
              <w:rPr>
                <w:rFonts w:ascii="Arial Narrow" w:hAnsi="Arial Narrow" w:cs="Arial"/>
                <w:color w:val="0D0D0D" w:themeColor="text1" w:themeTint="F2"/>
                <w:sz w:val="24"/>
                <w:szCs w:val="24"/>
              </w:rPr>
              <w:t xml:space="preserve">leading. Heads of arguments are court documents but cannot be regarded as pleadings hence there is no need for one to request for an </w:t>
            </w:r>
            <w:proofErr w:type="spellStart"/>
            <w:r w:rsidR="00EA499C">
              <w:rPr>
                <w:rFonts w:ascii="Arial Narrow" w:hAnsi="Arial Narrow" w:cs="Arial"/>
                <w:color w:val="0D0D0D" w:themeColor="text1" w:themeTint="F2"/>
                <w:sz w:val="24"/>
                <w:szCs w:val="24"/>
              </w:rPr>
              <w:t>upliftment</w:t>
            </w:r>
            <w:proofErr w:type="spellEnd"/>
            <w:r w:rsidR="00EA499C">
              <w:rPr>
                <w:rFonts w:ascii="Arial Narrow" w:hAnsi="Arial Narrow" w:cs="Arial"/>
                <w:color w:val="0D0D0D" w:themeColor="text1" w:themeTint="F2"/>
                <w:sz w:val="24"/>
                <w:szCs w:val="24"/>
              </w:rPr>
              <w:t xml:space="preserve"> of bar when heads are not filed. </w:t>
            </w:r>
            <w:r w:rsidR="001925AB">
              <w:rPr>
                <w:rFonts w:ascii="Arial Narrow" w:hAnsi="Arial Narrow" w:cs="Arial"/>
                <w:color w:val="0D0D0D" w:themeColor="text1" w:themeTint="F2"/>
                <w:sz w:val="24"/>
                <w:szCs w:val="24"/>
              </w:rPr>
              <w:t>She argued that when a party fails to comply with a court order or a direction from Court that party approaches the Court requesting for condonation, which is what th</w:t>
            </w:r>
            <w:r w:rsidR="00B64921">
              <w:rPr>
                <w:rFonts w:ascii="Arial Narrow" w:hAnsi="Arial Narrow" w:cs="Arial"/>
                <w:color w:val="0D0D0D" w:themeColor="text1" w:themeTint="F2"/>
                <w:sz w:val="24"/>
                <w:szCs w:val="24"/>
              </w:rPr>
              <w:t xml:space="preserve">e applicant did in this matter and does not need to request </w:t>
            </w:r>
            <w:r w:rsidR="008D1010">
              <w:rPr>
                <w:rFonts w:ascii="Arial Narrow" w:hAnsi="Arial Narrow" w:cs="Arial"/>
                <w:color w:val="0D0D0D" w:themeColor="text1" w:themeTint="F2"/>
                <w:sz w:val="24"/>
                <w:szCs w:val="24"/>
              </w:rPr>
              <w:t>for a</w:t>
            </w:r>
            <w:r w:rsidR="00634712">
              <w:rPr>
                <w:rFonts w:ascii="Arial Narrow" w:hAnsi="Arial Narrow" w:cs="Arial"/>
                <w:color w:val="0D0D0D" w:themeColor="text1" w:themeTint="F2"/>
                <w:sz w:val="24"/>
                <w:szCs w:val="24"/>
              </w:rPr>
              <w:t xml:space="preserve">n </w:t>
            </w:r>
            <w:proofErr w:type="spellStart"/>
            <w:r w:rsidR="00634712">
              <w:rPr>
                <w:rFonts w:ascii="Arial Narrow" w:hAnsi="Arial Narrow" w:cs="Arial"/>
                <w:color w:val="0D0D0D" w:themeColor="text1" w:themeTint="F2"/>
                <w:sz w:val="24"/>
                <w:szCs w:val="24"/>
              </w:rPr>
              <w:t>upliftment</w:t>
            </w:r>
            <w:proofErr w:type="spellEnd"/>
            <w:r w:rsidR="00634712">
              <w:rPr>
                <w:rFonts w:ascii="Arial Narrow" w:hAnsi="Arial Narrow" w:cs="Arial"/>
                <w:color w:val="0D0D0D" w:themeColor="text1" w:themeTint="F2"/>
                <w:sz w:val="24"/>
                <w:szCs w:val="24"/>
              </w:rPr>
              <w:t xml:space="preserve"> of the </w:t>
            </w:r>
            <w:r w:rsidR="00B64921">
              <w:rPr>
                <w:rFonts w:ascii="Arial Narrow" w:hAnsi="Arial Narrow" w:cs="Arial"/>
                <w:color w:val="0D0D0D" w:themeColor="text1" w:themeTint="F2"/>
                <w:sz w:val="24"/>
                <w:szCs w:val="24"/>
              </w:rPr>
              <w:t xml:space="preserve">bar as that does not apply in this instance. </w:t>
            </w:r>
          </w:p>
          <w:p w:rsidR="00771E08" w:rsidRDefault="00771E08" w:rsidP="00EA499C">
            <w:pPr>
              <w:tabs>
                <w:tab w:val="left" w:pos="765"/>
              </w:tabs>
              <w:spacing w:line="360" w:lineRule="auto"/>
              <w:jc w:val="both"/>
              <w:rPr>
                <w:rFonts w:ascii="Arial Narrow" w:hAnsi="Arial Narrow" w:cs="Arial"/>
                <w:color w:val="0D0D0D" w:themeColor="text1" w:themeTint="F2"/>
                <w:sz w:val="24"/>
                <w:szCs w:val="24"/>
              </w:rPr>
            </w:pPr>
          </w:p>
          <w:p w:rsidR="00771E08" w:rsidRDefault="00771E08" w:rsidP="00771E08">
            <w:pPr>
              <w:tabs>
                <w:tab w:val="left" w:pos="0"/>
              </w:tabs>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A347AE">
              <w:rPr>
                <w:rFonts w:ascii="Arial Narrow" w:hAnsi="Arial Narrow" w:cs="Arial"/>
                <w:color w:val="0D0D0D" w:themeColor="text1" w:themeTint="F2"/>
                <w:sz w:val="24"/>
                <w:szCs w:val="24"/>
              </w:rPr>
              <w:t>13</w:t>
            </w:r>
            <w:r>
              <w:rPr>
                <w:rFonts w:ascii="Arial Narrow" w:hAnsi="Arial Narrow" w:cs="Arial"/>
                <w:color w:val="0D0D0D" w:themeColor="text1" w:themeTint="F2"/>
                <w:sz w:val="24"/>
                <w:szCs w:val="24"/>
              </w:rPr>
              <w:t>]</w:t>
            </w:r>
            <w:r w:rsidR="00B2692D">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 xml:space="preserve">Ms Jason argued that she has fully explained what the delay was and what had the delay been occasioned by. The degree of delay and entire period has </w:t>
            </w:r>
            <w:r w:rsidR="00B2692D">
              <w:rPr>
                <w:rFonts w:ascii="Arial Narrow" w:hAnsi="Arial Narrow" w:cs="Arial"/>
                <w:color w:val="0D0D0D" w:themeColor="text1" w:themeTint="F2"/>
                <w:sz w:val="24"/>
                <w:szCs w:val="24"/>
              </w:rPr>
              <w:t xml:space="preserve">therefore </w:t>
            </w:r>
            <w:r>
              <w:rPr>
                <w:rFonts w:ascii="Arial Narrow" w:hAnsi="Arial Narrow" w:cs="Arial"/>
                <w:color w:val="0D0D0D" w:themeColor="text1" w:themeTint="F2"/>
                <w:sz w:val="24"/>
                <w:szCs w:val="24"/>
              </w:rPr>
              <w:t>been explained.</w:t>
            </w:r>
          </w:p>
          <w:p w:rsidR="00771E08" w:rsidRDefault="00771E08" w:rsidP="00771E08">
            <w:pPr>
              <w:tabs>
                <w:tab w:val="left" w:pos="0"/>
              </w:tabs>
              <w:spacing w:line="360" w:lineRule="auto"/>
              <w:jc w:val="both"/>
              <w:rPr>
                <w:rFonts w:ascii="Arial Narrow" w:hAnsi="Arial Narrow" w:cs="Arial"/>
                <w:color w:val="0D0D0D" w:themeColor="text1" w:themeTint="F2"/>
                <w:sz w:val="24"/>
                <w:szCs w:val="24"/>
              </w:rPr>
            </w:pPr>
          </w:p>
          <w:p w:rsidR="00771E08" w:rsidRDefault="00771E08" w:rsidP="00771E08">
            <w:pPr>
              <w:tabs>
                <w:tab w:val="left" w:pos="0"/>
              </w:tabs>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A347AE">
              <w:rPr>
                <w:rFonts w:ascii="Arial Narrow" w:hAnsi="Arial Narrow" w:cs="Arial"/>
                <w:color w:val="0D0D0D" w:themeColor="text1" w:themeTint="F2"/>
                <w:sz w:val="24"/>
                <w:szCs w:val="24"/>
              </w:rPr>
              <w:t>14</w:t>
            </w:r>
            <w:r w:rsidR="00262D29">
              <w:rPr>
                <w:rFonts w:ascii="Arial Narrow" w:hAnsi="Arial Narrow" w:cs="Arial"/>
                <w:color w:val="0D0D0D" w:themeColor="text1" w:themeTint="F2"/>
                <w:sz w:val="24"/>
                <w:szCs w:val="24"/>
              </w:rPr>
              <w:t xml:space="preserve">]      </w:t>
            </w:r>
            <w:r w:rsidR="00923014">
              <w:rPr>
                <w:rFonts w:ascii="Arial Narrow" w:hAnsi="Arial Narrow" w:cs="Arial"/>
                <w:color w:val="0D0D0D" w:themeColor="text1" w:themeTint="F2"/>
                <w:sz w:val="24"/>
                <w:szCs w:val="24"/>
              </w:rPr>
              <w:t>Ms Jason</w:t>
            </w:r>
            <w:r w:rsidR="000A774E">
              <w:rPr>
                <w:rFonts w:ascii="Arial Narrow" w:hAnsi="Arial Narrow" w:cs="Arial"/>
                <w:color w:val="0D0D0D" w:themeColor="text1" w:themeTint="F2"/>
                <w:sz w:val="24"/>
                <w:szCs w:val="24"/>
              </w:rPr>
              <w:t xml:space="preserve"> </w:t>
            </w:r>
            <w:r w:rsidR="00923014">
              <w:rPr>
                <w:rFonts w:ascii="Arial Narrow" w:hAnsi="Arial Narrow" w:cs="Arial"/>
                <w:color w:val="0D0D0D" w:themeColor="text1" w:themeTint="F2"/>
                <w:sz w:val="24"/>
                <w:szCs w:val="24"/>
              </w:rPr>
              <w:t>conceded</w:t>
            </w:r>
            <w:r w:rsidR="000A774E">
              <w:rPr>
                <w:rFonts w:ascii="Arial Narrow" w:hAnsi="Arial Narrow" w:cs="Arial"/>
                <w:color w:val="0D0D0D" w:themeColor="text1" w:themeTint="F2"/>
                <w:sz w:val="24"/>
                <w:szCs w:val="24"/>
              </w:rPr>
              <w:t xml:space="preserve"> during oral</w:t>
            </w:r>
            <w:r w:rsidR="00923014">
              <w:rPr>
                <w:rFonts w:ascii="Arial Narrow" w:hAnsi="Arial Narrow" w:cs="Arial"/>
                <w:color w:val="0D0D0D" w:themeColor="text1" w:themeTint="F2"/>
                <w:sz w:val="24"/>
                <w:szCs w:val="24"/>
              </w:rPr>
              <w:t xml:space="preserve"> </w:t>
            </w:r>
            <w:r w:rsidR="00E14110">
              <w:rPr>
                <w:rFonts w:ascii="Arial Narrow" w:hAnsi="Arial Narrow" w:cs="Arial"/>
                <w:color w:val="0D0D0D" w:themeColor="text1" w:themeTint="F2"/>
                <w:sz w:val="24"/>
                <w:szCs w:val="24"/>
              </w:rPr>
              <w:t xml:space="preserve">argument </w:t>
            </w:r>
            <w:r w:rsidR="00923014">
              <w:rPr>
                <w:rFonts w:ascii="Arial Narrow" w:hAnsi="Arial Narrow" w:cs="Arial"/>
                <w:color w:val="0D0D0D" w:themeColor="text1" w:themeTint="F2"/>
                <w:sz w:val="24"/>
                <w:szCs w:val="24"/>
              </w:rPr>
              <w:t xml:space="preserve">that she failed to allege prospects of success in her founding affidavit but argued that her heads of arguments speaks to the merits of the </w:t>
            </w:r>
            <w:r w:rsidR="00E57CA5">
              <w:rPr>
                <w:rFonts w:ascii="Arial Narrow" w:hAnsi="Arial Narrow" w:cs="Arial"/>
                <w:color w:val="0D0D0D" w:themeColor="text1" w:themeTint="F2"/>
                <w:sz w:val="24"/>
                <w:szCs w:val="24"/>
              </w:rPr>
              <w:t xml:space="preserve">main </w:t>
            </w:r>
            <w:r w:rsidR="00923014">
              <w:rPr>
                <w:rFonts w:ascii="Arial Narrow" w:hAnsi="Arial Narrow" w:cs="Arial"/>
                <w:color w:val="0D0D0D" w:themeColor="text1" w:themeTint="F2"/>
                <w:sz w:val="24"/>
                <w:szCs w:val="24"/>
              </w:rPr>
              <w:t xml:space="preserve">case. </w:t>
            </w:r>
            <w:r w:rsidR="003439E3">
              <w:rPr>
                <w:rFonts w:ascii="Arial Narrow" w:hAnsi="Arial Narrow" w:cs="Arial"/>
                <w:color w:val="0D0D0D" w:themeColor="text1" w:themeTint="F2"/>
                <w:sz w:val="24"/>
                <w:szCs w:val="24"/>
              </w:rPr>
              <w:t xml:space="preserve">She argued that although prospects of success has not been fully </w:t>
            </w:r>
            <w:r w:rsidR="00757C5F">
              <w:rPr>
                <w:rFonts w:ascii="Arial Narrow" w:hAnsi="Arial Narrow" w:cs="Arial"/>
                <w:color w:val="0D0D0D" w:themeColor="text1" w:themeTint="F2"/>
                <w:sz w:val="24"/>
                <w:szCs w:val="24"/>
              </w:rPr>
              <w:t>explained</w:t>
            </w:r>
            <w:r w:rsidR="003439E3">
              <w:rPr>
                <w:rFonts w:ascii="Arial Narrow" w:hAnsi="Arial Narrow" w:cs="Arial"/>
                <w:color w:val="0D0D0D" w:themeColor="text1" w:themeTint="F2"/>
                <w:sz w:val="24"/>
                <w:szCs w:val="24"/>
              </w:rPr>
              <w:t xml:space="preserve"> </w:t>
            </w:r>
            <w:r w:rsidR="00236156">
              <w:rPr>
                <w:rFonts w:ascii="Arial Narrow" w:hAnsi="Arial Narrow" w:cs="Arial"/>
                <w:color w:val="0D0D0D" w:themeColor="text1" w:themeTint="F2"/>
                <w:sz w:val="24"/>
                <w:szCs w:val="24"/>
              </w:rPr>
              <w:t xml:space="preserve">in her founding papers </w:t>
            </w:r>
            <w:r w:rsidR="003439E3">
              <w:rPr>
                <w:rFonts w:ascii="Arial Narrow" w:hAnsi="Arial Narrow" w:cs="Arial"/>
                <w:color w:val="0D0D0D" w:themeColor="text1" w:themeTint="F2"/>
                <w:sz w:val="24"/>
                <w:szCs w:val="24"/>
              </w:rPr>
              <w:t xml:space="preserve">it has been </w:t>
            </w:r>
            <w:r w:rsidR="00757C5F">
              <w:rPr>
                <w:rFonts w:ascii="Arial Narrow" w:hAnsi="Arial Narrow" w:cs="Arial"/>
                <w:color w:val="0D0D0D" w:themeColor="text1" w:themeTint="F2"/>
                <w:sz w:val="24"/>
                <w:szCs w:val="24"/>
              </w:rPr>
              <w:t>elucidated</w:t>
            </w:r>
            <w:r w:rsidR="00236156">
              <w:rPr>
                <w:rFonts w:ascii="Arial Narrow" w:hAnsi="Arial Narrow" w:cs="Arial"/>
                <w:color w:val="0D0D0D" w:themeColor="text1" w:themeTint="F2"/>
                <w:sz w:val="24"/>
                <w:szCs w:val="24"/>
              </w:rPr>
              <w:t xml:space="preserve"> in the heads of arguments and further that although prospects of success is important it is not a decisive consideration for a condonation application to be granted.  </w:t>
            </w:r>
          </w:p>
          <w:p w:rsidR="00C366B0" w:rsidRPr="00DE5F56" w:rsidRDefault="00C366B0" w:rsidP="00DA6472">
            <w:pPr>
              <w:spacing w:line="360" w:lineRule="auto"/>
              <w:jc w:val="both"/>
              <w:rPr>
                <w:rFonts w:ascii="Arial Narrow" w:hAnsi="Arial Narrow" w:cs="Arial"/>
                <w:color w:val="0D0D0D" w:themeColor="text1" w:themeTint="F2"/>
                <w:sz w:val="24"/>
                <w:szCs w:val="24"/>
              </w:rPr>
            </w:pPr>
          </w:p>
          <w:p w:rsidR="00B50265" w:rsidRDefault="006117D4" w:rsidP="00DA6472">
            <w:pPr>
              <w:spacing w:line="360" w:lineRule="auto"/>
              <w:jc w:val="both"/>
              <w:rPr>
                <w:rFonts w:ascii="Arial Narrow" w:hAnsi="Arial Narrow" w:cs="Arial"/>
                <w:sz w:val="24"/>
                <w:szCs w:val="24"/>
                <w:u w:val="single"/>
                <w:lang w:val="en-US"/>
              </w:rPr>
            </w:pPr>
            <w:r>
              <w:rPr>
                <w:rFonts w:ascii="Arial Narrow" w:hAnsi="Arial Narrow" w:cs="Arial"/>
                <w:sz w:val="24"/>
                <w:szCs w:val="24"/>
                <w:u w:val="single"/>
                <w:lang w:val="en-US"/>
              </w:rPr>
              <w:t>Discussion</w:t>
            </w:r>
          </w:p>
          <w:p w:rsidR="008056E0" w:rsidRPr="00DE5F56" w:rsidRDefault="008056E0" w:rsidP="00DA6472">
            <w:pPr>
              <w:spacing w:line="360" w:lineRule="auto"/>
              <w:jc w:val="both"/>
              <w:rPr>
                <w:rFonts w:ascii="Arial Narrow" w:hAnsi="Arial Narrow" w:cs="Arial"/>
                <w:sz w:val="24"/>
                <w:szCs w:val="24"/>
                <w:u w:val="single"/>
                <w:lang w:val="en-US"/>
              </w:rPr>
            </w:pPr>
          </w:p>
          <w:p w:rsidR="00A8443D" w:rsidRDefault="00A347AE" w:rsidP="00DA6472">
            <w:pPr>
              <w:spacing w:line="360" w:lineRule="auto"/>
              <w:jc w:val="both"/>
              <w:rPr>
                <w:rFonts w:ascii="Arial Narrow" w:hAnsi="Arial Narrow" w:cs="Arial"/>
                <w:color w:val="0D0D0D" w:themeColor="text1" w:themeTint="F2"/>
                <w:sz w:val="24"/>
                <w:szCs w:val="24"/>
              </w:rPr>
            </w:pPr>
            <w:r>
              <w:rPr>
                <w:rFonts w:ascii="Arial Narrow" w:hAnsi="Arial Narrow" w:cs="Arial"/>
                <w:sz w:val="24"/>
                <w:szCs w:val="24"/>
                <w:lang w:val="en-US"/>
              </w:rPr>
              <w:t>[15</w:t>
            </w:r>
            <w:r w:rsidR="00811209">
              <w:rPr>
                <w:rFonts w:ascii="Arial Narrow" w:hAnsi="Arial Narrow" w:cs="Arial"/>
                <w:sz w:val="24"/>
                <w:szCs w:val="24"/>
                <w:lang w:val="en-US"/>
              </w:rPr>
              <w:t xml:space="preserve">]     </w:t>
            </w:r>
            <w:r w:rsidR="00991780" w:rsidRPr="009840E3">
              <w:rPr>
                <w:rFonts w:ascii="Arial Narrow" w:hAnsi="Arial Narrow" w:cs="Arial"/>
                <w:sz w:val="24"/>
                <w:szCs w:val="24"/>
                <w:lang w:val="en-US"/>
              </w:rPr>
              <w:t>The principles on condonation</w:t>
            </w:r>
            <w:r w:rsidR="00EC07A6">
              <w:rPr>
                <w:rFonts w:ascii="Arial Narrow" w:hAnsi="Arial Narrow" w:cs="Arial"/>
                <w:sz w:val="24"/>
                <w:szCs w:val="24"/>
                <w:lang w:val="en-US"/>
              </w:rPr>
              <w:t xml:space="preserve"> in our jurisdiction are quite clear and I do</w:t>
            </w:r>
            <w:r w:rsidR="000F65CB">
              <w:rPr>
                <w:rFonts w:ascii="Arial Narrow" w:hAnsi="Arial Narrow" w:cs="Arial"/>
                <w:sz w:val="24"/>
                <w:szCs w:val="24"/>
                <w:lang w:val="en-US"/>
              </w:rPr>
              <w:t xml:space="preserve"> </w:t>
            </w:r>
            <w:r w:rsidR="00EC07A6">
              <w:rPr>
                <w:rFonts w:ascii="Arial Narrow" w:hAnsi="Arial Narrow" w:cs="Arial"/>
                <w:sz w:val="24"/>
                <w:szCs w:val="24"/>
                <w:lang w:val="en-US"/>
              </w:rPr>
              <w:t>not intend to reiterate them.</w:t>
            </w:r>
            <w:r w:rsidR="00991780">
              <w:rPr>
                <w:rFonts w:ascii="Arial Narrow" w:hAnsi="Arial Narrow" w:cs="Arial"/>
                <w:sz w:val="24"/>
                <w:szCs w:val="24"/>
                <w:lang w:val="en-US"/>
              </w:rPr>
              <w:t xml:space="preserve"> </w:t>
            </w:r>
          </w:p>
          <w:p w:rsidR="009A62DB" w:rsidRDefault="009A62DB" w:rsidP="00DA6472">
            <w:pPr>
              <w:spacing w:line="360" w:lineRule="auto"/>
              <w:jc w:val="both"/>
              <w:rPr>
                <w:rFonts w:ascii="Arial Narrow" w:hAnsi="Arial Narrow" w:cs="Arial"/>
              </w:rPr>
            </w:pPr>
          </w:p>
          <w:p w:rsidR="006B4E0E" w:rsidRDefault="00A8443D" w:rsidP="00DA6472">
            <w:pPr>
              <w:spacing w:line="360" w:lineRule="auto"/>
              <w:jc w:val="both"/>
              <w:rPr>
                <w:rFonts w:ascii="Arial Narrow" w:hAnsi="Arial Narrow" w:cs="Arial"/>
                <w:sz w:val="24"/>
                <w:szCs w:val="24"/>
                <w:lang w:val="en-US"/>
              </w:rPr>
            </w:pPr>
            <w:r w:rsidRPr="00DE5F56">
              <w:rPr>
                <w:rFonts w:ascii="Arial Narrow" w:hAnsi="Arial Narrow" w:cs="Arial"/>
                <w:sz w:val="24"/>
                <w:szCs w:val="24"/>
                <w:lang w:val="en-US"/>
              </w:rPr>
              <w:t>[</w:t>
            </w:r>
            <w:r w:rsidR="00A347AE">
              <w:rPr>
                <w:rFonts w:ascii="Arial Narrow" w:hAnsi="Arial Narrow" w:cs="Arial"/>
                <w:sz w:val="24"/>
                <w:szCs w:val="24"/>
                <w:lang w:val="en-US"/>
              </w:rPr>
              <w:t>16</w:t>
            </w:r>
            <w:r w:rsidR="00DA6472">
              <w:rPr>
                <w:rFonts w:ascii="Arial Narrow" w:hAnsi="Arial Narrow" w:cs="Arial"/>
                <w:sz w:val="24"/>
                <w:szCs w:val="24"/>
                <w:lang w:val="en-US"/>
              </w:rPr>
              <w:t xml:space="preserve">]   </w:t>
            </w:r>
            <w:r w:rsidR="006B4E0E">
              <w:rPr>
                <w:rFonts w:ascii="Arial Narrow" w:hAnsi="Arial Narrow" w:cs="Arial"/>
                <w:sz w:val="24"/>
                <w:szCs w:val="24"/>
                <w:lang w:val="en-US"/>
              </w:rPr>
              <w:t xml:space="preserve">    From the onset I would like to clarify that the applicant had indicated </w:t>
            </w:r>
            <w:r w:rsidR="00AC4CE9">
              <w:rPr>
                <w:rFonts w:ascii="Arial Narrow" w:hAnsi="Arial Narrow" w:cs="Arial"/>
                <w:sz w:val="24"/>
                <w:szCs w:val="24"/>
                <w:lang w:val="en-US"/>
              </w:rPr>
              <w:t>during oral argument</w:t>
            </w:r>
            <w:r w:rsidR="006B4E0E">
              <w:rPr>
                <w:rFonts w:ascii="Arial Narrow" w:hAnsi="Arial Narrow" w:cs="Arial"/>
                <w:sz w:val="24"/>
                <w:szCs w:val="24"/>
                <w:lang w:val="en-US"/>
              </w:rPr>
              <w:t xml:space="preserve"> that it had filed its notice to oppose the Rule 61 application, however upon perusal of the Court file no such opposition has been filed. As it stands the Rule 61 application remains unopposed. </w:t>
            </w:r>
          </w:p>
          <w:p w:rsidR="006B4E0E" w:rsidRDefault="006B4E0E" w:rsidP="00DA6472">
            <w:pPr>
              <w:spacing w:line="360" w:lineRule="auto"/>
              <w:jc w:val="both"/>
              <w:rPr>
                <w:rFonts w:ascii="Arial Narrow" w:hAnsi="Arial Narrow" w:cs="Arial"/>
                <w:sz w:val="24"/>
                <w:szCs w:val="24"/>
                <w:lang w:val="en-US"/>
              </w:rPr>
            </w:pPr>
          </w:p>
          <w:p w:rsidR="006B4E0E" w:rsidRDefault="00A347AE"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[17</w:t>
            </w:r>
            <w:r w:rsidR="005F393E">
              <w:rPr>
                <w:rFonts w:ascii="Arial Narrow" w:hAnsi="Arial Narrow" w:cs="Arial"/>
                <w:sz w:val="24"/>
                <w:szCs w:val="24"/>
                <w:lang w:val="en-US"/>
              </w:rPr>
              <w:t>]       D</w:t>
            </w:r>
            <w:r w:rsidR="006B4E0E">
              <w:rPr>
                <w:rFonts w:ascii="Arial Narrow" w:hAnsi="Arial Narrow" w:cs="Arial"/>
                <w:sz w:val="24"/>
                <w:szCs w:val="24"/>
                <w:lang w:val="en-US"/>
              </w:rPr>
              <w:t xml:space="preserve">ue to the fact the first respondent indicated that it does not take issue with the explanation advanced for the failure to comply with the court order, I do not see the need to dwell on that matter and the Court will neither consider that issue. </w:t>
            </w:r>
          </w:p>
          <w:p w:rsidR="006B4E0E" w:rsidRDefault="006B4E0E" w:rsidP="00DA6472">
            <w:pPr>
              <w:spacing w:line="360" w:lineRule="auto"/>
              <w:jc w:val="both"/>
              <w:rPr>
                <w:rFonts w:ascii="Arial Narrow" w:hAnsi="Arial Narrow" w:cs="Arial"/>
                <w:sz w:val="24"/>
                <w:szCs w:val="24"/>
                <w:lang w:val="en-US"/>
              </w:rPr>
            </w:pPr>
          </w:p>
          <w:p w:rsidR="00AC4CE9" w:rsidRDefault="00AC4CE9" w:rsidP="00DA6472">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18</w:t>
            </w:r>
            <w:r>
              <w:rPr>
                <w:rFonts w:ascii="Arial Narrow" w:hAnsi="Arial Narrow" w:cs="Arial"/>
                <w:sz w:val="24"/>
                <w:szCs w:val="24"/>
              </w:rPr>
              <w:t xml:space="preserve">] </w:t>
            </w:r>
            <w:r w:rsidR="000A5ED4">
              <w:rPr>
                <w:rFonts w:ascii="Arial Narrow" w:hAnsi="Arial Narrow" w:cs="Arial"/>
                <w:sz w:val="24"/>
                <w:szCs w:val="24"/>
              </w:rPr>
              <w:t xml:space="preserve">     </w:t>
            </w:r>
            <w:r>
              <w:rPr>
                <w:rFonts w:ascii="Arial Narrow" w:hAnsi="Arial Narrow" w:cs="Arial"/>
                <w:sz w:val="24"/>
                <w:szCs w:val="24"/>
              </w:rPr>
              <w:t xml:space="preserve">I will hereafter deal with the points in </w:t>
            </w:r>
            <w:proofErr w:type="spellStart"/>
            <w:r>
              <w:rPr>
                <w:rFonts w:ascii="Arial Narrow" w:hAnsi="Arial Narrow" w:cs="Arial"/>
                <w:sz w:val="24"/>
                <w:szCs w:val="24"/>
              </w:rPr>
              <w:t>limine</w:t>
            </w:r>
            <w:proofErr w:type="spellEnd"/>
            <w:r>
              <w:rPr>
                <w:rFonts w:ascii="Arial Narrow" w:hAnsi="Arial Narrow" w:cs="Arial"/>
                <w:sz w:val="24"/>
                <w:szCs w:val="24"/>
              </w:rPr>
              <w:t xml:space="preserve">, which in my view, as correctly pointed out by Mr </w:t>
            </w:r>
            <w:proofErr w:type="spellStart"/>
            <w:r>
              <w:rPr>
                <w:rFonts w:ascii="Arial Narrow" w:hAnsi="Arial Narrow" w:cs="Arial"/>
                <w:sz w:val="24"/>
                <w:szCs w:val="24"/>
              </w:rPr>
              <w:t>Kauta</w:t>
            </w:r>
            <w:proofErr w:type="spellEnd"/>
            <w:r>
              <w:rPr>
                <w:rFonts w:ascii="Arial Narrow" w:hAnsi="Arial Narrow" w:cs="Arial"/>
                <w:sz w:val="24"/>
                <w:szCs w:val="24"/>
              </w:rPr>
              <w:t xml:space="preserve">, will dispose of the matter. </w:t>
            </w:r>
          </w:p>
          <w:p w:rsidR="00AC4CE9" w:rsidRDefault="00AC4CE9" w:rsidP="00DA6472">
            <w:pPr>
              <w:spacing w:line="360" w:lineRule="auto"/>
              <w:jc w:val="both"/>
              <w:rPr>
                <w:rFonts w:ascii="Arial Narrow" w:hAnsi="Arial Narrow" w:cs="Arial"/>
                <w:sz w:val="24"/>
                <w:szCs w:val="24"/>
              </w:rPr>
            </w:pPr>
          </w:p>
          <w:p w:rsidR="00443B26" w:rsidRDefault="00443B26" w:rsidP="00DA6472">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19</w:t>
            </w:r>
            <w:r>
              <w:rPr>
                <w:rFonts w:ascii="Arial Narrow" w:hAnsi="Arial Narrow" w:cs="Arial"/>
                <w:sz w:val="24"/>
                <w:szCs w:val="24"/>
              </w:rPr>
              <w:t xml:space="preserve">] </w:t>
            </w:r>
            <w:r w:rsidR="000A5ED4">
              <w:rPr>
                <w:rFonts w:ascii="Arial Narrow" w:hAnsi="Arial Narrow" w:cs="Arial"/>
                <w:sz w:val="24"/>
                <w:szCs w:val="24"/>
              </w:rPr>
              <w:t xml:space="preserve">      </w:t>
            </w:r>
            <w:r>
              <w:rPr>
                <w:rFonts w:ascii="Arial Narrow" w:hAnsi="Arial Narrow" w:cs="Arial"/>
                <w:sz w:val="24"/>
                <w:szCs w:val="24"/>
              </w:rPr>
              <w:t>I agree with Ms Jason that heads of arguments are not pleadings. Pleadings are commonly known as</w:t>
            </w:r>
            <w:r w:rsidRPr="00443B26">
              <w:rPr>
                <w:rFonts w:ascii="Arial Narrow" w:hAnsi="Arial Narrow" w:cs="Arial"/>
                <w:sz w:val="24"/>
                <w:szCs w:val="24"/>
              </w:rPr>
              <w:t xml:space="preserve"> formal writt</w:t>
            </w:r>
            <w:r>
              <w:rPr>
                <w:rFonts w:ascii="Arial Narrow" w:hAnsi="Arial Narrow" w:cs="Arial"/>
                <w:sz w:val="24"/>
                <w:szCs w:val="24"/>
              </w:rPr>
              <w:t>en statements of a party's claim or defence</w:t>
            </w:r>
            <w:r w:rsidRPr="00443B26">
              <w:rPr>
                <w:rFonts w:ascii="Arial Narrow" w:hAnsi="Arial Narrow" w:cs="Arial"/>
                <w:sz w:val="24"/>
                <w:szCs w:val="24"/>
              </w:rPr>
              <w:t xml:space="preserve"> to another </w:t>
            </w:r>
            <w:r>
              <w:rPr>
                <w:rFonts w:ascii="Arial Narrow" w:hAnsi="Arial Narrow" w:cs="Arial"/>
                <w:sz w:val="24"/>
                <w:szCs w:val="24"/>
              </w:rPr>
              <w:t>party's claim</w:t>
            </w:r>
            <w:r w:rsidRPr="00443B26">
              <w:rPr>
                <w:rFonts w:ascii="Arial Narrow" w:hAnsi="Arial Narrow" w:cs="Arial"/>
                <w:sz w:val="24"/>
                <w:szCs w:val="24"/>
              </w:rPr>
              <w:t>. The parties' pleadings in a case define the issues to be adjudicated in the action.</w:t>
            </w:r>
            <w:r>
              <w:rPr>
                <w:rFonts w:ascii="Arial Narrow" w:hAnsi="Arial Narrow" w:cs="Arial"/>
                <w:sz w:val="24"/>
                <w:szCs w:val="24"/>
              </w:rPr>
              <w:t xml:space="preserve"> Therefore documents such as particulars of claim, plea and replication can be regarded as pleadings. The applicant was therefore not required to request an </w:t>
            </w:r>
            <w:proofErr w:type="spellStart"/>
            <w:r>
              <w:rPr>
                <w:rFonts w:ascii="Arial Narrow" w:hAnsi="Arial Narrow" w:cs="Arial"/>
                <w:sz w:val="24"/>
                <w:szCs w:val="24"/>
              </w:rPr>
              <w:t>upliftment</w:t>
            </w:r>
            <w:proofErr w:type="spellEnd"/>
            <w:r>
              <w:rPr>
                <w:rFonts w:ascii="Arial Narrow" w:hAnsi="Arial Narrow" w:cs="Arial"/>
                <w:sz w:val="24"/>
                <w:szCs w:val="24"/>
              </w:rPr>
              <w:t xml:space="preserve"> of bar as Rule 53 (4) does not apply because it refers to the word ‘pleading’ and heads of arguments are not regarded as pleadings. The first respondent’s point in </w:t>
            </w:r>
            <w:proofErr w:type="spellStart"/>
            <w:r>
              <w:rPr>
                <w:rFonts w:ascii="Arial Narrow" w:hAnsi="Arial Narrow" w:cs="Arial"/>
                <w:sz w:val="24"/>
                <w:szCs w:val="24"/>
              </w:rPr>
              <w:t>limine</w:t>
            </w:r>
            <w:proofErr w:type="spellEnd"/>
            <w:r>
              <w:rPr>
                <w:rFonts w:ascii="Arial Narrow" w:hAnsi="Arial Narrow" w:cs="Arial"/>
                <w:sz w:val="24"/>
                <w:szCs w:val="24"/>
              </w:rPr>
              <w:t xml:space="preserve"> is dismissed.</w:t>
            </w:r>
          </w:p>
          <w:p w:rsidR="00443B26" w:rsidRDefault="00443B26" w:rsidP="00DA6472">
            <w:pPr>
              <w:spacing w:line="360" w:lineRule="auto"/>
              <w:jc w:val="both"/>
              <w:rPr>
                <w:rFonts w:ascii="Arial Narrow" w:hAnsi="Arial Narrow" w:cs="Arial"/>
                <w:sz w:val="24"/>
                <w:szCs w:val="24"/>
              </w:rPr>
            </w:pPr>
          </w:p>
          <w:p w:rsidR="00966C65" w:rsidRDefault="00E432FC" w:rsidP="006C00CE">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20</w:t>
            </w:r>
            <w:r>
              <w:rPr>
                <w:rFonts w:ascii="Arial Narrow" w:hAnsi="Arial Narrow" w:cs="Arial"/>
                <w:sz w:val="24"/>
                <w:szCs w:val="24"/>
              </w:rPr>
              <w:t>]</w:t>
            </w:r>
            <w:r w:rsidR="006C00CE">
              <w:rPr>
                <w:rFonts w:ascii="Arial Narrow" w:hAnsi="Arial Narrow" w:cs="Arial"/>
                <w:sz w:val="24"/>
                <w:szCs w:val="24"/>
              </w:rPr>
              <w:t xml:space="preserve"> </w:t>
            </w:r>
            <w:r w:rsidR="00013135">
              <w:rPr>
                <w:rFonts w:ascii="Arial Narrow" w:hAnsi="Arial Narrow" w:cs="Arial"/>
                <w:sz w:val="24"/>
                <w:szCs w:val="24"/>
              </w:rPr>
              <w:t xml:space="preserve">      </w:t>
            </w:r>
            <w:r w:rsidR="00C13386">
              <w:rPr>
                <w:rFonts w:ascii="Arial Narrow" w:hAnsi="Arial Narrow" w:cs="Arial"/>
                <w:sz w:val="24"/>
                <w:szCs w:val="24"/>
              </w:rPr>
              <w:t>I must point out that I am very</w:t>
            </w:r>
            <w:r w:rsidR="006C00CE">
              <w:rPr>
                <w:rFonts w:ascii="Arial Narrow" w:hAnsi="Arial Narrow" w:cs="Arial"/>
                <w:sz w:val="24"/>
                <w:szCs w:val="24"/>
              </w:rPr>
              <w:t xml:space="preserve"> sympathetic with counsel for the applicant</w:t>
            </w:r>
            <w:r w:rsidR="00F85029">
              <w:rPr>
                <w:rFonts w:ascii="Arial Narrow" w:hAnsi="Arial Narrow" w:cs="Arial"/>
                <w:sz w:val="24"/>
                <w:szCs w:val="24"/>
              </w:rPr>
              <w:t>’s</w:t>
            </w:r>
            <w:r w:rsidR="006C00CE">
              <w:rPr>
                <w:rFonts w:ascii="Arial Narrow" w:hAnsi="Arial Narrow" w:cs="Arial"/>
                <w:sz w:val="24"/>
                <w:szCs w:val="24"/>
              </w:rPr>
              <w:t xml:space="preserve"> reasons </w:t>
            </w:r>
            <w:r w:rsidR="00F85029">
              <w:rPr>
                <w:rFonts w:ascii="Arial Narrow" w:hAnsi="Arial Narrow" w:cs="Arial"/>
                <w:sz w:val="24"/>
                <w:szCs w:val="24"/>
              </w:rPr>
              <w:t>for failing</w:t>
            </w:r>
            <w:r w:rsidR="006C00CE">
              <w:rPr>
                <w:rFonts w:ascii="Arial Narrow" w:hAnsi="Arial Narrow" w:cs="Arial"/>
                <w:sz w:val="24"/>
                <w:szCs w:val="24"/>
              </w:rPr>
              <w:t xml:space="preserve"> to comply with the court order, however </w:t>
            </w:r>
            <w:r w:rsidR="00F85029">
              <w:rPr>
                <w:rFonts w:ascii="Arial Narrow" w:hAnsi="Arial Narrow" w:cs="Arial"/>
                <w:sz w:val="24"/>
                <w:szCs w:val="24"/>
              </w:rPr>
              <w:t>it is important</w:t>
            </w:r>
            <w:r w:rsidR="00F72FC6">
              <w:rPr>
                <w:rFonts w:ascii="Arial Narrow" w:hAnsi="Arial Narrow" w:cs="Arial"/>
                <w:sz w:val="24"/>
                <w:szCs w:val="24"/>
              </w:rPr>
              <w:t xml:space="preserve"> for</w:t>
            </w:r>
            <w:r w:rsidR="00F85029">
              <w:rPr>
                <w:rFonts w:ascii="Arial Narrow" w:hAnsi="Arial Narrow" w:cs="Arial"/>
                <w:sz w:val="24"/>
                <w:szCs w:val="24"/>
              </w:rPr>
              <w:t xml:space="preserve"> parties</w:t>
            </w:r>
            <w:r w:rsidR="006C00CE" w:rsidRPr="006C00CE">
              <w:rPr>
                <w:rFonts w:ascii="Arial Narrow" w:hAnsi="Arial Narrow" w:cs="Arial"/>
                <w:sz w:val="24"/>
                <w:szCs w:val="24"/>
              </w:rPr>
              <w:t xml:space="preserve"> to take cognisance of the fact that the rules are formulated for a reason </w:t>
            </w:r>
            <w:r w:rsidR="00C13386">
              <w:rPr>
                <w:rFonts w:ascii="Arial Narrow" w:hAnsi="Arial Narrow" w:cs="Arial"/>
                <w:sz w:val="24"/>
                <w:szCs w:val="24"/>
              </w:rPr>
              <w:t>and it is</w:t>
            </w:r>
            <w:r w:rsidR="00F85029">
              <w:rPr>
                <w:rFonts w:ascii="Arial Narrow" w:hAnsi="Arial Narrow" w:cs="Arial"/>
                <w:sz w:val="24"/>
                <w:szCs w:val="24"/>
              </w:rPr>
              <w:t xml:space="preserve"> important when parties are seeking condonation to</w:t>
            </w:r>
            <w:r w:rsidR="00F2105A">
              <w:rPr>
                <w:rFonts w:ascii="Arial Narrow" w:hAnsi="Arial Narrow" w:cs="Arial"/>
                <w:sz w:val="24"/>
                <w:szCs w:val="24"/>
              </w:rPr>
              <w:t xml:space="preserve"> place confidence in Court when explaining the</w:t>
            </w:r>
            <w:r w:rsidR="00C13386">
              <w:rPr>
                <w:rFonts w:ascii="Arial Narrow" w:hAnsi="Arial Narrow" w:cs="Arial"/>
                <w:sz w:val="24"/>
                <w:szCs w:val="24"/>
              </w:rPr>
              <w:t>ir non</w:t>
            </w:r>
            <w:r w:rsidR="00F2105A">
              <w:rPr>
                <w:rFonts w:ascii="Arial Narrow" w:hAnsi="Arial Narrow" w:cs="Arial"/>
                <w:sz w:val="24"/>
                <w:szCs w:val="24"/>
              </w:rPr>
              <w:t>-compliance. Although the first respondent and the Court does not take issue with th</w:t>
            </w:r>
            <w:r w:rsidR="00C13386">
              <w:rPr>
                <w:rFonts w:ascii="Arial Narrow" w:hAnsi="Arial Narrow" w:cs="Arial"/>
                <w:sz w:val="24"/>
                <w:szCs w:val="24"/>
              </w:rPr>
              <w:t>e reasons explained for the non</w:t>
            </w:r>
            <w:r w:rsidR="00F2105A">
              <w:rPr>
                <w:rFonts w:ascii="Arial Narrow" w:hAnsi="Arial Narrow" w:cs="Arial"/>
                <w:sz w:val="24"/>
                <w:szCs w:val="24"/>
              </w:rPr>
              <w:t>-compliance, counsel’s</w:t>
            </w:r>
            <w:r w:rsidR="006C00CE" w:rsidRPr="006C00CE">
              <w:rPr>
                <w:rFonts w:ascii="Arial Narrow" w:hAnsi="Arial Narrow" w:cs="Arial"/>
                <w:sz w:val="24"/>
                <w:szCs w:val="24"/>
              </w:rPr>
              <w:t xml:space="preserve"> founding affidavit filed o</w:t>
            </w:r>
            <w:r w:rsidR="00F2105A">
              <w:rPr>
                <w:rFonts w:ascii="Arial Narrow" w:hAnsi="Arial Narrow" w:cs="Arial"/>
                <w:sz w:val="24"/>
                <w:szCs w:val="24"/>
              </w:rPr>
              <w:t>n behalf of the applicant</w:t>
            </w:r>
            <w:r w:rsidR="006C00CE" w:rsidRPr="006C00CE">
              <w:rPr>
                <w:rFonts w:ascii="Arial Narrow" w:hAnsi="Arial Narrow" w:cs="Arial"/>
                <w:sz w:val="24"/>
                <w:szCs w:val="24"/>
              </w:rPr>
              <w:t xml:space="preserve"> </w:t>
            </w:r>
            <w:r w:rsidR="00C13386">
              <w:rPr>
                <w:rFonts w:ascii="Arial Narrow" w:hAnsi="Arial Narrow" w:cs="Arial"/>
                <w:sz w:val="24"/>
                <w:szCs w:val="24"/>
              </w:rPr>
              <w:t xml:space="preserve">is somewhat lacking as it </w:t>
            </w:r>
            <w:r w:rsidR="006C00CE" w:rsidRPr="006C00CE">
              <w:rPr>
                <w:rFonts w:ascii="Arial Narrow" w:hAnsi="Arial Narrow" w:cs="Arial"/>
                <w:sz w:val="24"/>
                <w:szCs w:val="24"/>
              </w:rPr>
              <w:t>does not sufficiently address what is required in</w:t>
            </w:r>
            <w:r w:rsidR="00F2105A">
              <w:rPr>
                <w:rFonts w:ascii="Arial Narrow" w:hAnsi="Arial Narrow" w:cs="Arial"/>
                <w:sz w:val="24"/>
                <w:szCs w:val="24"/>
              </w:rPr>
              <w:t xml:space="preserve"> rule 56</w:t>
            </w:r>
            <w:r w:rsidR="00C13386">
              <w:rPr>
                <w:rFonts w:ascii="Arial Narrow" w:hAnsi="Arial Narrow" w:cs="Arial"/>
                <w:sz w:val="24"/>
                <w:szCs w:val="24"/>
              </w:rPr>
              <w:t xml:space="preserve">. </w:t>
            </w:r>
          </w:p>
          <w:p w:rsidR="00966C65" w:rsidRDefault="00966C65" w:rsidP="006C00CE">
            <w:pPr>
              <w:spacing w:line="360" w:lineRule="auto"/>
              <w:jc w:val="both"/>
              <w:rPr>
                <w:rFonts w:ascii="Arial Narrow" w:hAnsi="Arial Narrow" w:cs="Arial"/>
                <w:sz w:val="24"/>
                <w:szCs w:val="24"/>
              </w:rPr>
            </w:pPr>
          </w:p>
          <w:p w:rsidR="00F2105A" w:rsidRDefault="00966C65" w:rsidP="006C00CE">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21</w:t>
            </w:r>
            <w:r>
              <w:rPr>
                <w:rFonts w:ascii="Arial Narrow" w:hAnsi="Arial Narrow" w:cs="Arial"/>
                <w:sz w:val="24"/>
                <w:szCs w:val="24"/>
              </w:rPr>
              <w:t xml:space="preserve">] </w:t>
            </w:r>
            <w:r w:rsidR="00013135">
              <w:rPr>
                <w:rFonts w:ascii="Arial Narrow" w:hAnsi="Arial Narrow" w:cs="Arial"/>
                <w:sz w:val="24"/>
                <w:szCs w:val="24"/>
              </w:rPr>
              <w:t xml:space="preserve">      </w:t>
            </w:r>
            <w:r w:rsidR="00C13386">
              <w:rPr>
                <w:rFonts w:ascii="Arial Narrow" w:hAnsi="Arial Narrow" w:cs="Arial"/>
                <w:sz w:val="24"/>
                <w:szCs w:val="24"/>
              </w:rPr>
              <w:t xml:space="preserve">The affidavit </w:t>
            </w:r>
            <w:r w:rsidR="006C00CE" w:rsidRPr="006C00CE">
              <w:rPr>
                <w:rFonts w:ascii="Arial Narrow" w:hAnsi="Arial Narrow" w:cs="Arial"/>
                <w:sz w:val="24"/>
                <w:szCs w:val="24"/>
              </w:rPr>
              <w:t>fails to satisfactorily deal with the steps taken during the entire period of delay</w:t>
            </w:r>
            <w:r w:rsidR="006C00CE">
              <w:rPr>
                <w:rFonts w:ascii="Arial Narrow" w:hAnsi="Arial Narrow" w:cs="Arial"/>
                <w:sz w:val="24"/>
                <w:szCs w:val="24"/>
              </w:rPr>
              <w:t xml:space="preserve">. </w:t>
            </w:r>
            <w:r w:rsidR="00F2105A">
              <w:rPr>
                <w:rFonts w:ascii="Arial Narrow" w:hAnsi="Arial Narrow" w:cs="Arial"/>
                <w:sz w:val="24"/>
                <w:szCs w:val="24"/>
              </w:rPr>
              <w:t xml:space="preserve">The court had ordered on 20 February </w:t>
            </w:r>
            <w:r w:rsidR="005B1DB2">
              <w:rPr>
                <w:rFonts w:ascii="Arial Narrow" w:hAnsi="Arial Narrow" w:cs="Arial"/>
                <w:sz w:val="24"/>
                <w:szCs w:val="24"/>
              </w:rPr>
              <w:t xml:space="preserve">2020 </w:t>
            </w:r>
            <w:r w:rsidR="00F2105A">
              <w:rPr>
                <w:rFonts w:ascii="Arial Narrow" w:hAnsi="Arial Narrow" w:cs="Arial"/>
                <w:sz w:val="24"/>
                <w:szCs w:val="24"/>
              </w:rPr>
              <w:t>that the heads are to be filed 10 days prior to date of hearing, which would have been on 13 March 2020, however counsel for the appl</w:t>
            </w:r>
            <w:r w:rsidR="0061406E">
              <w:rPr>
                <w:rFonts w:ascii="Arial Narrow" w:hAnsi="Arial Narrow" w:cs="Arial"/>
                <w:sz w:val="24"/>
                <w:szCs w:val="24"/>
              </w:rPr>
              <w:t xml:space="preserve">icant explained that she could </w:t>
            </w:r>
            <w:r w:rsidR="00F2105A">
              <w:rPr>
                <w:rFonts w:ascii="Arial Narrow" w:hAnsi="Arial Narrow" w:cs="Arial"/>
                <w:sz w:val="24"/>
                <w:szCs w:val="24"/>
              </w:rPr>
              <w:t>not begin drafting the heads as from the 19</w:t>
            </w:r>
            <w:r w:rsidR="00F2105A" w:rsidRPr="00F2105A">
              <w:rPr>
                <w:rFonts w:ascii="Arial Narrow" w:hAnsi="Arial Narrow" w:cs="Arial"/>
                <w:sz w:val="24"/>
                <w:szCs w:val="24"/>
                <w:vertAlign w:val="superscript"/>
              </w:rPr>
              <w:t>th</w:t>
            </w:r>
            <w:r w:rsidR="00F2105A">
              <w:rPr>
                <w:rFonts w:ascii="Arial Narrow" w:hAnsi="Arial Narrow" w:cs="Arial"/>
                <w:sz w:val="24"/>
                <w:szCs w:val="24"/>
              </w:rPr>
              <w:t xml:space="preserve"> of March 2020 as she was feeling</w:t>
            </w:r>
            <w:r w:rsidR="0061406E">
              <w:rPr>
                <w:rFonts w:ascii="Arial Narrow" w:hAnsi="Arial Narrow" w:cs="Arial"/>
                <w:sz w:val="24"/>
                <w:szCs w:val="24"/>
              </w:rPr>
              <w:t xml:space="preserve"> ill</w:t>
            </w:r>
            <w:r w:rsidR="00F2105A">
              <w:rPr>
                <w:rFonts w:ascii="Arial Narrow" w:hAnsi="Arial Narrow" w:cs="Arial"/>
                <w:sz w:val="24"/>
                <w:szCs w:val="24"/>
              </w:rPr>
              <w:t xml:space="preserve">. There </w:t>
            </w:r>
            <w:r w:rsidR="0061406E">
              <w:rPr>
                <w:rFonts w:ascii="Arial Narrow" w:hAnsi="Arial Narrow" w:cs="Arial"/>
                <w:sz w:val="24"/>
                <w:szCs w:val="24"/>
              </w:rPr>
              <w:t>is</w:t>
            </w:r>
            <w:r w:rsidR="00F2105A">
              <w:rPr>
                <w:rFonts w:ascii="Arial Narrow" w:hAnsi="Arial Narrow" w:cs="Arial"/>
                <w:sz w:val="24"/>
                <w:szCs w:val="24"/>
              </w:rPr>
              <w:t xml:space="preserve"> no explanation as to why the heads </w:t>
            </w:r>
            <w:r w:rsidR="0061406E">
              <w:rPr>
                <w:rFonts w:ascii="Arial Narrow" w:hAnsi="Arial Narrow" w:cs="Arial"/>
                <w:sz w:val="24"/>
                <w:szCs w:val="24"/>
              </w:rPr>
              <w:t>could not</w:t>
            </w:r>
            <w:r w:rsidR="00F2105A">
              <w:rPr>
                <w:rFonts w:ascii="Arial Narrow" w:hAnsi="Arial Narrow" w:cs="Arial"/>
                <w:sz w:val="24"/>
                <w:szCs w:val="24"/>
              </w:rPr>
              <w:t xml:space="preserve"> be filed by the 13</w:t>
            </w:r>
            <w:r w:rsidR="00F2105A" w:rsidRPr="00F2105A">
              <w:rPr>
                <w:rFonts w:ascii="Arial Narrow" w:hAnsi="Arial Narrow" w:cs="Arial"/>
                <w:sz w:val="24"/>
                <w:szCs w:val="24"/>
                <w:vertAlign w:val="superscript"/>
              </w:rPr>
              <w:t>th</w:t>
            </w:r>
            <w:r w:rsidR="00F2105A">
              <w:rPr>
                <w:rFonts w:ascii="Arial Narrow" w:hAnsi="Arial Narrow" w:cs="Arial"/>
                <w:sz w:val="24"/>
                <w:szCs w:val="24"/>
              </w:rPr>
              <w:t xml:space="preserve"> of March </w:t>
            </w:r>
            <w:r w:rsidR="00D1584A">
              <w:rPr>
                <w:rFonts w:ascii="Arial Narrow" w:hAnsi="Arial Narrow" w:cs="Arial"/>
                <w:sz w:val="24"/>
                <w:szCs w:val="24"/>
              </w:rPr>
              <w:t xml:space="preserve">2020 </w:t>
            </w:r>
            <w:r w:rsidR="00F2105A">
              <w:rPr>
                <w:rFonts w:ascii="Arial Narrow" w:hAnsi="Arial Narrow" w:cs="Arial"/>
                <w:sz w:val="24"/>
                <w:szCs w:val="24"/>
              </w:rPr>
              <w:t xml:space="preserve">as that is the day they were due. </w:t>
            </w:r>
            <w:r w:rsidR="00D1584A">
              <w:rPr>
                <w:rFonts w:ascii="Arial Narrow" w:hAnsi="Arial Narrow" w:cs="Arial"/>
                <w:sz w:val="24"/>
                <w:szCs w:val="24"/>
              </w:rPr>
              <w:t xml:space="preserve">There is </w:t>
            </w:r>
            <w:r w:rsidR="0061406E">
              <w:rPr>
                <w:rFonts w:ascii="Arial Narrow" w:hAnsi="Arial Narrow" w:cs="Arial"/>
                <w:sz w:val="24"/>
                <w:szCs w:val="24"/>
              </w:rPr>
              <w:t xml:space="preserve">therefore </w:t>
            </w:r>
            <w:r w:rsidR="00D1584A">
              <w:rPr>
                <w:rFonts w:ascii="Arial Narrow" w:hAnsi="Arial Narrow" w:cs="Arial"/>
                <w:sz w:val="24"/>
                <w:szCs w:val="24"/>
              </w:rPr>
              <w:t xml:space="preserve">no explanation for the period </w:t>
            </w:r>
            <w:r w:rsidR="0061406E">
              <w:rPr>
                <w:rFonts w:ascii="Arial Narrow" w:hAnsi="Arial Narrow" w:cs="Arial"/>
                <w:sz w:val="24"/>
                <w:szCs w:val="24"/>
              </w:rPr>
              <w:t xml:space="preserve">of </w:t>
            </w:r>
            <w:r w:rsidR="00D1584A">
              <w:rPr>
                <w:rFonts w:ascii="Arial Narrow" w:hAnsi="Arial Narrow" w:cs="Arial"/>
                <w:sz w:val="24"/>
                <w:szCs w:val="24"/>
              </w:rPr>
              <w:t xml:space="preserve">13 – 18 March 2020. Court takes note that although there is </w:t>
            </w:r>
            <w:r w:rsidR="0061406E">
              <w:rPr>
                <w:rFonts w:ascii="Arial Narrow" w:hAnsi="Arial Narrow" w:cs="Arial"/>
                <w:sz w:val="24"/>
                <w:szCs w:val="24"/>
              </w:rPr>
              <w:t xml:space="preserve">an </w:t>
            </w:r>
            <w:r w:rsidR="00D1584A">
              <w:rPr>
                <w:rFonts w:ascii="Arial Narrow" w:hAnsi="Arial Narrow" w:cs="Arial"/>
                <w:sz w:val="24"/>
                <w:szCs w:val="24"/>
              </w:rPr>
              <w:t xml:space="preserve">explanation for the delay as </w:t>
            </w:r>
            <w:r w:rsidR="0061406E">
              <w:rPr>
                <w:rFonts w:ascii="Arial Narrow" w:hAnsi="Arial Narrow" w:cs="Arial"/>
                <w:sz w:val="24"/>
                <w:szCs w:val="24"/>
              </w:rPr>
              <w:t>f</w:t>
            </w:r>
            <w:r w:rsidR="00D1584A">
              <w:rPr>
                <w:rFonts w:ascii="Arial Narrow" w:hAnsi="Arial Narrow" w:cs="Arial"/>
                <w:sz w:val="24"/>
                <w:szCs w:val="24"/>
              </w:rPr>
              <w:t xml:space="preserve">rom 19 March 2020 to 5 May 2020, there is no explanation for the period of 1 – 6 May 2020 </w:t>
            </w:r>
            <w:r w:rsidR="00D1584A" w:rsidRPr="003F0C01">
              <w:rPr>
                <w:rFonts w:ascii="Arial Narrow" w:hAnsi="Arial Narrow" w:cs="Arial"/>
                <w:sz w:val="24"/>
                <w:szCs w:val="24"/>
              </w:rPr>
              <w:t>nor 1</w:t>
            </w:r>
            <w:r w:rsidR="003F0C01" w:rsidRPr="003F0C01">
              <w:rPr>
                <w:rFonts w:ascii="Arial Narrow" w:hAnsi="Arial Narrow" w:cs="Arial"/>
                <w:sz w:val="24"/>
                <w:szCs w:val="24"/>
              </w:rPr>
              <w:t>1</w:t>
            </w:r>
            <w:r w:rsidR="00D1584A" w:rsidRPr="003F0C01">
              <w:rPr>
                <w:rFonts w:ascii="Arial Narrow" w:hAnsi="Arial Narrow" w:cs="Arial"/>
                <w:sz w:val="24"/>
                <w:szCs w:val="24"/>
              </w:rPr>
              <w:t xml:space="preserve"> – 13 May 2020 when the affidavit was eventually emailed to my chambers. </w:t>
            </w:r>
            <w:r w:rsidR="0061406E" w:rsidRPr="003F0C01">
              <w:rPr>
                <w:rFonts w:ascii="Arial Narrow" w:hAnsi="Arial Narrow" w:cs="Arial"/>
                <w:sz w:val="24"/>
                <w:szCs w:val="24"/>
              </w:rPr>
              <w:t xml:space="preserve">The delay, unfortunately, was not explained </w:t>
            </w:r>
            <w:r w:rsidR="0061406E" w:rsidRPr="006C00CE">
              <w:rPr>
                <w:rFonts w:ascii="Arial Narrow" w:hAnsi="Arial Narrow" w:cs="Arial"/>
                <w:sz w:val="24"/>
                <w:szCs w:val="24"/>
              </w:rPr>
              <w:t xml:space="preserve">in a sufficient </w:t>
            </w:r>
            <w:r w:rsidR="0061406E" w:rsidRPr="003F0C01">
              <w:rPr>
                <w:rFonts w:ascii="Arial Narrow" w:hAnsi="Arial Narrow" w:cs="Arial"/>
                <w:sz w:val="24"/>
                <w:szCs w:val="24"/>
              </w:rPr>
              <w:t>manner, which fully details accurately the specific events. The essential allegations in rule 56 must be sufficiently addressed with reference to facts and evidence. A failure to do so amo</w:t>
            </w:r>
            <w:r w:rsidR="003F0C01" w:rsidRPr="003F0C01">
              <w:rPr>
                <w:rFonts w:ascii="Arial Narrow" w:hAnsi="Arial Narrow" w:cs="Arial"/>
                <w:sz w:val="24"/>
                <w:szCs w:val="24"/>
              </w:rPr>
              <w:t>unts to a failure to make out a</w:t>
            </w:r>
            <w:r w:rsidR="00722DEF" w:rsidRPr="003F0C01">
              <w:rPr>
                <w:rFonts w:ascii="Arial Narrow" w:hAnsi="Arial Narrow" w:cs="Arial"/>
                <w:sz w:val="24"/>
                <w:szCs w:val="24"/>
              </w:rPr>
              <w:t xml:space="preserve"> case</w:t>
            </w:r>
            <w:r w:rsidR="0061406E" w:rsidRPr="003F0C01">
              <w:rPr>
                <w:rFonts w:ascii="Arial Narrow" w:hAnsi="Arial Narrow" w:cs="Arial"/>
                <w:sz w:val="24"/>
                <w:szCs w:val="24"/>
              </w:rPr>
              <w:t xml:space="preserve"> for the </w:t>
            </w:r>
            <w:r w:rsidR="00722DEF" w:rsidRPr="003F0C01">
              <w:rPr>
                <w:rFonts w:ascii="Arial Narrow" w:hAnsi="Arial Narrow" w:cs="Arial"/>
                <w:sz w:val="24"/>
                <w:szCs w:val="24"/>
              </w:rPr>
              <w:t xml:space="preserve">relief </w:t>
            </w:r>
            <w:r w:rsidR="0061406E" w:rsidRPr="003F0C01">
              <w:rPr>
                <w:rFonts w:ascii="Arial Narrow" w:hAnsi="Arial Narrow" w:cs="Arial"/>
                <w:sz w:val="24"/>
                <w:szCs w:val="24"/>
              </w:rPr>
              <w:t>sought</w:t>
            </w:r>
            <w:r w:rsidR="0061406E">
              <w:rPr>
                <w:rFonts w:ascii="Arial Narrow" w:hAnsi="Arial Narrow" w:cs="Arial"/>
                <w:sz w:val="24"/>
                <w:szCs w:val="24"/>
              </w:rPr>
              <w:t>.</w:t>
            </w:r>
          </w:p>
          <w:p w:rsidR="00013135" w:rsidRDefault="00013135" w:rsidP="006C00CE">
            <w:pPr>
              <w:spacing w:line="360" w:lineRule="auto"/>
              <w:jc w:val="both"/>
              <w:rPr>
                <w:rFonts w:ascii="Arial Narrow" w:hAnsi="Arial Narrow" w:cs="Arial"/>
                <w:sz w:val="24"/>
                <w:szCs w:val="24"/>
              </w:rPr>
            </w:pPr>
          </w:p>
          <w:p w:rsidR="00013135" w:rsidRDefault="00A347AE" w:rsidP="006C00CE">
            <w:pPr>
              <w:spacing w:line="360" w:lineRule="auto"/>
              <w:jc w:val="both"/>
              <w:rPr>
                <w:rFonts w:ascii="Arial Narrow" w:hAnsi="Arial Narrow" w:cs="Arial"/>
                <w:sz w:val="24"/>
                <w:szCs w:val="24"/>
              </w:rPr>
            </w:pPr>
            <w:r>
              <w:rPr>
                <w:rFonts w:ascii="Arial Narrow" w:hAnsi="Arial Narrow" w:cs="Arial"/>
                <w:sz w:val="24"/>
                <w:szCs w:val="24"/>
              </w:rPr>
              <w:lastRenderedPageBreak/>
              <w:t>[22</w:t>
            </w:r>
            <w:r w:rsidR="00013135">
              <w:rPr>
                <w:rFonts w:ascii="Arial Narrow" w:hAnsi="Arial Narrow" w:cs="Arial"/>
                <w:sz w:val="24"/>
                <w:szCs w:val="24"/>
              </w:rPr>
              <w:t xml:space="preserve">] </w:t>
            </w:r>
            <w:r w:rsidR="009F1576">
              <w:rPr>
                <w:rFonts w:ascii="Arial Narrow" w:hAnsi="Arial Narrow" w:cs="Arial"/>
                <w:sz w:val="24"/>
                <w:szCs w:val="24"/>
              </w:rPr>
              <w:t xml:space="preserve">      </w:t>
            </w:r>
            <w:r w:rsidR="00013135">
              <w:rPr>
                <w:rFonts w:ascii="Arial Narrow" w:hAnsi="Arial Narrow" w:cs="Arial"/>
                <w:sz w:val="24"/>
                <w:szCs w:val="24"/>
              </w:rPr>
              <w:t xml:space="preserve">With regard to the point that applicant merely pays lip service </w:t>
            </w:r>
            <w:r w:rsidR="002B6575">
              <w:rPr>
                <w:rFonts w:ascii="Arial Narrow" w:hAnsi="Arial Narrow" w:cs="Arial"/>
                <w:sz w:val="24"/>
                <w:szCs w:val="24"/>
              </w:rPr>
              <w:t xml:space="preserve">to the </w:t>
            </w:r>
            <w:r w:rsidR="00013135">
              <w:rPr>
                <w:rFonts w:ascii="Arial Narrow" w:hAnsi="Arial Narrow" w:cs="Arial"/>
                <w:sz w:val="24"/>
                <w:szCs w:val="24"/>
              </w:rPr>
              <w:t>Rule 32(9) and (1</w:t>
            </w:r>
            <w:r w:rsidR="002B6575">
              <w:rPr>
                <w:rFonts w:ascii="Arial Narrow" w:hAnsi="Arial Narrow" w:cs="Arial"/>
                <w:sz w:val="24"/>
                <w:szCs w:val="24"/>
              </w:rPr>
              <w:t>0</w:t>
            </w:r>
            <w:r w:rsidR="00013135">
              <w:rPr>
                <w:rFonts w:ascii="Arial Narrow" w:hAnsi="Arial Narrow" w:cs="Arial"/>
                <w:sz w:val="24"/>
                <w:szCs w:val="24"/>
              </w:rPr>
              <w:t>), I am satisfied that the applicant has complied with the rule and engaged the first respondent. This is evident from the evidence adduced by counsel</w:t>
            </w:r>
            <w:r w:rsidR="002B6575">
              <w:rPr>
                <w:rFonts w:ascii="Arial Narrow" w:hAnsi="Arial Narrow" w:cs="Arial"/>
                <w:sz w:val="24"/>
                <w:szCs w:val="24"/>
              </w:rPr>
              <w:t xml:space="preserve"> of</w:t>
            </w:r>
            <w:r w:rsidR="00013135">
              <w:rPr>
                <w:rFonts w:ascii="Arial Narrow" w:hAnsi="Arial Narrow" w:cs="Arial"/>
                <w:sz w:val="24"/>
                <w:szCs w:val="24"/>
              </w:rPr>
              <w:t xml:space="preserve"> her communication with first </w:t>
            </w:r>
            <w:r w:rsidR="002B6575">
              <w:rPr>
                <w:rFonts w:ascii="Arial Narrow" w:hAnsi="Arial Narrow" w:cs="Arial"/>
                <w:sz w:val="24"/>
                <w:szCs w:val="24"/>
              </w:rPr>
              <w:t>respondent’s</w:t>
            </w:r>
            <w:r w:rsidR="00013135">
              <w:rPr>
                <w:rFonts w:ascii="Arial Narrow" w:hAnsi="Arial Narrow" w:cs="Arial"/>
                <w:sz w:val="24"/>
                <w:szCs w:val="24"/>
              </w:rPr>
              <w:t xml:space="preserve"> counsel, which was also conceded </w:t>
            </w:r>
            <w:r w:rsidR="002B6575">
              <w:rPr>
                <w:rFonts w:ascii="Arial Narrow" w:hAnsi="Arial Narrow" w:cs="Arial"/>
                <w:sz w:val="24"/>
                <w:szCs w:val="24"/>
              </w:rPr>
              <w:t>to during</w:t>
            </w:r>
            <w:r w:rsidR="00013135">
              <w:rPr>
                <w:rFonts w:ascii="Arial Narrow" w:hAnsi="Arial Narrow" w:cs="Arial"/>
                <w:sz w:val="24"/>
                <w:szCs w:val="24"/>
              </w:rPr>
              <w:t xml:space="preserve"> oral argument. </w:t>
            </w:r>
          </w:p>
          <w:p w:rsidR="00F2105A" w:rsidRDefault="00F2105A" w:rsidP="006C00CE">
            <w:pPr>
              <w:spacing w:line="360" w:lineRule="auto"/>
              <w:jc w:val="both"/>
              <w:rPr>
                <w:rFonts w:ascii="Arial Narrow" w:hAnsi="Arial Narrow" w:cs="Arial"/>
                <w:sz w:val="24"/>
                <w:szCs w:val="24"/>
              </w:rPr>
            </w:pPr>
          </w:p>
          <w:p w:rsidR="00E51F88" w:rsidRDefault="00A347AE" w:rsidP="006C00CE">
            <w:pPr>
              <w:spacing w:line="360" w:lineRule="auto"/>
              <w:jc w:val="both"/>
              <w:rPr>
                <w:rFonts w:ascii="Arial Narrow" w:hAnsi="Arial Narrow" w:cs="Arial"/>
                <w:sz w:val="24"/>
                <w:szCs w:val="24"/>
              </w:rPr>
            </w:pPr>
            <w:r>
              <w:rPr>
                <w:rFonts w:ascii="Arial Narrow" w:hAnsi="Arial Narrow" w:cs="Arial"/>
                <w:sz w:val="24"/>
                <w:szCs w:val="24"/>
              </w:rPr>
              <w:t>[23</w:t>
            </w:r>
            <w:r w:rsidR="00E51F88">
              <w:rPr>
                <w:rFonts w:ascii="Arial Narrow" w:hAnsi="Arial Narrow" w:cs="Arial"/>
                <w:sz w:val="24"/>
                <w:szCs w:val="24"/>
              </w:rPr>
              <w:t xml:space="preserve">]    Mr </w:t>
            </w:r>
            <w:proofErr w:type="spellStart"/>
            <w:r w:rsidR="00E51F88">
              <w:rPr>
                <w:rFonts w:ascii="Arial Narrow" w:hAnsi="Arial Narrow" w:cs="Arial"/>
                <w:sz w:val="24"/>
                <w:szCs w:val="24"/>
              </w:rPr>
              <w:t>Kauta</w:t>
            </w:r>
            <w:proofErr w:type="spellEnd"/>
            <w:r w:rsidR="00E51F88">
              <w:rPr>
                <w:rFonts w:ascii="Arial Narrow" w:hAnsi="Arial Narrow" w:cs="Arial"/>
                <w:sz w:val="24"/>
                <w:szCs w:val="24"/>
              </w:rPr>
              <w:t xml:space="preserve"> argued that the most important issue upon which the applicant’s application should be dismissed is the failure of the applicant to address prospects of success in its founding affidavit. He referred the Court to the case of </w:t>
            </w:r>
            <w:proofErr w:type="spellStart"/>
            <w:r w:rsidR="00E51F88" w:rsidRPr="00E51F88">
              <w:rPr>
                <w:rFonts w:ascii="Arial Narrow" w:hAnsi="Arial Narrow" w:cs="Arial"/>
                <w:i/>
                <w:sz w:val="24"/>
                <w:szCs w:val="24"/>
              </w:rPr>
              <w:t>Stipp</w:t>
            </w:r>
            <w:proofErr w:type="spellEnd"/>
            <w:r w:rsidR="00E51F88" w:rsidRPr="00E51F88">
              <w:rPr>
                <w:rFonts w:ascii="Arial Narrow" w:hAnsi="Arial Narrow" w:cs="Arial"/>
                <w:i/>
                <w:sz w:val="24"/>
                <w:szCs w:val="24"/>
              </w:rPr>
              <w:t xml:space="preserve"> and Another v Shade Centre and Others</w:t>
            </w:r>
            <w:r w:rsidR="00E51F88">
              <w:rPr>
                <w:rStyle w:val="FootnoteReference"/>
                <w:rFonts w:ascii="Arial Narrow" w:hAnsi="Arial Narrow" w:cs="Arial"/>
                <w:sz w:val="24"/>
                <w:szCs w:val="24"/>
              </w:rPr>
              <w:footnoteReference w:id="2"/>
            </w:r>
            <w:r w:rsidR="00E51F88">
              <w:rPr>
                <w:rFonts w:ascii="Arial Narrow" w:hAnsi="Arial Narrow" w:cs="Arial"/>
                <w:sz w:val="24"/>
                <w:szCs w:val="24"/>
              </w:rPr>
              <w:t xml:space="preserve"> wherein it was stated that:</w:t>
            </w:r>
          </w:p>
          <w:p w:rsidR="00E51F88" w:rsidRDefault="00E51F88" w:rsidP="006C00CE">
            <w:pPr>
              <w:spacing w:line="360" w:lineRule="auto"/>
              <w:jc w:val="both"/>
              <w:rPr>
                <w:rFonts w:ascii="Arial Narrow" w:hAnsi="Arial Narrow" w:cs="Arial"/>
                <w:sz w:val="24"/>
                <w:szCs w:val="24"/>
              </w:rPr>
            </w:pPr>
          </w:p>
          <w:p w:rsidR="00E51F88" w:rsidRPr="0081620D" w:rsidRDefault="00E51F88" w:rsidP="006C00CE">
            <w:pPr>
              <w:spacing w:line="360" w:lineRule="auto"/>
              <w:jc w:val="both"/>
              <w:rPr>
                <w:rFonts w:ascii="Arial Narrow" w:hAnsi="Arial Narrow" w:cs="Arial"/>
              </w:rPr>
            </w:pPr>
            <w:r>
              <w:rPr>
                <w:rFonts w:ascii="Arial Narrow" w:hAnsi="Arial Narrow" w:cs="Arial"/>
                <w:sz w:val="24"/>
                <w:szCs w:val="24"/>
              </w:rPr>
              <w:t xml:space="preserve">             </w:t>
            </w:r>
            <w:r w:rsidRPr="0081620D">
              <w:rPr>
                <w:rFonts w:ascii="Arial Narrow" w:hAnsi="Arial Narrow" w:cs="Arial"/>
              </w:rPr>
              <w:t xml:space="preserve">‘. . . </w:t>
            </w:r>
            <w:proofErr w:type="gramStart"/>
            <w:r w:rsidRPr="0081620D">
              <w:rPr>
                <w:rFonts w:ascii="Arial Narrow" w:hAnsi="Arial Narrow" w:cs="Arial"/>
              </w:rPr>
              <w:t>an</w:t>
            </w:r>
            <w:proofErr w:type="gramEnd"/>
            <w:r w:rsidRPr="0081620D">
              <w:rPr>
                <w:rFonts w:ascii="Arial Narrow" w:hAnsi="Arial Narrow" w:cs="Arial"/>
              </w:rPr>
              <w:t xml:space="preserve"> applicant in motion proceedings must set out his cause of action and supporting evidence in his founding affidavit. It is only in exceptional circumstances that the court will allow an applicant to supplement its </w:t>
            </w:r>
            <w:r w:rsidR="001E3C4C" w:rsidRPr="0081620D">
              <w:rPr>
                <w:rFonts w:ascii="Arial Narrow" w:hAnsi="Arial Narrow" w:cs="Arial"/>
              </w:rPr>
              <w:t>allegations</w:t>
            </w:r>
            <w:r w:rsidRPr="0081620D">
              <w:rPr>
                <w:rFonts w:ascii="Arial Narrow" w:hAnsi="Arial Narrow" w:cs="Arial"/>
              </w:rPr>
              <w:t xml:space="preserve"> in a replying affidav</w:t>
            </w:r>
            <w:r w:rsidR="001E3C4C" w:rsidRPr="0081620D">
              <w:rPr>
                <w:rFonts w:ascii="Arial Narrow" w:hAnsi="Arial Narrow" w:cs="Arial"/>
              </w:rPr>
              <w:t xml:space="preserve">it in order to establish its case. How the court should approach this issue was set out in the case of </w:t>
            </w:r>
            <w:proofErr w:type="spellStart"/>
            <w:r w:rsidR="001E3C4C" w:rsidRPr="0081620D">
              <w:rPr>
                <w:rFonts w:ascii="Arial Narrow" w:hAnsi="Arial Narrow" w:cs="Arial"/>
              </w:rPr>
              <w:t>Titty’s</w:t>
            </w:r>
            <w:proofErr w:type="spellEnd"/>
            <w:r w:rsidR="001E3C4C" w:rsidRPr="0081620D">
              <w:rPr>
                <w:rFonts w:ascii="Arial Narrow" w:hAnsi="Arial Narrow" w:cs="Arial"/>
              </w:rPr>
              <w:t xml:space="preserve"> Bar and Bottle Store (Pty) Ltd v ABC Garage (Pty) Ltd and Others 1974 (4) SA 362 (T). at 369 the following was sta</w:t>
            </w:r>
            <w:r w:rsidR="00420F0E">
              <w:rPr>
                <w:rFonts w:ascii="Arial Narrow" w:hAnsi="Arial Narrow" w:cs="Arial"/>
              </w:rPr>
              <w:t>t</w:t>
            </w:r>
            <w:r w:rsidR="001E3C4C" w:rsidRPr="0081620D">
              <w:rPr>
                <w:rFonts w:ascii="Arial Narrow" w:hAnsi="Arial Narrow" w:cs="Arial"/>
              </w:rPr>
              <w:t>ed by the learned judge:</w:t>
            </w:r>
          </w:p>
          <w:p w:rsidR="001E3C4C" w:rsidRPr="0081620D" w:rsidRDefault="001E3C4C" w:rsidP="006C00CE">
            <w:pPr>
              <w:spacing w:line="360" w:lineRule="auto"/>
              <w:jc w:val="both"/>
              <w:rPr>
                <w:rFonts w:ascii="Arial Narrow" w:hAnsi="Arial Narrow" w:cs="Arial"/>
              </w:rPr>
            </w:pPr>
          </w:p>
          <w:p w:rsidR="001E3C4C" w:rsidRPr="0081620D" w:rsidRDefault="001E3C4C" w:rsidP="006C00CE">
            <w:pPr>
              <w:spacing w:line="360" w:lineRule="auto"/>
              <w:jc w:val="both"/>
              <w:rPr>
                <w:rFonts w:ascii="Arial Narrow" w:hAnsi="Arial Narrow" w:cs="Arial"/>
              </w:rPr>
            </w:pPr>
            <w:r w:rsidRPr="0081620D">
              <w:rPr>
                <w:rFonts w:ascii="Arial Narrow" w:hAnsi="Arial Narrow" w:cs="Arial"/>
              </w:rPr>
              <w:t xml:space="preserve">                          ‘’It lies, of course, in the discretion of the court in each particular case to decide whether the applicant’s founding affidavit contains sufficient allegations for the establishment of his case. Courts do not normally countenance a mere skeleton of a case in the founding affidavit, which skeleton is then sought to be covered in flesh in the replying affidavit</w:t>
            </w:r>
            <w:r w:rsidR="00B23D0D">
              <w:rPr>
                <w:rFonts w:ascii="Arial Narrow" w:hAnsi="Arial Narrow" w:cs="Arial"/>
              </w:rPr>
              <w:t>.</w:t>
            </w:r>
            <w:r w:rsidRPr="0081620D">
              <w:rPr>
                <w:rFonts w:ascii="Arial Narrow" w:hAnsi="Arial Narrow" w:cs="Arial"/>
              </w:rPr>
              <w:t>”</w:t>
            </w:r>
            <w:r w:rsidR="0081620D" w:rsidRPr="0081620D">
              <w:rPr>
                <w:rFonts w:ascii="Arial Narrow" w:hAnsi="Arial Narrow" w:cs="Arial"/>
              </w:rPr>
              <w:t>’</w:t>
            </w:r>
            <w:r w:rsidRPr="0081620D">
              <w:rPr>
                <w:rFonts w:ascii="Arial Narrow" w:hAnsi="Arial Narrow" w:cs="Arial"/>
              </w:rPr>
              <w:t xml:space="preserve"> </w:t>
            </w:r>
          </w:p>
          <w:p w:rsidR="00E51F88" w:rsidRDefault="00E51F88" w:rsidP="006C00CE">
            <w:pPr>
              <w:spacing w:line="360" w:lineRule="auto"/>
              <w:jc w:val="both"/>
              <w:rPr>
                <w:rFonts w:ascii="Arial Narrow" w:hAnsi="Arial Narrow" w:cs="Arial"/>
                <w:sz w:val="24"/>
                <w:szCs w:val="24"/>
              </w:rPr>
            </w:pPr>
          </w:p>
          <w:p w:rsidR="00991780" w:rsidRDefault="00F62376" w:rsidP="00DA6472">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24</w:t>
            </w:r>
            <w:r>
              <w:rPr>
                <w:rFonts w:ascii="Arial Narrow" w:hAnsi="Arial Narrow" w:cs="Arial"/>
                <w:sz w:val="24"/>
                <w:szCs w:val="24"/>
              </w:rPr>
              <w:t>]</w:t>
            </w:r>
            <w:r w:rsidR="008226DC">
              <w:rPr>
                <w:rFonts w:ascii="Arial Narrow" w:hAnsi="Arial Narrow" w:cs="Arial"/>
                <w:sz w:val="24"/>
                <w:szCs w:val="24"/>
              </w:rPr>
              <w:t xml:space="preserve">     </w:t>
            </w:r>
            <w:r>
              <w:rPr>
                <w:rFonts w:ascii="Arial Narrow" w:hAnsi="Arial Narrow" w:cs="Arial"/>
                <w:sz w:val="24"/>
                <w:szCs w:val="24"/>
              </w:rPr>
              <w:t xml:space="preserve">The applicant had an obligation to </w:t>
            </w:r>
            <w:r w:rsidR="006C00CE" w:rsidRPr="006C00CE">
              <w:rPr>
                <w:rFonts w:ascii="Arial Narrow" w:hAnsi="Arial Narrow" w:cs="Arial"/>
                <w:sz w:val="24"/>
                <w:szCs w:val="24"/>
              </w:rPr>
              <w:t>demonstrate on oath, by providing a sufficient factual matrix and eviden</w:t>
            </w:r>
            <w:r w:rsidR="00714492">
              <w:rPr>
                <w:rFonts w:ascii="Arial Narrow" w:hAnsi="Arial Narrow" w:cs="Arial"/>
                <w:sz w:val="24"/>
                <w:szCs w:val="24"/>
              </w:rPr>
              <w:t>ce in support thereof, that it</w:t>
            </w:r>
            <w:r w:rsidR="006C00CE" w:rsidRPr="006C00CE">
              <w:rPr>
                <w:rFonts w:ascii="Arial Narrow" w:hAnsi="Arial Narrow" w:cs="Arial"/>
                <w:sz w:val="24"/>
                <w:szCs w:val="24"/>
              </w:rPr>
              <w:t xml:space="preserve"> at least enjoyed </w:t>
            </w:r>
            <w:r w:rsidR="006C00CE" w:rsidRPr="006C00CE">
              <w:rPr>
                <w:rFonts w:ascii="Arial Narrow" w:hAnsi="Arial Narrow" w:cs="Arial"/>
                <w:i/>
                <w:sz w:val="24"/>
                <w:szCs w:val="24"/>
              </w:rPr>
              <w:t>prima facie</w:t>
            </w:r>
            <w:r w:rsidR="006C00CE" w:rsidRPr="006C00CE">
              <w:rPr>
                <w:rFonts w:ascii="Arial Narrow" w:hAnsi="Arial Narrow" w:cs="Arial"/>
                <w:sz w:val="24"/>
                <w:szCs w:val="24"/>
              </w:rPr>
              <w:t xml:space="preserve"> prospects of success, however </w:t>
            </w:r>
            <w:r w:rsidR="007117DD">
              <w:rPr>
                <w:rFonts w:ascii="Arial Narrow" w:hAnsi="Arial Narrow" w:cs="Arial"/>
                <w:sz w:val="24"/>
                <w:szCs w:val="24"/>
              </w:rPr>
              <w:t>it</w:t>
            </w:r>
            <w:r w:rsidR="006C00CE" w:rsidRPr="006C00CE">
              <w:rPr>
                <w:rFonts w:ascii="Arial Narrow" w:hAnsi="Arial Narrow" w:cs="Arial"/>
                <w:sz w:val="24"/>
                <w:szCs w:val="24"/>
              </w:rPr>
              <w:t xml:space="preserve"> failed to do so. </w:t>
            </w:r>
            <w:r w:rsidR="006F18E6">
              <w:rPr>
                <w:rFonts w:ascii="Arial Narrow" w:hAnsi="Arial Narrow" w:cs="Arial"/>
                <w:sz w:val="24"/>
                <w:szCs w:val="24"/>
              </w:rPr>
              <w:t xml:space="preserve">It is a prerequisite in a condonation application that an applicant must allege prospect of success and the failure to do so renders the application defective. Although prospects of success is not a decisive consideration in a condonation application, an applicant must still allege that element for the court to decide whether prospect of success will be a decisive </w:t>
            </w:r>
            <w:r w:rsidR="00714492">
              <w:rPr>
                <w:rFonts w:ascii="Arial Narrow" w:hAnsi="Arial Narrow" w:cs="Arial"/>
                <w:sz w:val="24"/>
                <w:szCs w:val="24"/>
              </w:rPr>
              <w:t>factor</w:t>
            </w:r>
            <w:r w:rsidR="006F18E6">
              <w:rPr>
                <w:rFonts w:ascii="Arial Narrow" w:hAnsi="Arial Narrow" w:cs="Arial"/>
                <w:sz w:val="24"/>
                <w:szCs w:val="24"/>
              </w:rPr>
              <w:t xml:space="preserve"> or not. Regard having had to the founding </w:t>
            </w:r>
            <w:r w:rsidR="006F18E6" w:rsidRPr="003F0C01">
              <w:rPr>
                <w:rFonts w:ascii="Arial Narrow" w:hAnsi="Arial Narrow" w:cs="Arial"/>
                <w:sz w:val="24"/>
                <w:szCs w:val="24"/>
              </w:rPr>
              <w:t>affidavit of M</w:t>
            </w:r>
            <w:r w:rsidR="00722DEF" w:rsidRPr="003F0C01">
              <w:rPr>
                <w:rFonts w:ascii="Arial Narrow" w:hAnsi="Arial Narrow" w:cs="Arial"/>
                <w:sz w:val="24"/>
                <w:szCs w:val="24"/>
              </w:rPr>
              <w:t>s</w:t>
            </w:r>
            <w:r w:rsidR="006F18E6" w:rsidRPr="003F0C01">
              <w:rPr>
                <w:rFonts w:ascii="Arial Narrow" w:hAnsi="Arial Narrow" w:cs="Arial"/>
                <w:sz w:val="24"/>
                <w:szCs w:val="24"/>
              </w:rPr>
              <w:t xml:space="preserve"> Jason, no such allegations were made and to now raise the issue in the heads, is not sufficient as issues of </w:t>
            </w:r>
            <w:r w:rsidR="006F18E6">
              <w:rPr>
                <w:rFonts w:ascii="Arial Narrow" w:hAnsi="Arial Narrow" w:cs="Arial"/>
                <w:sz w:val="24"/>
                <w:szCs w:val="24"/>
              </w:rPr>
              <w:t>such a nature are to be alleged as evidence in an aff</w:t>
            </w:r>
            <w:r w:rsidR="003F0C01">
              <w:rPr>
                <w:rFonts w:ascii="Arial Narrow" w:hAnsi="Arial Narrow" w:cs="Arial"/>
                <w:sz w:val="24"/>
                <w:szCs w:val="24"/>
              </w:rPr>
              <w:t xml:space="preserve">idavit and not raised in heads. </w:t>
            </w:r>
            <w:r w:rsidR="006F18E6">
              <w:rPr>
                <w:rFonts w:ascii="Arial Narrow" w:hAnsi="Arial Narrow" w:cs="Arial"/>
                <w:sz w:val="24"/>
                <w:szCs w:val="24"/>
              </w:rPr>
              <w:t xml:space="preserve">I therefor uphold the fourth point in </w:t>
            </w:r>
            <w:proofErr w:type="spellStart"/>
            <w:r w:rsidR="006F18E6">
              <w:rPr>
                <w:rFonts w:ascii="Arial Narrow" w:hAnsi="Arial Narrow" w:cs="Arial"/>
                <w:sz w:val="24"/>
                <w:szCs w:val="24"/>
              </w:rPr>
              <w:t>limine</w:t>
            </w:r>
            <w:proofErr w:type="spellEnd"/>
            <w:r w:rsidR="006F18E6">
              <w:rPr>
                <w:rFonts w:ascii="Arial Narrow" w:hAnsi="Arial Narrow" w:cs="Arial"/>
                <w:sz w:val="24"/>
                <w:szCs w:val="24"/>
              </w:rPr>
              <w:t xml:space="preserve"> raised by the first respondent. </w:t>
            </w:r>
          </w:p>
          <w:p w:rsidR="006F18E6" w:rsidRDefault="006F18E6" w:rsidP="00DA6472">
            <w:pPr>
              <w:spacing w:line="360" w:lineRule="auto"/>
              <w:jc w:val="both"/>
              <w:rPr>
                <w:rFonts w:ascii="Arial Narrow" w:hAnsi="Arial Narrow" w:cs="Arial"/>
                <w:sz w:val="24"/>
                <w:szCs w:val="24"/>
              </w:rPr>
            </w:pPr>
          </w:p>
          <w:p w:rsidR="006F18E6" w:rsidRDefault="006F18E6" w:rsidP="00DA6472">
            <w:pPr>
              <w:spacing w:line="360" w:lineRule="auto"/>
              <w:jc w:val="both"/>
              <w:rPr>
                <w:rFonts w:ascii="Arial Narrow" w:hAnsi="Arial Narrow" w:cs="Arial"/>
                <w:sz w:val="24"/>
                <w:szCs w:val="24"/>
              </w:rPr>
            </w:pPr>
            <w:r>
              <w:rPr>
                <w:rFonts w:ascii="Arial Narrow" w:hAnsi="Arial Narrow" w:cs="Arial"/>
                <w:sz w:val="24"/>
                <w:szCs w:val="24"/>
              </w:rPr>
              <w:t>[</w:t>
            </w:r>
            <w:r w:rsidR="00A347AE">
              <w:rPr>
                <w:rFonts w:ascii="Arial Narrow" w:hAnsi="Arial Narrow" w:cs="Arial"/>
                <w:sz w:val="24"/>
                <w:szCs w:val="24"/>
              </w:rPr>
              <w:t>25</w:t>
            </w:r>
            <w:r>
              <w:rPr>
                <w:rFonts w:ascii="Arial Narrow" w:hAnsi="Arial Narrow" w:cs="Arial"/>
                <w:sz w:val="24"/>
                <w:szCs w:val="24"/>
              </w:rPr>
              <w:t xml:space="preserve">] </w:t>
            </w:r>
            <w:r w:rsidR="008226DC">
              <w:rPr>
                <w:rFonts w:ascii="Arial Narrow" w:hAnsi="Arial Narrow" w:cs="Arial"/>
                <w:sz w:val="24"/>
                <w:szCs w:val="24"/>
              </w:rPr>
              <w:t xml:space="preserve">    </w:t>
            </w:r>
            <w:r>
              <w:rPr>
                <w:rFonts w:ascii="Arial Narrow" w:hAnsi="Arial Narrow" w:cs="Arial"/>
                <w:sz w:val="24"/>
                <w:szCs w:val="24"/>
              </w:rPr>
              <w:t xml:space="preserve">I however </w:t>
            </w:r>
            <w:r w:rsidR="00714492">
              <w:rPr>
                <w:rFonts w:ascii="Arial Narrow" w:hAnsi="Arial Narrow" w:cs="Arial"/>
                <w:sz w:val="24"/>
                <w:szCs w:val="24"/>
              </w:rPr>
              <w:t xml:space="preserve">disagree with </w:t>
            </w:r>
            <w:r>
              <w:rPr>
                <w:rFonts w:ascii="Arial Narrow" w:hAnsi="Arial Narrow" w:cs="Arial"/>
                <w:sz w:val="24"/>
                <w:szCs w:val="24"/>
              </w:rPr>
              <w:t xml:space="preserve">Mr </w:t>
            </w:r>
            <w:proofErr w:type="spellStart"/>
            <w:r>
              <w:rPr>
                <w:rFonts w:ascii="Arial Narrow" w:hAnsi="Arial Narrow" w:cs="Arial"/>
                <w:sz w:val="24"/>
                <w:szCs w:val="24"/>
              </w:rPr>
              <w:t>Kauta’s</w:t>
            </w:r>
            <w:proofErr w:type="spellEnd"/>
            <w:r>
              <w:rPr>
                <w:rFonts w:ascii="Arial Narrow" w:hAnsi="Arial Narrow" w:cs="Arial"/>
                <w:sz w:val="24"/>
                <w:szCs w:val="24"/>
              </w:rPr>
              <w:t xml:space="preserve"> argument that the prospect of success relate</w:t>
            </w:r>
            <w:r w:rsidR="00714492">
              <w:rPr>
                <w:rFonts w:ascii="Arial Narrow" w:hAnsi="Arial Narrow" w:cs="Arial"/>
                <w:sz w:val="24"/>
                <w:szCs w:val="24"/>
              </w:rPr>
              <w:t>s</w:t>
            </w:r>
            <w:r>
              <w:rPr>
                <w:rFonts w:ascii="Arial Narrow" w:hAnsi="Arial Narrow" w:cs="Arial"/>
                <w:sz w:val="24"/>
                <w:szCs w:val="24"/>
              </w:rPr>
              <w:t xml:space="preserve"> to the Rule 61 application</w:t>
            </w:r>
            <w:r w:rsidR="00714492">
              <w:rPr>
                <w:rFonts w:ascii="Arial Narrow" w:hAnsi="Arial Narrow" w:cs="Arial"/>
                <w:sz w:val="24"/>
                <w:szCs w:val="24"/>
              </w:rPr>
              <w:t>. His argument is</w:t>
            </w:r>
            <w:r>
              <w:rPr>
                <w:rFonts w:ascii="Arial Narrow" w:hAnsi="Arial Narrow" w:cs="Arial"/>
                <w:sz w:val="24"/>
                <w:szCs w:val="24"/>
              </w:rPr>
              <w:t xml:space="preserve"> misco</w:t>
            </w:r>
            <w:r w:rsidR="00714492">
              <w:rPr>
                <w:rFonts w:ascii="Arial Narrow" w:hAnsi="Arial Narrow" w:cs="Arial"/>
                <w:sz w:val="24"/>
                <w:szCs w:val="24"/>
              </w:rPr>
              <w:t>nceived as</w:t>
            </w:r>
            <w:r>
              <w:rPr>
                <w:rFonts w:ascii="Arial Narrow" w:hAnsi="Arial Narrow" w:cs="Arial"/>
                <w:sz w:val="24"/>
                <w:szCs w:val="24"/>
              </w:rPr>
              <w:t xml:space="preserve"> prospects of success relates to the main action and no</w:t>
            </w:r>
            <w:r w:rsidR="00714492">
              <w:rPr>
                <w:rFonts w:ascii="Arial Narrow" w:hAnsi="Arial Narrow" w:cs="Arial"/>
                <w:sz w:val="24"/>
                <w:szCs w:val="24"/>
              </w:rPr>
              <w:t>t</w:t>
            </w:r>
            <w:r>
              <w:rPr>
                <w:rFonts w:ascii="Arial Narrow" w:hAnsi="Arial Narrow" w:cs="Arial"/>
                <w:sz w:val="24"/>
                <w:szCs w:val="24"/>
              </w:rPr>
              <w:t xml:space="preserve"> the interlocutory application. </w:t>
            </w:r>
          </w:p>
          <w:p w:rsidR="007117DD" w:rsidRDefault="007117DD" w:rsidP="00DA6472">
            <w:pPr>
              <w:spacing w:line="360" w:lineRule="auto"/>
              <w:jc w:val="both"/>
              <w:rPr>
                <w:rFonts w:ascii="Arial Narrow" w:hAnsi="Arial Narrow" w:cs="Arial"/>
                <w:sz w:val="24"/>
                <w:szCs w:val="24"/>
              </w:rPr>
            </w:pPr>
          </w:p>
          <w:p w:rsidR="00991780" w:rsidRPr="00991780" w:rsidRDefault="00991780" w:rsidP="00DA6472">
            <w:pPr>
              <w:spacing w:line="360" w:lineRule="auto"/>
              <w:jc w:val="both"/>
              <w:rPr>
                <w:rFonts w:ascii="Arial Narrow" w:hAnsi="Arial Narrow" w:cs="Arial"/>
                <w:sz w:val="24"/>
                <w:szCs w:val="24"/>
                <w:u w:val="single"/>
              </w:rPr>
            </w:pPr>
            <w:r w:rsidRPr="00991780">
              <w:rPr>
                <w:rFonts w:ascii="Arial Narrow" w:hAnsi="Arial Narrow" w:cs="Arial"/>
                <w:sz w:val="24"/>
                <w:szCs w:val="24"/>
                <w:u w:val="single"/>
              </w:rPr>
              <w:lastRenderedPageBreak/>
              <w:t xml:space="preserve">Costs </w:t>
            </w:r>
          </w:p>
          <w:p w:rsidR="001508A6" w:rsidRDefault="001508A6" w:rsidP="00DA6472">
            <w:pPr>
              <w:spacing w:line="360" w:lineRule="auto"/>
              <w:jc w:val="both"/>
              <w:rPr>
                <w:rFonts w:ascii="Arial Narrow" w:hAnsi="Arial Narrow" w:cs="Arial"/>
                <w:sz w:val="24"/>
                <w:szCs w:val="24"/>
                <w:lang w:val="en-US"/>
              </w:rPr>
            </w:pPr>
          </w:p>
          <w:p w:rsidR="00991780" w:rsidRPr="00991780" w:rsidRDefault="00991780" w:rsidP="00DA6472">
            <w:pPr>
              <w:spacing w:line="360" w:lineRule="auto"/>
              <w:jc w:val="both"/>
              <w:rPr>
                <w:rFonts w:ascii="Arial Narrow" w:hAnsi="Arial Narrow" w:cs="Arial"/>
                <w:sz w:val="24"/>
                <w:szCs w:val="24"/>
                <w:lang w:val="en-US"/>
              </w:rPr>
            </w:pPr>
            <w:r w:rsidRPr="00991780">
              <w:rPr>
                <w:rFonts w:ascii="Arial Narrow" w:hAnsi="Arial Narrow" w:cs="Arial"/>
                <w:sz w:val="24"/>
                <w:szCs w:val="24"/>
                <w:lang w:val="en-US"/>
              </w:rPr>
              <w:t>[</w:t>
            </w:r>
            <w:r w:rsidR="00A347AE">
              <w:rPr>
                <w:rFonts w:ascii="Arial Narrow" w:hAnsi="Arial Narrow" w:cs="Arial"/>
                <w:sz w:val="24"/>
                <w:szCs w:val="24"/>
                <w:lang w:val="en-US"/>
              </w:rPr>
              <w:t>26</w:t>
            </w:r>
            <w:r>
              <w:rPr>
                <w:rFonts w:ascii="Arial Narrow" w:hAnsi="Arial Narrow" w:cs="Arial"/>
                <w:sz w:val="24"/>
                <w:szCs w:val="24"/>
                <w:lang w:val="en-US"/>
              </w:rPr>
              <w:t xml:space="preserve">]   </w:t>
            </w:r>
            <w:r w:rsidR="008226DC">
              <w:rPr>
                <w:rFonts w:ascii="Arial Narrow" w:hAnsi="Arial Narrow" w:cs="Arial"/>
                <w:sz w:val="24"/>
                <w:szCs w:val="24"/>
                <w:lang w:val="en-US"/>
              </w:rPr>
              <w:t xml:space="preserve"> </w:t>
            </w:r>
            <w:r>
              <w:rPr>
                <w:rFonts w:ascii="Arial Narrow" w:hAnsi="Arial Narrow" w:cs="Arial"/>
                <w:sz w:val="24"/>
                <w:szCs w:val="24"/>
                <w:lang w:val="en-US"/>
              </w:rPr>
              <w:t>The</w:t>
            </w:r>
            <w:r w:rsidR="00DA3C26">
              <w:rPr>
                <w:rFonts w:ascii="Arial Narrow" w:hAnsi="Arial Narrow" w:cs="Arial"/>
                <w:sz w:val="24"/>
                <w:szCs w:val="24"/>
                <w:lang w:val="en-US"/>
              </w:rPr>
              <w:t xml:space="preserve"> Courts have a general discretion when it comes to granting costs. As the applicant was not successful in its application for condonation and the first respondent was</w:t>
            </w:r>
            <w:r w:rsidRPr="00991780">
              <w:rPr>
                <w:rFonts w:ascii="Arial Narrow" w:hAnsi="Arial Narrow" w:cs="Arial"/>
                <w:sz w:val="24"/>
                <w:szCs w:val="24"/>
                <w:lang w:val="en-US"/>
              </w:rPr>
              <w:t xml:space="preserve"> justified in opposi</w:t>
            </w:r>
            <w:r w:rsidR="00DA3C26">
              <w:rPr>
                <w:rFonts w:ascii="Arial Narrow" w:hAnsi="Arial Narrow" w:cs="Arial"/>
                <w:sz w:val="24"/>
                <w:szCs w:val="24"/>
                <w:lang w:val="en-US"/>
              </w:rPr>
              <w:t xml:space="preserve">ng the </w:t>
            </w:r>
            <w:r w:rsidR="00F357D7">
              <w:rPr>
                <w:rFonts w:ascii="Arial Narrow" w:hAnsi="Arial Narrow" w:cs="Arial"/>
                <w:sz w:val="24"/>
                <w:szCs w:val="24"/>
                <w:lang w:val="en-US"/>
              </w:rPr>
              <w:t xml:space="preserve">said </w:t>
            </w:r>
            <w:r w:rsidR="00DA3C26">
              <w:rPr>
                <w:rFonts w:ascii="Arial Narrow" w:hAnsi="Arial Narrow" w:cs="Arial"/>
                <w:sz w:val="24"/>
                <w:szCs w:val="24"/>
                <w:lang w:val="en-US"/>
              </w:rPr>
              <w:t>application,</w:t>
            </w:r>
            <w:r w:rsidRPr="00991780">
              <w:rPr>
                <w:rFonts w:ascii="Arial Narrow" w:hAnsi="Arial Narrow" w:cs="Arial"/>
                <w:sz w:val="24"/>
                <w:szCs w:val="24"/>
                <w:lang w:val="en-US"/>
              </w:rPr>
              <w:t xml:space="preserve"> the appli</w:t>
            </w:r>
            <w:r w:rsidR="00DA3C26">
              <w:rPr>
                <w:rFonts w:ascii="Arial Narrow" w:hAnsi="Arial Narrow" w:cs="Arial"/>
                <w:sz w:val="24"/>
                <w:szCs w:val="24"/>
                <w:lang w:val="en-US"/>
              </w:rPr>
              <w:t>cant must be liable for</w:t>
            </w:r>
            <w:r w:rsidRPr="00991780">
              <w:rPr>
                <w:rFonts w:ascii="Arial Narrow" w:hAnsi="Arial Narrow" w:cs="Arial"/>
                <w:sz w:val="24"/>
                <w:szCs w:val="24"/>
                <w:lang w:val="en-US"/>
              </w:rPr>
              <w:t xml:space="preserve"> t</w:t>
            </w:r>
            <w:r w:rsidR="00DA3C26">
              <w:rPr>
                <w:rFonts w:ascii="Arial Narrow" w:hAnsi="Arial Narrow" w:cs="Arial"/>
                <w:sz w:val="24"/>
                <w:szCs w:val="24"/>
                <w:lang w:val="en-US"/>
              </w:rPr>
              <w:t>he cost in opposing the application.</w:t>
            </w:r>
          </w:p>
          <w:p w:rsidR="00991780" w:rsidRDefault="00991780" w:rsidP="00DA6472">
            <w:pPr>
              <w:spacing w:line="360" w:lineRule="auto"/>
              <w:jc w:val="both"/>
              <w:rPr>
                <w:rFonts w:ascii="Arial Narrow" w:hAnsi="Arial Narrow" w:cs="Arial"/>
                <w:sz w:val="24"/>
                <w:szCs w:val="24"/>
                <w:lang w:val="en-US"/>
              </w:rPr>
            </w:pPr>
          </w:p>
          <w:p w:rsidR="00DA6472" w:rsidRPr="00816120" w:rsidRDefault="00A347AE" w:rsidP="00816120">
            <w:pPr>
              <w:spacing w:line="360" w:lineRule="auto"/>
              <w:jc w:val="both"/>
              <w:rPr>
                <w:rFonts w:ascii="Arial Narrow" w:hAnsi="Arial Narrow" w:cs="Arial"/>
                <w:sz w:val="24"/>
                <w:szCs w:val="24"/>
                <w:lang w:val="en-US"/>
              </w:rPr>
            </w:pPr>
            <w:r>
              <w:rPr>
                <w:rFonts w:ascii="Arial Narrow" w:hAnsi="Arial Narrow" w:cs="Arial"/>
                <w:sz w:val="24"/>
                <w:szCs w:val="24"/>
                <w:lang w:val="en-US"/>
              </w:rPr>
              <w:t>[27</w:t>
            </w:r>
            <w:r w:rsidR="003B4C2A">
              <w:rPr>
                <w:rFonts w:ascii="Arial Narrow" w:hAnsi="Arial Narrow" w:cs="Arial"/>
                <w:sz w:val="24"/>
                <w:szCs w:val="24"/>
                <w:lang w:val="en-US"/>
              </w:rPr>
              <w:t>]</w:t>
            </w:r>
            <w:r w:rsidR="00CF3B2E">
              <w:rPr>
                <w:rFonts w:ascii="Arial Narrow" w:hAnsi="Arial Narrow" w:cs="Arial"/>
                <w:sz w:val="24"/>
                <w:szCs w:val="24"/>
                <w:lang w:val="en-US"/>
              </w:rPr>
              <w:t xml:space="preserve">     </w:t>
            </w:r>
            <w:r w:rsidR="006A6F65">
              <w:rPr>
                <w:rFonts w:ascii="Arial Narrow" w:hAnsi="Arial Narrow" w:cs="Arial"/>
                <w:sz w:val="24"/>
                <w:szCs w:val="24"/>
                <w:lang w:val="en-US"/>
              </w:rPr>
              <w:t>My order is therefor</w:t>
            </w:r>
            <w:r w:rsidR="00571AC1">
              <w:rPr>
                <w:rFonts w:ascii="Arial Narrow" w:hAnsi="Arial Narrow" w:cs="Arial"/>
                <w:sz w:val="24"/>
                <w:szCs w:val="24"/>
                <w:lang w:val="en-US"/>
              </w:rPr>
              <w:t xml:space="preserve"> as</w:t>
            </w:r>
            <w:r w:rsidR="006A6F65">
              <w:rPr>
                <w:rFonts w:ascii="Arial Narrow" w:hAnsi="Arial Narrow" w:cs="Arial"/>
                <w:sz w:val="24"/>
                <w:szCs w:val="24"/>
                <w:lang w:val="en-US"/>
              </w:rPr>
              <w:t xml:space="preserve"> </w:t>
            </w:r>
            <w:r w:rsidR="00571AC1">
              <w:rPr>
                <w:rFonts w:ascii="Arial Narrow" w:hAnsi="Arial Narrow" w:cs="Arial"/>
                <w:sz w:val="24"/>
                <w:szCs w:val="24"/>
                <w:lang w:val="en-US"/>
              </w:rPr>
              <w:t xml:space="preserve">set out </w:t>
            </w:r>
            <w:r w:rsidR="00AB77A2">
              <w:rPr>
                <w:rFonts w:ascii="Arial Narrow" w:hAnsi="Arial Narrow" w:cs="Arial"/>
                <w:sz w:val="24"/>
                <w:szCs w:val="24"/>
                <w:lang w:val="en-US"/>
              </w:rPr>
              <w:t>above.</w:t>
            </w:r>
          </w:p>
          <w:p w:rsidR="00DA6472" w:rsidRPr="00DE5F56" w:rsidRDefault="00DA6472" w:rsidP="00DA6472">
            <w:pPr>
              <w:spacing w:line="360" w:lineRule="auto"/>
              <w:jc w:val="center"/>
              <w:rPr>
                <w:rFonts w:ascii="Arial Narrow" w:hAnsi="Arial Narrow" w:cs="Arial"/>
                <w:sz w:val="24"/>
                <w:szCs w:val="24"/>
              </w:rPr>
            </w:pPr>
          </w:p>
        </w:tc>
      </w:tr>
      <w:tr w:rsidR="00D26CB5" w:rsidRPr="00E757E9" w:rsidTr="0092129C">
        <w:tc>
          <w:tcPr>
            <w:tcW w:w="4770" w:type="dxa"/>
          </w:tcPr>
          <w:p w:rsidR="00D26CB5" w:rsidRPr="00E757E9" w:rsidRDefault="00A8443D" w:rsidP="00DA6472">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r w:rsidR="00D926C9">
              <w:rPr>
                <w:rFonts w:ascii="Arial Narrow" w:hAnsi="Arial Narrow" w:cs="Arial"/>
                <w:b/>
                <w:sz w:val="24"/>
                <w:szCs w:val="24"/>
              </w:rPr>
              <w:t>Judge’s signature</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DA6472">
            <w:pPr>
              <w:spacing w:line="360" w:lineRule="auto"/>
              <w:jc w:val="both"/>
              <w:rPr>
                <w:rFonts w:ascii="Arial Narrow" w:hAnsi="Arial Narrow" w:cs="Arial"/>
                <w:sz w:val="24"/>
                <w:szCs w:val="24"/>
              </w:rPr>
            </w:pPr>
          </w:p>
          <w:p w:rsidR="00D26CB5" w:rsidRDefault="00D26CB5" w:rsidP="00DA6472">
            <w:pPr>
              <w:spacing w:line="360" w:lineRule="auto"/>
              <w:jc w:val="both"/>
              <w:rPr>
                <w:rFonts w:ascii="Arial Narrow" w:hAnsi="Arial Narrow" w:cs="Arial"/>
                <w:sz w:val="24"/>
                <w:szCs w:val="24"/>
              </w:rPr>
            </w:pPr>
          </w:p>
          <w:p w:rsidR="002B4E8C" w:rsidRPr="00E757E9" w:rsidRDefault="002B4E8C" w:rsidP="00DA6472">
            <w:pPr>
              <w:spacing w:line="360" w:lineRule="auto"/>
              <w:jc w:val="both"/>
              <w:rPr>
                <w:rFonts w:ascii="Arial Narrow" w:hAnsi="Arial Narrow" w:cs="Arial"/>
                <w:sz w:val="24"/>
                <w:szCs w:val="24"/>
              </w:rPr>
            </w:pPr>
          </w:p>
          <w:p w:rsidR="00D26CB5" w:rsidRPr="00E757E9" w:rsidRDefault="00D26CB5" w:rsidP="00DA6472">
            <w:pPr>
              <w:spacing w:line="360" w:lineRule="auto"/>
              <w:jc w:val="both"/>
              <w:rPr>
                <w:rFonts w:ascii="Arial Narrow" w:hAnsi="Arial Narrow" w:cs="Arial"/>
                <w:sz w:val="24"/>
                <w:szCs w:val="24"/>
              </w:rPr>
            </w:pPr>
          </w:p>
        </w:tc>
        <w:tc>
          <w:tcPr>
            <w:tcW w:w="4950" w:type="dxa"/>
            <w:gridSpan w:val="2"/>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571AC1" w:rsidP="00DA6472">
            <w:pPr>
              <w:spacing w:line="360" w:lineRule="auto"/>
              <w:jc w:val="center"/>
              <w:rPr>
                <w:rFonts w:ascii="Arial Narrow" w:hAnsi="Arial Narrow" w:cs="Arial"/>
                <w:b/>
                <w:sz w:val="24"/>
                <w:szCs w:val="24"/>
              </w:rPr>
            </w:pPr>
            <w:r>
              <w:rPr>
                <w:rFonts w:ascii="Arial Narrow" w:hAnsi="Arial Narrow" w:cs="Arial"/>
                <w:b/>
                <w:sz w:val="24"/>
                <w:szCs w:val="24"/>
              </w:rPr>
              <w:t>Plaintiff</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w:t>
            </w:r>
            <w:r w:rsidR="00503E59">
              <w:rPr>
                <w:rFonts w:ascii="Arial Narrow" w:hAnsi="Arial Narrow" w:cs="Arial"/>
                <w:b/>
                <w:sz w:val="24"/>
                <w:szCs w:val="24"/>
              </w:rPr>
              <w:t>First R</w:t>
            </w:r>
            <w:r w:rsidRPr="00E757E9">
              <w:rPr>
                <w:rFonts w:ascii="Arial Narrow" w:hAnsi="Arial Narrow" w:cs="Arial"/>
                <w:b/>
                <w:sz w:val="24"/>
                <w:szCs w:val="24"/>
              </w:rPr>
              <w:t>espondent</w:t>
            </w:r>
            <w:r w:rsidR="00567A34">
              <w:rPr>
                <w:rFonts w:ascii="Arial Narrow" w:hAnsi="Arial Narrow" w:cs="Arial"/>
                <w:b/>
                <w:sz w:val="24"/>
                <w:szCs w:val="24"/>
              </w:rPr>
              <w:t xml:space="preserve"> </w:t>
            </w:r>
          </w:p>
        </w:tc>
      </w:tr>
      <w:tr w:rsidR="00D26CB5" w:rsidRPr="00E757E9" w:rsidTr="0092129C">
        <w:tc>
          <w:tcPr>
            <w:tcW w:w="4770" w:type="dxa"/>
          </w:tcPr>
          <w:p w:rsidR="00D26CB5" w:rsidRDefault="00503E59" w:rsidP="00DA6472">
            <w:pPr>
              <w:spacing w:line="360" w:lineRule="auto"/>
              <w:jc w:val="center"/>
              <w:rPr>
                <w:rFonts w:ascii="Arial Narrow" w:hAnsi="Arial Narrow" w:cs="Arial"/>
                <w:sz w:val="24"/>
                <w:szCs w:val="24"/>
              </w:rPr>
            </w:pPr>
            <w:r>
              <w:rPr>
                <w:rFonts w:ascii="Arial Narrow" w:hAnsi="Arial Narrow" w:cs="Arial"/>
                <w:sz w:val="24"/>
                <w:szCs w:val="24"/>
              </w:rPr>
              <w:t xml:space="preserve">Ms A </w:t>
            </w:r>
            <w:proofErr w:type="spellStart"/>
            <w:r w:rsidRPr="003F0C01">
              <w:rPr>
                <w:rFonts w:ascii="Arial Narrow" w:hAnsi="Arial Narrow" w:cs="Arial"/>
                <w:sz w:val="24"/>
                <w:szCs w:val="24"/>
              </w:rPr>
              <w:t>Ndeyapo</w:t>
            </w:r>
            <w:proofErr w:type="spellEnd"/>
            <w:r w:rsidR="006117D4" w:rsidRPr="003F0C01">
              <w:rPr>
                <w:rFonts w:ascii="Arial Narrow" w:hAnsi="Arial Narrow" w:cs="Arial"/>
                <w:sz w:val="24"/>
                <w:szCs w:val="24"/>
              </w:rPr>
              <w:t xml:space="preserve"> </w:t>
            </w:r>
            <w:r w:rsidR="00722DEF" w:rsidRPr="003F0C01">
              <w:rPr>
                <w:rFonts w:ascii="Arial Narrow" w:hAnsi="Arial Narrow" w:cs="Arial"/>
                <w:sz w:val="24"/>
                <w:szCs w:val="24"/>
              </w:rPr>
              <w:t>Jason</w:t>
            </w:r>
          </w:p>
          <w:p w:rsidR="00D926C9" w:rsidRDefault="006117D4" w:rsidP="00DA6472">
            <w:pPr>
              <w:spacing w:line="360" w:lineRule="auto"/>
              <w:jc w:val="center"/>
              <w:rPr>
                <w:rFonts w:ascii="Arial Narrow" w:hAnsi="Arial Narrow" w:cs="Arial"/>
                <w:sz w:val="24"/>
                <w:szCs w:val="24"/>
              </w:rPr>
            </w:pPr>
            <w:r>
              <w:rPr>
                <w:rFonts w:ascii="Arial Narrow" w:hAnsi="Arial Narrow" w:cs="Arial"/>
                <w:sz w:val="24"/>
                <w:szCs w:val="24"/>
              </w:rPr>
              <w:t xml:space="preserve">Of </w:t>
            </w:r>
            <w:r w:rsidR="00D926C9">
              <w:rPr>
                <w:rFonts w:ascii="Arial Narrow" w:hAnsi="Arial Narrow" w:cs="Arial"/>
                <w:sz w:val="24"/>
                <w:szCs w:val="24"/>
              </w:rPr>
              <w:t xml:space="preserve"> </w:t>
            </w:r>
          </w:p>
          <w:p w:rsidR="00D926C9" w:rsidRPr="00E757E9" w:rsidRDefault="00503E59" w:rsidP="00DA6472">
            <w:pPr>
              <w:spacing w:line="360" w:lineRule="auto"/>
              <w:jc w:val="center"/>
              <w:rPr>
                <w:rFonts w:ascii="Arial Narrow" w:hAnsi="Arial Narrow" w:cs="Arial"/>
                <w:sz w:val="24"/>
                <w:szCs w:val="24"/>
              </w:rPr>
            </w:pPr>
            <w:proofErr w:type="spellStart"/>
            <w:r>
              <w:rPr>
                <w:rFonts w:ascii="Arial Narrow" w:hAnsi="Arial Narrow" w:cs="Arial"/>
                <w:sz w:val="24"/>
                <w:szCs w:val="24"/>
              </w:rPr>
              <w:t>Shikongo</w:t>
            </w:r>
            <w:proofErr w:type="spellEnd"/>
            <w:r>
              <w:rPr>
                <w:rFonts w:ascii="Arial Narrow" w:hAnsi="Arial Narrow" w:cs="Arial"/>
                <w:sz w:val="24"/>
                <w:szCs w:val="24"/>
              </w:rPr>
              <w:t xml:space="preserve"> Law Chambers</w:t>
            </w:r>
            <w:r w:rsidR="006117D4">
              <w:rPr>
                <w:rFonts w:ascii="Arial Narrow" w:hAnsi="Arial Narrow" w:cs="Arial"/>
                <w:sz w:val="24"/>
                <w:szCs w:val="24"/>
              </w:rPr>
              <w:t xml:space="preserve"> </w:t>
            </w:r>
          </w:p>
        </w:tc>
        <w:tc>
          <w:tcPr>
            <w:tcW w:w="4950" w:type="dxa"/>
            <w:gridSpan w:val="2"/>
          </w:tcPr>
          <w:p w:rsidR="00D26CB5" w:rsidRDefault="005B3909" w:rsidP="00DA6472">
            <w:pPr>
              <w:spacing w:line="360" w:lineRule="auto"/>
              <w:jc w:val="center"/>
              <w:rPr>
                <w:rFonts w:ascii="Arial Narrow" w:hAnsi="Arial Narrow" w:cs="Arial"/>
                <w:sz w:val="24"/>
                <w:szCs w:val="24"/>
              </w:rPr>
            </w:pPr>
            <w:r>
              <w:rPr>
                <w:rFonts w:ascii="Arial Narrow" w:hAnsi="Arial Narrow" w:cs="Arial"/>
                <w:sz w:val="24"/>
                <w:szCs w:val="24"/>
              </w:rPr>
              <w:t>Mr</w:t>
            </w:r>
            <w:r w:rsidR="00503E59">
              <w:rPr>
                <w:rFonts w:ascii="Arial Narrow" w:hAnsi="Arial Narrow" w:cs="Arial"/>
                <w:sz w:val="24"/>
                <w:szCs w:val="24"/>
              </w:rPr>
              <w:t xml:space="preserve"> P </w:t>
            </w:r>
            <w:proofErr w:type="spellStart"/>
            <w:r w:rsidR="00503E59">
              <w:rPr>
                <w:rFonts w:ascii="Arial Narrow" w:hAnsi="Arial Narrow" w:cs="Arial"/>
                <w:sz w:val="24"/>
                <w:szCs w:val="24"/>
              </w:rPr>
              <w:t>Kauta</w:t>
            </w:r>
            <w:proofErr w:type="spellEnd"/>
          </w:p>
          <w:p w:rsidR="00F8299A" w:rsidRDefault="00F8299A" w:rsidP="00DA6472">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6117D4" w:rsidRPr="00E757E9" w:rsidRDefault="00503E59" w:rsidP="00DA6472">
            <w:pPr>
              <w:spacing w:line="360" w:lineRule="auto"/>
              <w:jc w:val="center"/>
              <w:rPr>
                <w:rFonts w:ascii="Arial Narrow" w:hAnsi="Arial Narrow" w:cs="Arial"/>
                <w:sz w:val="24"/>
                <w:szCs w:val="24"/>
              </w:rPr>
            </w:pPr>
            <w:r>
              <w:rPr>
                <w:rFonts w:ascii="Arial Narrow" w:hAnsi="Arial Narrow" w:cs="Arial"/>
                <w:sz w:val="24"/>
                <w:szCs w:val="24"/>
              </w:rPr>
              <w:t xml:space="preserve">Dr </w:t>
            </w:r>
            <w:proofErr w:type="spellStart"/>
            <w:r>
              <w:rPr>
                <w:rFonts w:ascii="Arial Narrow" w:hAnsi="Arial Narrow" w:cs="Arial"/>
                <w:sz w:val="24"/>
                <w:szCs w:val="24"/>
              </w:rPr>
              <w:t>Weder</w:t>
            </w:r>
            <w:proofErr w:type="spellEnd"/>
            <w:r>
              <w:rPr>
                <w:rFonts w:ascii="Arial Narrow" w:hAnsi="Arial Narrow" w:cs="Arial"/>
                <w:sz w:val="24"/>
                <w:szCs w:val="24"/>
              </w:rPr>
              <w:t xml:space="preserve">, </w:t>
            </w:r>
            <w:proofErr w:type="spellStart"/>
            <w:r>
              <w:rPr>
                <w:rFonts w:ascii="Arial Narrow" w:hAnsi="Arial Narrow" w:cs="Arial"/>
                <w:sz w:val="24"/>
                <w:szCs w:val="24"/>
              </w:rPr>
              <w:t>Kauta</w:t>
            </w:r>
            <w:proofErr w:type="spellEnd"/>
            <w:r>
              <w:rPr>
                <w:rFonts w:ascii="Arial Narrow" w:hAnsi="Arial Narrow" w:cs="Arial"/>
                <w:sz w:val="24"/>
                <w:szCs w:val="24"/>
              </w:rPr>
              <w:t xml:space="preserve"> &amp; </w:t>
            </w:r>
            <w:proofErr w:type="spellStart"/>
            <w:r>
              <w:rPr>
                <w:rFonts w:ascii="Arial Narrow" w:hAnsi="Arial Narrow" w:cs="Arial"/>
                <w:sz w:val="24"/>
                <w:szCs w:val="24"/>
              </w:rPr>
              <w:t>Hoveka</w:t>
            </w:r>
            <w:proofErr w:type="spellEnd"/>
            <w:r>
              <w:rPr>
                <w:rFonts w:ascii="Arial Narrow" w:hAnsi="Arial Narrow" w:cs="Arial"/>
                <w:sz w:val="24"/>
                <w:szCs w:val="24"/>
              </w:rPr>
              <w:t xml:space="preserve"> Inc.</w:t>
            </w:r>
          </w:p>
        </w:tc>
      </w:tr>
    </w:tbl>
    <w:p w:rsidR="00D26CB5" w:rsidRPr="00E757E9" w:rsidRDefault="00D26CB5" w:rsidP="00DA6472">
      <w:pPr>
        <w:spacing w:after="0" w:line="360" w:lineRule="auto"/>
        <w:rPr>
          <w:rFonts w:ascii="Arial Narrow" w:hAnsi="Arial Narrow"/>
          <w:sz w:val="24"/>
          <w:szCs w:val="24"/>
        </w:rPr>
      </w:pPr>
    </w:p>
    <w:sectPr w:rsidR="00D26CB5" w:rsidRPr="00E757E9" w:rsidSect="009937E0">
      <w:headerReference w:type="default" r:id="rId8"/>
      <w:footerReference w:type="default" r:id="rId9"/>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E9" w:rsidRDefault="00FF00E9" w:rsidP="00D01890">
      <w:pPr>
        <w:spacing w:after="0" w:line="240" w:lineRule="auto"/>
      </w:pPr>
      <w:r>
        <w:separator/>
      </w:r>
    </w:p>
  </w:endnote>
  <w:endnote w:type="continuationSeparator" w:id="0">
    <w:p w:rsidR="00FF00E9" w:rsidRDefault="00FF00E9"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E59" w:rsidRDefault="00503E59">
    <w:pPr>
      <w:pStyle w:val="Footer"/>
      <w:jc w:val="right"/>
    </w:pPr>
  </w:p>
  <w:p w:rsidR="00503E59" w:rsidRDefault="00503E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E9" w:rsidRDefault="00FF00E9" w:rsidP="00D01890">
      <w:pPr>
        <w:spacing w:after="0" w:line="240" w:lineRule="auto"/>
      </w:pPr>
      <w:r>
        <w:separator/>
      </w:r>
    </w:p>
  </w:footnote>
  <w:footnote w:type="continuationSeparator" w:id="0">
    <w:p w:rsidR="00FF00E9" w:rsidRDefault="00FF00E9" w:rsidP="00D01890">
      <w:pPr>
        <w:spacing w:after="0" w:line="240" w:lineRule="auto"/>
      </w:pPr>
      <w:r>
        <w:continuationSeparator/>
      </w:r>
    </w:p>
  </w:footnote>
  <w:footnote w:id="1">
    <w:p w:rsidR="00B064C6" w:rsidRPr="00714492" w:rsidRDefault="00B064C6" w:rsidP="00B064C6">
      <w:pPr>
        <w:pStyle w:val="FootnoteText"/>
        <w:jc w:val="both"/>
        <w:rPr>
          <w:rFonts w:ascii="Arial Narrow" w:hAnsi="Arial Narrow"/>
          <w:lang w:val="en-US"/>
        </w:rPr>
      </w:pPr>
      <w:r w:rsidRPr="00714492">
        <w:rPr>
          <w:rStyle w:val="FootnoteReference"/>
          <w:rFonts w:ascii="Arial Narrow" w:hAnsi="Arial Narrow"/>
        </w:rPr>
        <w:footnoteRef/>
      </w:r>
      <w:r w:rsidRPr="00714492">
        <w:rPr>
          <w:rFonts w:ascii="Arial Narrow" w:hAnsi="Arial Narrow"/>
        </w:rPr>
        <w:t xml:space="preserve"> </w:t>
      </w:r>
      <w:r w:rsidRPr="00714492">
        <w:rPr>
          <w:rFonts w:ascii="Arial Narrow" w:hAnsi="Arial Narrow"/>
          <w:lang w:val="en-US"/>
        </w:rPr>
        <w:t>Rule 54(3) states that: ‘Where a party fails to deliver a pleading within the time stated in the case plan order or within any extended time allowed by the managing judge, that party is in default of filing such pleading and is by that very fact barred.’</w:t>
      </w:r>
    </w:p>
  </w:footnote>
  <w:footnote w:id="2">
    <w:p w:rsidR="00E51F88" w:rsidRPr="00714492" w:rsidRDefault="00E51F88">
      <w:pPr>
        <w:pStyle w:val="FootnoteText"/>
        <w:rPr>
          <w:rFonts w:ascii="Arial Narrow" w:hAnsi="Arial Narrow"/>
          <w:lang w:val="en-US"/>
        </w:rPr>
      </w:pPr>
      <w:r w:rsidRPr="00714492">
        <w:rPr>
          <w:rStyle w:val="FootnoteReference"/>
          <w:rFonts w:ascii="Arial Narrow" w:hAnsi="Arial Narrow"/>
        </w:rPr>
        <w:footnoteRef/>
      </w:r>
      <w:r w:rsidRPr="00714492">
        <w:rPr>
          <w:rFonts w:ascii="Arial Narrow" w:hAnsi="Arial Narrow"/>
        </w:rPr>
        <w:t xml:space="preserve"> </w:t>
      </w:r>
      <w:r w:rsidRPr="00714492">
        <w:rPr>
          <w:rFonts w:ascii="Arial Narrow" w:hAnsi="Arial Narrow"/>
          <w:lang w:val="en-US"/>
        </w:rPr>
        <w:t>2007 (2) NR 627 (SC) para 29 at 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03E59" w:rsidRDefault="00503E59">
        <w:pPr>
          <w:pStyle w:val="Header"/>
          <w:jc w:val="right"/>
        </w:pPr>
        <w:r>
          <w:fldChar w:fldCharType="begin"/>
        </w:r>
        <w:r>
          <w:instrText xml:space="preserve"> PAGE   \* MERGEFORMAT </w:instrText>
        </w:r>
        <w:r>
          <w:fldChar w:fldCharType="separate"/>
        </w:r>
        <w:r w:rsidR="00B23D0D">
          <w:rPr>
            <w:noProof/>
          </w:rPr>
          <w:t>7</w:t>
        </w:r>
        <w:r>
          <w:rPr>
            <w:noProof/>
          </w:rPr>
          <w:fldChar w:fldCharType="end"/>
        </w:r>
      </w:p>
    </w:sdtContent>
  </w:sdt>
  <w:p w:rsidR="00503E59" w:rsidRDefault="0050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09070C4"/>
    <w:multiLevelType w:val="multilevel"/>
    <w:tmpl w:val="2F04F9DA"/>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3B2D7989"/>
    <w:multiLevelType w:val="hybridMultilevel"/>
    <w:tmpl w:val="B88C7B1C"/>
    <w:lvl w:ilvl="0" w:tplc="202CB06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6"/>
  </w:num>
  <w:num w:numId="5">
    <w:abstractNumId w:val="7"/>
  </w:num>
  <w:num w:numId="6">
    <w:abstractNumId w:val="4"/>
  </w:num>
  <w:num w:numId="7">
    <w:abstractNumId w:val="8"/>
  </w:num>
  <w:num w:numId="8">
    <w:abstractNumId w:val="0"/>
  </w:num>
  <w:num w:numId="9">
    <w:abstractNumId w:val="2"/>
  </w:num>
  <w:num w:numId="10">
    <w:abstractNumId w:val="1"/>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135"/>
    <w:rsid w:val="00013EC0"/>
    <w:rsid w:val="0002555E"/>
    <w:rsid w:val="000309E0"/>
    <w:rsid w:val="00035699"/>
    <w:rsid w:val="000365F2"/>
    <w:rsid w:val="00040B97"/>
    <w:rsid w:val="0004308D"/>
    <w:rsid w:val="00046FFB"/>
    <w:rsid w:val="000501B3"/>
    <w:rsid w:val="000521B7"/>
    <w:rsid w:val="000674D1"/>
    <w:rsid w:val="00070701"/>
    <w:rsid w:val="00070929"/>
    <w:rsid w:val="00071486"/>
    <w:rsid w:val="00095A3A"/>
    <w:rsid w:val="00097643"/>
    <w:rsid w:val="000A2F65"/>
    <w:rsid w:val="000A3B76"/>
    <w:rsid w:val="000A5ED4"/>
    <w:rsid w:val="000A684E"/>
    <w:rsid w:val="000A774E"/>
    <w:rsid w:val="000B31F0"/>
    <w:rsid w:val="000B35CE"/>
    <w:rsid w:val="000B4FB2"/>
    <w:rsid w:val="000B6102"/>
    <w:rsid w:val="000B7507"/>
    <w:rsid w:val="000C2019"/>
    <w:rsid w:val="000C73FA"/>
    <w:rsid w:val="000D0DD9"/>
    <w:rsid w:val="000D218C"/>
    <w:rsid w:val="000D3044"/>
    <w:rsid w:val="000D648A"/>
    <w:rsid w:val="000D70A9"/>
    <w:rsid w:val="000E043D"/>
    <w:rsid w:val="000E0CB0"/>
    <w:rsid w:val="000E6395"/>
    <w:rsid w:val="000F05FE"/>
    <w:rsid w:val="000F1321"/>
    <w:rsid w:val="000F2DC3"/>
    <w:rsid w:val="000F3A0D"/>
    <w:rsid w:val="000F4B68"/>
    <w:rsid w:val="000F65CB"/>
    <w:rsid w:val="000F6D8E"/>
    <w:rsid w:val="000F7C5C"/>
    <w:rsid w:val="001007FF"/>
    <w:rsid w:val="001068B9"/>
    <w:rsid w:val="001073FB"/>
    <w:rsid w:val="00107CC9"/>
    <w:rsid w:val="001108CF"/>
    <w:rsid w:val="001123FA"/>
    <w:rsid w:val="0011296F"/>
    <w:rsid w:val="00113AED"/>
    <w:rsid w:val="00114FF5"/>
    <w:rsid w:val="001245FD"/>
    <w:rsid w:val="0012786A"/>
    <w:rsid w:val="0013022E"/>
    <w:rsid w:val="00142951"/>
    <w:rsid w:val="00142BD3"/>
    <w:rsid w:val="00145ADA"/>
    <w:rsid w:val="001479DB"/>
    <w:rsid w:val="0015050A"/>
    <w:rsid w:val="001508A6"/>
    <w:rsid w:val="001527CD"/>
    <w:rsid w:val="00153EFE"/>
    <w:rsid w:val="00163161"/>
    <w:rsid w:val="001648D8"/>
    <w:rsid w:val="00164DE0"/>
    <w:rsid w:val="00165A20"/>
    <w:rsid w:val="001673D2"/>
    <w:rsid w:val="0017123B"/>
    <w:rsid w:val="0017237D"/>
    <w:rsid w:val="001727BD"/>
    <w:rsid w:val="0017517E"/>
    <w:rsid w:val="001925AB"/>
    <w:rsid w:val="00192E55"/>
    <w:rsid w:val="00194111"/>
    <w:rsid w:val="001A3C16"/>
    <w:rsid w:val="001A3F99"/>
    <w:rsid w:val="001B330C"/>
    <w:rsid w:val="001B7111"/>
    <w:rsid w:val="001D0856"/>
    <w:rsid w:val="001D15D1"/>
    <w:rsid w:val="001E3C4C"/>
    <w:rsid w:val="001E4FF0"/>
    <w:rsid w:val="001E5CCC"/>
    <w:rsid w:val="001F2E0C"/>
    <w:rsid w:val="001F4781"/>
    <w:rsid w:val="00201138"/>
    <w:rsid w:val="00204929"/>
    <w:rsid w:val="00206E1F"/>
    <w:rsid w:val="00214C81"/>
    <w:rsid w:val="00214E94"/>
    <w:rsid w:val="00216069"/>
    <w:rsid w:val="00216FBD"/>
    <w:rsid w:val="00222323"/>
    <w:rsid w:val="002246A3"/>
    <w:rsid w:val="00226E2F"/>
    <w:rsid w:val="00236156"/>
    <w:rsid w:val="00237DF6"/>
    <w:rsid w:val="00240526"/>
    <w:rsid w:val="00243C8D"/>
    <w:rsid w:val="00247BE3"/>
    <w:rsid w:val="002517B0"/>
    <w:rsid w:val="002522B9"/>
    <w:rsid w:val="00255A67"/>
    <w:rsid w:val="00260F2B"/>
    <w:rsid w:val="0026128E"/>
    <w:rsid w:val="002627CF"/>
    <w:rsid w:val="00262D29"/>
    <w:rsid w:val="00263944"/>
    <w:rsid w:val="002642F9"/>
    <w:rsid w:val="00266084"/>
    <w:rsid w:val="00267013"/>
    <w:rsid w:val="00270FD3"/>
    <w:rsid w:val="002730BF"/>
    <w:rsid w:val="00280ADC"/>
    <w:rsid w:val="0029227C"/>
    <w:rsid w:val="00294281"/>
    <w:rsid w:val="00295333"/>
    <w:rsid w:val="00295D3B"/>
    <w:rsid w:val="00296593"/>
    <w:rsid w:val="002A05DB"/>
    <w:rsid w:val="002A699C"/>
    <w:rsid w:val="002A7603"/>
    <w:rsid w:val="002B0C52"/>
    <w:rsid w:val="002B26C0"/>
    <w:rsid w:val="002B366B"/>
    <w:rsid w:val="002B4E8C"/>
    <w:rsid w:val="002B6575"/>
    <w:rsid w:val="002C0004"/>
    <w:rsid w:val="002C2969"/>
    <w:rsid w:val="002C4E37"/>
    <w:rsid w:val="002C63DD"/>
    <w:rsid w:val="002D78B1"/>
    <w:rsid w:val="002E2FA9"/>
    <w:rsid w:val="002F3704"/>
    <w:rsid w:val="002F4A64"/>
    <w:rsid w:val="002F63D5"/>
    <w:rsid w:val="0030395F"/>
    <w:rsid w:val="00304CD2"/>
    <w:rsid w:val="0030538D"/>
    <w:rsid w:val="0031370C"/>
    <w:rsid w:val="00313CD0"/>
    <w:rsid w:val="003151D7"/>
    <w:rsid w:val="00316E81"/>
    <w:rsid w:val="00321AA9"/>
    <w:rsid w:val="003220DD"/>
    <w:rsid w:val="003221BD"/>
    <w:rsid w:val="003223A4"/>
    <w:rsid w:val="003246A7"/>
    <w:rsid w:val="003246A8"/>
    <w:rsid w:val="0032634A"/>
    <w:rsid w:val="00336EA3"/>
    <w:rsid w:val="003439E3"/>
    <w:rsid w:val="003452EF"/>
    <w:rsid w:val="00346AB7"/>
    <w:rsid w:val="00346EB8"/>
    <w:rsid w:val="00351519"/>
    <w:rsid w:val="00356C0C"/>
    <w:rsid w:val="00361EBC"/>
    <w:rsid w:val="003677C6"/>
    <w:rsid w:val="00370DFB"/>
    <w:rsid w:val="00375095"/>
    <w:rsid w:val="00375F61"/>
    <w:rsid w:val="00384BFF"/>
    <w:rsid w:val="003901FB"/>
    <w:rsid w:val="00390E41"/>
    <w:rsid w:val="003918BE"/>
    <w:rsid w:val="00393C39"/>
    <w:rsid w:val="0039465F"/>
    <w:rsid w:val="00394B64"/>
    <w:rsid w:val="00397C7F"/>
    <w:rsid w:val="003A02EF"/>
    <w:rsid w:val="003A0AED"/>
    <w:rsid w:val="003A125B"/>
    <w:rsid w:val="003A74C2"/>
    <w:rsid w:val="003B4C2A"/>
    <w:rsid w:val="003B7CDA"/>
    <w:rsid w:val="003C2051"/>
    <w:rsid w:val="003C2587"/>
    <w:rsid w:val="003C2FCB"/>
    <w:rsid w:val="003C3525"/>
    <w:rsid w:val="003D6370"/>
    <w:rsid w:val="003D66E0"/>
    <w:rsid w:val="003D7A92"/>
    <w:rsid w:val="003E0400"/>
    <w:rsid w:val="003E1468"/>
    <w:rsid w:val="003E54C3"/>
    <w:rsid w:val="003E5C60"/>
    <w:rsid w:val="003E6198"/>
    <w:rsid w:val="003E72CC"/>
    <w:rsid w:val="003F0C01"/>
    <w:rsid w:val="003F23AF"/>
    <w:rsid w:val="003F40BD"/>
    <w:rsid w:val="003F526F"/>
    <w:rsid w:val="003F6F67"/>
    <w:rsid w:val="004036BB"/>
    <w:rsid w:val="00403A79"/>
    <w:rsid w:val="00404EDF"/>
    <w:rsid w:val="00410EC4"/>
    <w:rsid w:val="00413B7B"/>
    <w:rsid w:val="00420266"/>
    <w:rsid w:val="00420F0E"/>
    <w:rsid w:val="00422236"/>
    <w:rsid w:val="00425233"/>
    <w:rsid w:val="0042554E"/>
    <w:rsid w:val="004262E2"/>
    <w:rsid w:val="00427466"/>
    <w:rsid w:val="0043000E"/>
    <w:rsid w:val="00434521"/>
    <w:rsid w:val="00443B26"/>
    <w:rsid w:val="004502D1"/>
    <w:rsid w:val="00463102"/>
    <w:rsid w:val="00466461"/>
    <w:rsid w:val="004705C9"/>
    <w:rsid w:val="00473CF0"/>
    <w:rsid w:val="0047650B"/>
    <w:rsid w:val="0048245E"/>
    <w:rsid w:val="00484737"/>
    <w:rsid w:val="00487D58"/>
    <w:rsid w:val="00490222"/>
    <w:rsid w:val="0049404B"/>
    <w:rsid w:val="004A0173"/>
    <w:rsid w:val="004A2CFA"/>
    <w:rsid w:val="004A4E75"/>
    <w:rsid w:val="004A67D2"/>
    <w:rsid w:val="004B207A"/>
    <w:rsid w:val="004C0404"/>
    <w:rsid w:val="004C2B3E"/>
    <w:rsid w:val="004D313F"/>
    <w:rsid w:val="004E478D"/>
    <w:rsid w:val="004E6E67"/>
    <w:rsid w:val="004E7F24"/>
    <w:rsid w:val="004F2D2F"/>
    <w:rsid w:val="00503E59"/>
    <w:rsid w:val="00510ACD"/>
    <w:rsid w:val="00513050"/>
    <w:rsid w:val="00513F10"/>
    <w:rsid w:val="00515C38"/>
    <w:rsid w:val="00525292"/>
    <w:rsid w:val="005315E1"/>
    <w:rsid w:val="0053273A"/>
    <w:rsid w:val="00533F79"/>
    <w:rsid w:val="00535679"/>
    <w:rsid w:val="00535ADC"/>
    <w:rsid w:val="00536426"/>
    <w:rsid w:val="00536735"/>
    <w:rsid w:val="00543009"/>
    <w:rsid w:val="00543F56"/>
    <w:rsid w:val="00545944"/>
    <w:rsid w:val="00550AD2"/>
    <w:rsid w:val="00550B2F"/>
    <w:rsid w:val="00552F8B"/>
    <w:rsid w:val="0055737E"/>
    <w:rsid w:val="005578CC"/>
    <w:rsid w:val="00566A0E"/>
    <w:rsid w:val="00567A34"/>
    <w:rsid w:val="00570263"/>
    <w:rsid w:val="00571AC1"/>
    <w:rsid w:val="00573231"/>
    <w:rsid w:val="005732F3"/>
    <w:rsid w:val="00573DD8"/>
    <w:rsid w:val="00576699"/>
    <w:rsid w:val="0057707B"/>
    <w:rsid w:val="00577933"/>
    <w:rsid w:val="005810F7"/>
    <w:rsid w:val="005835E4"/>
    <w:rsid w:val="005852F7"/>
    <w:rsid w:val="00585317"/>
    <w:rsid w:val="00585D76"/>
    <w:rsid w:val="00587CA5"/>
    <w:rsid w:val="00590488"/>
    <w:rsid w:val="00590640"/>
    <w:rsid w:val="005932AF"/>
    <w:rsid w:val="00594D59"/>
    <w:rsid w:val="00595557"/>
    <w:rsid w:val="005A2F0D"/>
    <w:rsid w:val="005A43DF"/>
    <w:rsid w:val="005A6958"/>
    <w:rsid w:val="005A74A7"/>
    <w:rsid w:val="005A750D"/>
    <w:rsid w:val="005B0C75"/>
    <w:rsid w:val="005B1D5C"/>
    <w:rsid w:val="005B1DB2"/>
    <w:rsid w:val="005B1E59"/>
    <w:rsid w:val="005B2C59"/>
    <w:rsid w:val="005B3909"/>
    <w:rsid w:val="005C0368"/>
    <w:rsid w:val="005C401D"/>
    <w:rsid w:val="005C696A"/>
    <w:rsid w:val="005C749D"/>
    <w:rsid w:val="005D11AD"/>
    <w:rsid w:val="005D1985"/>
    <w:rsid w:val="005D4ED9"/>
    <w:rsid w:val="005D6F2A"/>
    <w:rsid w:val="005D7C97"/>
    <w:rsid w:val="005D7EFF"/>
    <w:rsid w:val="005E41B3"/>
    <w:rsid w:val="005E5886"/>
    <w:rsid w:val="005E6254"/>
    <w:rsid w:val="005F0C2B"/>
    <w:rsid w:val="005F27DD"/>
    <w:rsid w:val="005F365C"/>
    <w:rsid w:val="005F393E"/>
    <w:rsid w:val="005F7D87"/>
    <w:rsid w:val="005F7F5E"/>
    <w:rsid w:val="006000CB"/>
    <w:rsid w:val="0060157D"/>
    <w:rsid w:val="00601896"/>
    <w:rsid w:val="00603F97"/>
    <w:rsid w:val="00606780"/>
    <w:rsid w:val="00610647"/>
    <w:rsid w:val="00610EC4"/>
    <w:rsid w:val="006117C1"/>
    <w:rsid w:val="006117D4"/>
    <w:rsid w:val="006136BB"/>
    <w:rsid w:val="0061406E"/>
    <w:rsid w:val="0061500B"/>
    <w:rsid w:val="006172F9"/>
    <w:rsid w:val="006202C8"/>
    <w:rsid w:val="00620752"/>
    <w:rsid w:val="00622002"/>
    <w:rsid w:val="006240AB"/>
    <w:rsid w:val="00625C52"/>
    <w:rsid w:val="006319E1"/>
    <w:rsid w:val="00634712"/>
    <w:rsid w:val="00635E89"/>
    <w:rsid w:val="00637307"/>
    <w:rsid w:val="00641114"/>
    <w:rsid w:val="00642ED0"/>
    <w:rsid w:val="00644E63"/>
    <w:rsid w:val="006479E8"/>
    <w:rsid w:val="00650D03"/>
    <w:rsid w:val="00651AC7"/>
    <w:rsid w:val="00651FBF"/>
    <w:rsid w:val="00653FB1"/>
    <w:rsid w:val="006544FA"/>
    <w:rsid w:val="00654D5F"/>
    <w:rsid w:val="006647DF"/>
    <w:rsid w:val="0067282A"/>
    <w:rsid w:val="00685AE9"/>
    <w:rsid w:val="00691B65"/>
    <w:rsid w:val="0069254A"/>
    <w:rsid w:val="006A06C9"/>
    <w:rsid w:val="006A2CA2"/>
    <w:rsid w:val="006A4D1C"/>
    <w:rsid w:val="006A6151"/>
    <w:rsid w:val="006A6F65"/>
    <w:rsid w:val="006A782A"/>
    <w:rsid w:val="006B34D1"/>
    <w:rsid w:val="006B3E7F"/>
    <w:rsid w:val="006B4E0E"/>
    <w:rsid w:val="006B67DA"/>
    <w:rsid w:val="006C00CE"/>
    <w:rsid w:val="006C014C"/>
    <w:rsid w:val="006C7E6A"/>
    <w:rsid w:val="006D0EF4"/>
    <w:rsid w:val="006D187B"/>
    <w:rsid w:val="006D1C3B"/>
    <w:rsid w:val="006D2737"/>
    <w:rsid w:val="006D6045"/>
    <w:rsid w:val="006E7A06"/>
    <w:rsid w:val="006F1344"/>
    <w:rsid w:val="006F18E6"/>
    <w:rsid w:val="006F6851"/>
    <w:rsid w:val="007035AE"/>
    <w:rsid w:val="00707D8A"/>
    <w:rsid w:val="007117DD"/>
    <w:rsid w:val="00713A59"/>
    <w:rsid w:val="00714492"/>
    <w:rsid w:val="00720794"/>
    <w:rsid w:val="00722DEF"/>
    <w:rsid w:val="00723332"/>
    <w:rsid w:val="007321B3"/>
    <w:rsid w:val="00732C84"/>
    <w:rsid w:val="007332A6"/>
    <w:rsid w:val="00735C76"/>
    <w:rsid w:val="007401A8"/>
    <w:rsid w:val="0074354F"/>
    <w:rsid w:val="00743821"/>
    <w:rsid w:val="00744206"/>
    <w:rsid w:val="00746B8B"/>
    <w:rsid w:val="00747312"/>
    <w:rsid w:val="0075709E"/>
    <w:rsid w:val="00757C5F"/>
    <w:rsid w:val="00760961"/>
    <w:rsid w:val="007619D2"/>
    <w:rsid w:val="00761DA2"/>
    <w:rsid w:val="00762E9C"/>
    <w:rsid w:val="00765FCC"/>
    <w:rsid w:val="00771E08"/>
    <w:rsid w:val="00771EB8"/>
    <w:rsid w:val="0077720E"/>
    <w:rsid w:val="007777C3"/>
    <w:rsid w:val="0078168A"/>
    <w:rsid w:val="0078452F"/>
    <w:rsid w:val="007847BA"/>
    <w:rsid w:val="0078507C"/>
    <w:rsid w:val="007868F5"/>
    <w:rsid w:val="007878E1"/>
    <w:rsid w:val="00790373"/>
    <w:rsid w:val="007916A8"/>
    <w:rsid w:val="00791C43"/>
    <w:rsid w:val="00795299"/>
    <w:rsid w:val="007979ED"/>
    <w:rsid w:val="007A537D"/>
    <w:rsid w:val="007A6F9E"/>
    <w:rsid w:val="007A7231"/>
    <w:rsid w:val="007B2011"/>
    <w:rsid w:val="007B2183"/>
    <w:rsid w:val="007B701E"/>
    <w:rsid w:val="007C5F79"/>
    <w:rsid w:val="007C6151"/>
    <w:rsid w:val="007D58A0"/>
    <w:rsid w:val="007D6576"/>
    <w:rsid w:val="007E4BA6"/>
    <w:rsid w:val="007F2F2D"/>
    <w:rsid w:val="00803A1C"/>
    <w:rsid w:val="008056E0"/>
    <w:rsid w:val="008059CD"/>
    <w:rsid w:val="00811209"/>
    <w:rsid w:val="008134FF"/>
    <w:rsid w:val="00815033"/>
    <w:rsid w:val="00815C3D"/>
    <w:rsid w:val="00815DBB"/>
    <w:rsid w:val="00816120"/>
    <w:rsid w:val="0081620D"/>
    <w:rsid w:val="00821EF2"/>
    <w:rsid w:val="008226DC"/>
    <w:rsid w:val="00822DA7"/>
    <w:rsid w:val="008278F9"/>
    <w:rsid w:val="00827DCA"/>
    <w:rsid w:val="00833987"/>
    <w:rsid w:val="0083674E"/>
    <w:rsid w:val="00836EB8"/>
    <w:rsid w:val="008371D5"/>
    <w:rsid w:val="00841BCF"/>
    <w:rsid w:val="00850262"/>
    <w:rsid w:val="00850CE1"/>
    <w:rsid w:val="00851479"/>
    <w:rsid w:val="00852089"/>
    <w:rsid w:val="008632F0"/>
    <w:rsid w:val="00865F24"/>
    <w:rsid w:val="00870753"/>
    <w:rsid w:val="00871FE0"/>
    <w:rsid w:val="00876E3B"/>
    <w:rsid w:val="00883A84"/>
    <w:rsid w:val="008847B0"/>
    <w:rsid w:val="00887270"/>
    <w:rsid w:val="00887AD4"/>
    <w:rsid w:val="008901AF"/>
    <w:rsid w:val="00890FD4"/>
    <w:rsid w:val="008913D9"/>
    <w:rsid w:val="00893C31"/>
    <w:rsid w:val="008A107C"/>
    <w:rsid w:val="008A417A"/>
    <w:rsid w:val="008A4A52"/>
    <w:rsid w:val="008A6453"/>
    <w:rsid w:val="008B0775"/>
    <w:rsid w:val="008B1C07"/>
    <w:rsid w:val="008B478D"/>
    <w:rsid w:val="008B6695"/>
    <w:rsid w:val="008B69F0"/>
    <w:rsid w:val="008D0F38"/>
    <w:rsid w:val="008D1010"/>
    <w:rsid w:val="008D23B9"/>
    <w:rsid w:val="008D6833"/>
    <w:rsid w:val="008D7566"/>
    <w:rsid w:val="008E0283"/>
    <w:rsid w:val="008E27BA"/>
    <w:rsid w:val="008E4FC0"/>
    <w:rsid w:val="008E6CB8"/>
    <w:rsid w:val="008F5A90"/>
    <w:rsid w:val="008F6C4B"/>
    <w:rsid w:val="00900C9A"/>
    <w:rsid w:val="00900EAE"/>
    <w:rsid w:val="00901965"/>
    <w:rsid w:val="00905D4B"/>
    <w:rsid w:val="00910FCE"/>
    <w:rsid w:val="009114FF"/>
    <w:rsid w:val="00911F3C"/>
    <w:rsid w:val="00913A93"/>
    <w:rsid w:val="00917569"/>
    <w:rsid w:val="0092129C"/>
    <w:rsid w:val="00922148"/>
    <w:rsid w:val="00923014"/>
    <w:rsid w:val="00924D7D"/>
    <w:rsid w:val="009253D3"/>
    <w:rsid w:val="00941D0F"/>
    <w:rsid w:val="0094348B"/>
    <w:rsid w:val="00943830"/>
    <w:rsid w:val="00943921"/>
    <w:rsid w:val="00944A7A"/>
    <w:rsid w:val="00957A30"/>
    <w:rsid w:val="009626F4"/>
    <w:rsid w:val="0096285D"/>
    <w:rsid w:val="00964066"/>
    <w:rsid w:val="009640B8"/>
    <w:rsid w:val="009645D6"/>
    <w:rsid w:val="00966C65"/>
    <w:rsid w:val="00966FBE"/>
    <w:rsid w:val="009677CC"/>
    <w:rsid w:val="009709AB"/>
    <w:rsid w:val="00970B3B"/>
    <w:rsid w:val="009737C0"/>
    <w:rsid w:val="009758B7"/>
    <w:rsid w:val="00975AE0"/>
    <w:rsid w:val="00975C47"/>
    <w:rsid w:val="009776C2"/>
    <w:rsid w:val="00981DE5"/>
    <w:rsid w:val="0098471B"/>
    <w:rsid w:val="00985685"/>
    <w:rsid w:val="00987EAD"/>
    <w:rsid w:val="00991780"/>
    <w:rsid w:val="009937E0"/>
    <w:rsid w:val="00994150"/>
    <w:rsid w:val="00994469"/>
    <w:rsid w:val="00996096"/>
    <w:rsid w:val="009A26B6"/>
    <w:rsid w:val="009A4D03"/>
    <w:rsid w:val="009A62DB"/>
    <w:rsid w:val="009B1DFD"/>
    <w:rsid w:val="009B22FD"/>
    <w:rsid w:val="009C09E4"/>
    <w:rsid w:val="009C108E"/>
    <w:rsid w:val="009C3892"/>
    <w:rsid w:val="009C7087"/>
    <w:rsid w:val="009D09C6"/>
    <w:rsid w:val="009D499A"/>
    <w:rsid w:val="009D5248"/>
    <w:rsid w:val="009E46FB"/>
    <w:rsid w:val="009E4890"/>
    <w:rsid w:val="009E52F8"/>
    <w:rsid w:val="009F1576"/>
    <w:rsid w:val="009F1F38"/>
    <w:rsid w:val="009F5356"/>
    <w:rsid w:val="009F6B8B"/>
    <w:rsid w:val="009F78A6"/>
    <w:rsid w:val="00A00282"/>
    <w:rsid w:val="00A00DF2"/>
    <w:rsid w:val="00A05107"/>
    <w:rsid w:val="00A05F61"/>
    <w:rsid w:val="00A10933"/>
    <w:rsid w:val="00A13765"/>
    <w:rsid w:val="00A13C75"/>
    <w:rsid w:val="00A15A7C"/>
    <w:rsid w:val="00A15AE2"/>
    <w:rsid w:val="00A16FA7"/>
    <w:rsid w:val="00A17F67"/>
    <w:rsid w:val="00A22E04"/>
    <w:rsid w:val="00A22F11"/>
    <w:rsid w:val="00A241EF"/>
    <w:rsid w:val="00A268AD"/>
    <w:rsid w:val="00A306D3"/>
    <w:rsid w:val="00A31608"/>
    <w:rsid w:val="00A31967"/>
    <w:rsid w:val="00A32333"/>
    <w:rsid w:val="00A334A4"/>
    <w:rsid w:val="00A347AE"/>
    <w:rsid w:val="00A41E82"/>
    <w:rsid w:val="00A442FB"/>
    <w:rsid w:val="00A462EB"/>
    <w:rsid w:val="00A564BC"/>
    <w:rsid w:val="00A571FA"/>
    <w:rsid w:val="00A64956"/>
    <w:rsid w:val="00A64DBC"/>
    <w:rsid w:val="00A65679"/>
    <w:rsid w:val="00A66250"/>
    <w:rsid w:val="00A67C5B"/>
    <w:rsid w:val="00A70A19"/>
    <w:rsid w:val="00A70BA9"/>
    <w:rsid w:val="00A71F7B"/>
    <w:rsid w:val="00A81368"/>
    <w:rsid w:val="00A8296E"/>
    <w:rsid w:val="00A8443D"/>
    <w:rsid w:val="00A873AE"/>
    <w:rsid w:val="00A87A20"/>
    <w:rsid w:val="00A9077C"/>
    <w:rsid w:val="00A9701C"/>
    <w:rsid w:val="00A97917"/>
    <w:rsid w:val="00AB3DA0"/>
    <w:rsid w:val="00AB77A2"/>
    <w:rsid w:val="00AB7AF6"/>
    <w:rsid w:val="00AC2515"/>
    <w:rsid w:val="00AC3CFB"/>
    <w:rsid w:val="00AC4CE9"/>
    <w:rsid w:val="00AC5934"/>
    <w:rsid w:val="00AC7BA6"/>
    <w:rsid w:val="00AD1512"/>
    <w:rsid w:val="00AD33D9"/>
    <w:rsid w:val="00AD6F3A"/>
    <w:rsid w:val="00AD7ED1"/>
    <w:rsid w:val="00AE123D"/>
    <w:rsid w:val="00AE23C2"/>
    <w:rsid w:val="00AE3254"/>
    <w:rsid w:val="00AE5601"/>
    <w:rsid w:val="00AE5621"/>
    <w:rsid w:val="00AE679E"/>
    <w:rsid w:val="00AF1F05"/>
    <w:rsid w:val="00AF62AE"/>
    <w:rsid w:val="00AF7A07"/>
    <w:rsid w:val="00B025BA"/>
    <w:rsid w:val="00B026E7"/>
    <w:rsid w:val="00B04C63"/>
    <w:rsid w:val="00B05256"/>
    <w:rsid w:val="00B064C6"/>
    <w:rsid w:val="00B0760A"/>
    <w:rsid w:val="00B07803"/>
    <w:rsid w:val="00B154E7"/>
    <w:rsid w:val="00B1578D"/>
    <w:rsid w:val="00B15C01"/>
    <w:rsid w:val="00B17CC0"/>
    <w:rsid w:val="00B2168A"/>
    <w:rsid w:val="00B21F20"/>
    <w:rsid w:val="00B23D0D"/>
    <w:rsid w:val="00B25CC1"/>
    <w:rsid w:val="00B2692D"/>
    <w:rsid w:val="00B275D2"/>
    <w:rsid w:val="00B31F9E"/>
    <w:rsid w:val="00B362E7"/>
    <w:rsid w:val="00B412BB"/>
    <w:rsid w:val="00B412F1"/>
    <w:rsid w:val="00B4465B"/>
    <w:rsid w:val="00B44CB0"/>
    <w:rsid w:val="00B50265"/>
    <w:rsid w:val="00B52D39"/>
    <w:rsid w:val="00B5320D"/>
    <w:rsid w:val="00B56E05"/>
    <w:rsid w:val="00B64921"/>
    <w:rsid w:val="00B653A7"/>
    <w:rsid w:val="00B701B7"/>
    <w:rsid w:val="00B7170F"/>
    <w:rsid w:val="00B732A0"/>
    <w:rsid w:val="00B73A33"/>
    <w:rsid w:val="00B7506D"/>
    <w:rsid w:val="00B77636"/>
    <w:rsid w:val="00B77786"/>
    <w:rsid w:val="00B83727"/>
    <w:rsid w:val="00B839A5"/>
    <w:rsid w:val="00B850C2"/>
    <w:rsid w:val="00B863CD"/>
    <w:rsid w:val="00B8695C"/>
    <w:rsid w:val="00B931A0"/>
    <w:rsid w:val="00B932B1"/>
    <w:rsid w:val="00B94B61"/>
    <w:rsid w:val="00BA6105"/>
    <w:rsid w:val="00BA6108"/>
    <w:rsid w:val="00BB0CA8"/>
    <w:rsid w:val="00BB19DE"/>
    <w:rsid w:val="00BB1ED0"/>
    <w:rsid w:val="00BC12F7"/>
    <w:rsid w:val="00BC77BD"/>
    <w:rsid w:val="00BD04FF"/>
    <w:rsid w:val="00BD1C0E"/>
    <w:rsid w:val="00BD66A2"/>
    <w:rsid w:val="00BE23FC"/>
    <w:rsid w:val="00BE3258"/>
    <w:rsid w:val="00BE72D6"/>
    <w:rsid w:val="00BE7884"/>
    <w:rsid w:val="00BF5422"/>
    <w:rsid w:val="00BF73E2"/>
    <w:rsid w:val="00C00A0E"/>
    <w:rsid w:val="00C0102F"/>
    <w:rsid w:val="00C01336"/>
    <w:rsid w:val="00C0170E"/>
    <w:rsid w:val="00C018BA"/>
    <w:rsid w:val="00C027CE"/>
    <w:rsid w:val="00C13386"/>
    <w:rsid w:val="00C14459"/>
    <w:rsid w:val="00C15B98"/>
    <w:rsid w:val="00C16F39"/>
    <w:rsid w:val="00C17CA0"/>
    <w:rsid w:val="00C23DA7"/>
    <w:rsid w:val="00C31585"/>
    <w:rsid w:val="00C346DC"/>
    <w:rsid w:val="00C366B0"/>
    <w:rsid w:val="00C43ABB"/>
    <w:rsid w:val="00C463A1"/>
    <w:rsid w:val="00C50C3B"/>
    <w:rsid w:val="00C547A8"/>
    <w:rsid w:val="00C6130D"/>
    <w:rsid w:val="00C614E4"/>
    <w:rsid w:val="00C62D8A"/>
    <w:rsid w:val="00C65157"/>
    <w:rsid w:val="00C675C2"/>
    <w:rsid w:val="00C77FF2"/>
    <w:rsid w:val="00C84766"/>
    <w:rsid w:val="00C861E1"/>
    <w:rsid w:val="00C86863"/>
    <w:rsid w:val="00C87A3E"/>
    <w:rsid w:val="00C96AC7"/>
    <w:rsid w:val="00CA6DDF"/>
    <w:rsid w:val="00CB0CDC"/>
    <w:rsid w:val="00CB7958"/>
    <w:rsid w:val="00CC4F56"/>
    <w:rsid w:val="00CD4FFF"/>
    <w:rsid w:val="00CD595C"/>
    <w:rsid w:val="00CD5FD6"/>
    <w:rsid w:val="00CD6EBD"/>
    <w:rsid w:val="00CE1797"/>
    <w:rsid w:val="00CE30E4"/>
    <w:rsid w:val="00CE48FA"/>
    <w:rsid w:val="00CE7606"/>
    <w:rsid w:val="00CF0EE7"/>
    <w:rsid w:val="00CF199C"/>
    <w:rsid w:val="00CF1BDD"/>
    <w:rsid w:val="00CF1E5E"/>
    <w:rsid w:val="00CF3B2E"/>
    <w:rsid w:val="00CF4BBD"/>
    <w:rsid w:val="00CF4FFF"/>
    <w:rsid w:val="00CF6596"/>
    <w:rsid w:val="00D010A9"/>
    <w:rsid w:val="00D01890"/>
    <w:rsid w:val="00D020DD"/>
    <w:rsid w:val="00D044EC"/>
    <w:rsid w:val="00D05363"/>
    <w:rsid w:val="00D07DA9"/>
    <w:rsid w:val="00D125D5"/>
    <w:rsid w:val="00D142EF"/>
    <w:rsid w:val="00D1584A"/>
    <w:rsid w:val="00D2393D"/>
    <w:rsid w:val="00D25575"/>
    <w:rsid w:val="00D26CB5"/>
    <w:rsid w:val="00D307A5"/>
    <w:rsid w:val="00D32037"/>
    <w:rsid w:val="00D373D2"/>
    <w:rsid w:val="00D40FF2"/>
    <w:rsid w:val="00D415E5"/>
    <w:rsid w:val="00D446E3"/>
    <w:rsid w:val="00D446FE"/>
    <w:rsid w:val="00D46451"/>
    <w:rsid w:val="00D506E0"/>
    <w:rsid w:val="00D50D15"/>
    <w:rsid w:val="00D5456D"/>
    <w:rsid w:val="00D55857"/>
    <w:rsid w:val="00D61E20"/>
    <w:rsid w:val="00D6290A"/>
    <w:rsid w:val="00D65215"/>
    <w:rsid w:val="00D80C26"/>
    <w:rsid w:val="00D82F1D"/>
    <w:rsid w:val="00D85A3A"/>
    <w:rsid w:val="00D926C9"/>
    <w:rsid w:val="00D934BF"/>
    <w:rsid w:val="00D93DCF"/>
    <w:rsid w:val="00D94440"/>
    <w:rsid w:val="00D96AF6"/>
    <w:rsid w:val="00DA016A"/>
    <w:rsid w:val="00DA3C26"/>
    <w:rsid w:val="00DA58A6"/>
    <w:rsid w:val="00DA5D99"/>
    <w:rsid w:val="00DA6472"/>
    <w:rsid w:val="00DA65E2"/>
    <w:rsid w:val="00DA73EC"/>
    <w:rsid w:val="00DB1FFC"/>
    <w:rsid w:val="00DB37A3"/>
    <w:rsid w:val="00DB3F0B"/>
    <w:rsid w:val="00DC03E6"/>
    <w:rsid w:val="00DC4B65"/>
    <w:rsid w:val="00DC538C"/>
    <w:rsid w:val="00DC6114"/>
    <w:rsid w:val="00DD05DC"/>
    <w:rsid w:val="00DD1876"/>
    <w:rsid w:val="00DD1E3B"/>
    <w:rsid w:val="00DD3138"/>
    <w:rsid w:val="00DD6023"/>
    <w:rsid w:val="00DE3F8D"/>
    <w:rsid w:val="00DE5F56"/>
    <w:rsid w:val="00DF0655"/>
    <w:rsid w:val="00E0138B"/>
    <w:rsid w:val="00E03273"/>
    <w:rsid w:val="00E036D1"/>
    <w:rsid w:val="00E06384"/>
    <w:rsid w:val="00E14110"/>
    <w:rsid w:val="00E213BB"/>
    <w:rsid w:val="00E22C6E"/>
    <w:rsid w:val="00E25FFF"/>
    <w:rsid w:val="00E26053"/>
    <w:rsid w:val="00E26093"/>
    <w:rsid w:val="00E30CB9"/>
    <w:rsid w:val="00E355EE"/>
    <w:rsid w:val="00E432FC"/>
    <w:rsid w:val="00E44D0B"/>
    <w:rsid w:val="00E51F88"/>
    <w:rsid w:val="00E53ED5"/>
    <w:rsid w:val="00E565A6"/>
    <w:rsid w:val="00E57CA5"/>
    <w:rsid w:val="00E60457"/>
    <w:rsid w:val="00E613CD"/>
    <w:rsid w:val="00E65149"/>
    <w:rsid w:val="00E6609C"/>
    <w:rsid w:val="00E703F8"/>
    <w:rsid w:val="00E715CB"/>
    <w:rsid w:val="00E757E9"/>
    <w:rsid w:val="00E80147"/>
    <w:rsid w:val="00E85763"/>
    <w:rsid w:val="00E871C3"/>
    <w:rsid w:val="00E87AB8"/>
    <w:rsid w:val="00E93192"/>
    <w:rsid w:val="00EA4539"/>
    <w:rsid w:val="00EA499C"/>
    <w:rsid w:val="00EA6E2C"/>
    <w:rsid w:val="00EB42A4"/>
    <w:rsid w:val="00EB45C7"/>
    <w:rsid w:val="00EB550E"/>
    <w:rsid w:val="00EB6763"/>
    <w:rsid w:val="00EC07A6"/>
    <w:rsid w:val="00EC21D4"/>
    <w:rsid w:val="00EC27D4"/>
    <w:rsid w:val="00EC471B"/>
    <w:rsid w:val="00EC71A2"/>
    <w:rsid w:val="00ED0E67"/>
    <w:rsid w:val="00ED14F6"/>
    <w:rsid w:val="00ED4D51"/>
    <w:rsid w:val="00EE498C"/>
    <w:rsid w:val="00EE5019"/>
    <w:rsid w:val="00EF4172"/>
    <w:rsid w:val="00EF50AC"/>
    <w:rsid w:val="00EF644C"/>
    <w:rsid w:val="00EF66CA"/>
    <w:rsid w:val="00F051B5"/>
    <w:rsid w:val="00F06518"/>
    <w:rsid w:val="00F14916"/>
    <w:rsid w:val="00F14BD5"/>
    <w:rsid w:val="00F2105A"/>
    <w:rsid w:val="00F24E5F"/>
    <w:rsid w:val="00F259BF"/>
    <w:rsid w:val="00F26DA6"/>
    <w:rsid w:val="00F35399"/>
    <w:rsid w:val="00F357D7"/>
    <w:rsid w:val="00F3656C"/>
    <w:rsid w:val="00F4328F"/>
    <w:rsid w:val="00F441B7"/>
    <w:rsid w:val="00F51FE0"/>
    <w:rsid w:val="00F520A5"/>
    <w:rsid w:val="00F54ED4"/>
    <w:rsid w:val="00F56E9F"/>
    <w:rsid w:val="00F62376"/>
    <w:rsid w:val="00F63CE8"/>
    <w:rsid w:val="00F72FC6"/>
    <w:rsid w:val="00F7462C"/>
    <w:rsid w:val="00F76477"/>
    <w:rsid w:val="00F777B3"/>
    <w:rsid w:val="00F77E7C"/>
    <w:rsid w:val="00F8299A"/>
    <w:rsid w:val="00F85029"/>
    <w:rsid w:val="00F863A6"/>
    <w:rsid w:val="00F918ED"/>
    <w:rsid w:val="00FA29EF"/>
    <w:rsid w:val="00FA5AA7"/>
    <w:rsid w:val="00FA6230"/>
    <w:rsid w:val="00FA7352"/>
    <w:rsid w:val="00FA7925"/>
    <w:rsid w:val="00FB3741"/>
    <w:rsid w:val="00FC1A32"/>
    <w:rsid w:val="00FC49E4"/>
    <w:rsid w:val="00FC5243"/>
    <w:rsid w:val="00FD2529"/>
    <w:rsid w:val="00FD4687"/>
    <w:rsid w:val="00FD78FF"/>
    <w:rsid w:val="00FE1D6F"/>
    <w:rsid w:val="00FF00E9"/>
    <w:rsid w:val="00FF25F3"/>
    <w:rsid w:val="00FF4187"/>
    <w:rsid w:val="00FF5DEE"/>
    <w:rsid w:val="00FF5E87"/>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0FC8-7221-499A-970B-C171E5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2020-07-01T18:30:00+00:00</Judgment_x0020_Date>
    <Year xmlns="c1afb1bd-f2fb-40fd-9abb-aea55b4d7662">2020</Year>
  </documentManagement>
</p:properties>
</file>

<file path=customXml/itemProps1.xml><?xml version="1.0" encoding="utf-8"?>
<ds:datastoreItem xmlns:ds="http://schemas.openxmlformats.org/officeDocument/2006/customXml" ds:itemID="{70E38210-B11A-4152-90B0-7FBF73F1CF44}"/>
</file>

<file path=customXml/itemProps2.xml><?xml version="1.0" encoding="utf-8"?>
<ds:datastoreItem xmlns:ds="http://schemas.openxmlformats.org/officeDocument/2006/customXml" ds:itemID="{6EE72DC3-0BF7-4DD5-8675-5368FC1F087C}"/>
</file>

<file path=customXml/itemProps3.xml><?xml version="1.0" encoding="utf-8"?>
<ds:datastoreItem xmlns:ds="http://schemas.openxmlformats.org/officeDocument/2006/customXml" ds:itemID="{E0856ED7-A64B-4FEB-9D1E-B613F2C3542C}"/>
</file>

<file path=customXml/itemProps4.xml><?xml version="1.0" encoding="utf-8"?>
<ds:datastoreItem xmlns:ds="http://schemas.openxmlformats.org/officeDocument/2006/customXml" ds:itemID="{33ECB1EA-64DF-4D73-97B4-BEC9F73BEFCA}"/>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Sqaure (Pty) Ltd v The Social Security Commission (HC-MD-CIV-ACT-CON-2017-04390) [2020] NAHCMD 270 (2 July 2020)</dc:title>
  <dc:subject/>
  <dc:creator>Mbeurora Karamata</dc:creator>
  <cp:keywords/>
  <dc:description/>
  <cp:lastModifiedBy>Administrator</cp:lastModifiedBy>
  <cp:revision>2</cp:revision>
  <cp:lastPrinted>2020-07-06T14:54:00Z</cp:lastPrinted>
  <dcterms:created xsi:type="dcterms:W3CDTF">2020-07-13T07:16:00Z</dcterms:created>
  <dcterms:modified xsi:type="dcterms:W3CDTF">2020-07-13T07:16:00Z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