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731D5" w14:textId="77777777" w:rsidR="008B1AC6" w:rsidRPr="004113D3" w:rsidRDefault="008B1AC6" w:rsidP="008B1AC6">
      <w:pPr>
        <w:ind w:left="2160" w:firstLine="720"/>
        <w:rPr>
          <w:rFonts w:ascii="Arial" w:eastAsia="Calibri" w:hAnsi="Arial" w:cs="Arial"/>
          <w:b/>
          <w:sz w:val="24"/>
          <w:szCs w:val="24"/>
        </w:rPr>
      </w:pPr>
      <w:r w:rsidRPr="004113D3">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7BA62BE1" wp14:editId="30EE4C74">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1546F1E3" w14:textId="77777777" w:rsidR="004113D3" w:rsidRDefault="004113D3" w:rsidP="008B1AC6">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5CF68106"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" strokecolor="white">
                <v:textbox>
                  <w:txbxContent>
                    <w:p w:rsidR="004113D3" w:rsidRDefault="004113D3" w:rsidP="008B1AC6">
                      <w:pPr>
                        <w:jc w:val="center"/>
                      </w:pPr>
                    </w:p>
                  </w:txbxContent>
                </v:textbox>
              </v:shape>
            </w:pict>
          </mc:Fallback>
        </mc:AlternateContent>
      </w:r>
      <w:r w:rsidRPr="004113D3">
        <w:rPr>
          <w:rFonts w:ascii="Arial" w:eastAsia="Calibri" w:hAnsi="Arial" w:cs="Arial"/>
          <w:b/>
          <w:sz w:val="24"/>
          <w:szCs w:val="24"/>
        </w:rPr>
        <w:t xml:space="preserve">       REPUBLIC OF NAMIBIA</w:t>
      </w:r>
    </w:p>
    <w:p w14:paraId="460F6CC1" w14:textId="77777777" w:rsidR="008B1AC6" w:rsidRPr="004113D3" w:rsidRDefault="008B1AC6" w:rsidP="008B1AC6">
      <w:pPr>
        <w:jc w:val="center"/>
        <w:rPr>
          <w:rFonts w:ascii="Calibri" w:eastAsia="Calibri" w:hAnsi="Calibri" w:cs="Times New Roman"/>
          <w:b/>
          <w:sz w:val="32"/>
          <w:szCs w:val="32"/>
        </w:rPr>
      </w:pPr>
      <w:r w:rsidRPr="004113D3">
        <w:rPr>
          <w:rFonts w:ascii="Calibri" w:eastAsia="Calibri" w:hAnsi="Calibri" w:cs="Times New Roman"/>
          <w:b/>
          <w:noProof/>
          <w:sz w:val="32"/>
          <w:szCs w:val="32"/>
        </w:rPr>
        <w:drawing>
          <wp:inline distT="0" distB="0" distL="0" distR="0" wp14:anchorId="40F7BF67" wp14:editId="7B76B445">
            <wp:extent cx="1274445" cy="13227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445" cy="1322705"/>
                    </a:xfrm>
                    <a:prstGeom prst="rect">
                      <a:avLst/>
                    </a:prstGeom>
                    <a:noFill/>
                  </pic:spPr>
                </pic:pic>
              </a:graphicData>
            </a:graphic>
          </wp:inline>
        </w:drawing>
      </w:r>
    </w:p>
    <w:p w14:paraId="58CC00AE" w14:textId="77777777" w:rsidR="008B1AC6" w:rsidRPr="004113D3" w:rsidRDefault="008B1AC6" w:rsidP="008B1AC6">
      <w:pPr>
        <w:jc w:val="center"/>
        <w:rPr>
          <w:rFonts w:ascii="Arial" w:eastAsia="Calibri" w:hAnsi="Arial" w:cs="Arial"/>
          <w:bCs/>
          <w:sz w:val="24"/>
          <w:szCs w:val="24"/>
        </w:rPr>
      </w:pPr>
      <w:r w:rsidRPr="004113D3">
        <w:rPr>
          <w:rFonts w:ascii="Arial" w:eastAsia="Calibri" w:hAnsi="Arial" w:cs="Arial"/>
          <w:b/>
          <w:sz w:val="24"/>
          <w:szCs w:val="24"/>
        </w:rPr>
        <w:t>HIGH COURT OF NAMIBIA MAIN DIVISION, WINDHOEK</w:t>
      </w:r>
    </w:p>
    <w:p w14:paraId="2542F884" w14:textId="77777777" w:rsidR="008B1AC6" w:rsidRPr="004113D3" w:rsidRDefault="008B1AC6" w:rsidP="008B1AC6">
      <w:pPr>
        <w:jc w:val="center"/>
        <w:rPr>
          <w:rFonts w:ascii="Arial" w:eastAsia="Calibri" w:hAnsi="Arial" w:cs="Arial"/>
          <w:b/>
          <w:sz w:val="16"/>
          <w:szCs w:val="16"/>
        </w:rPr>
      </w:pPr>
    </w:p>
    <w:p w14:paraId="1544A99C" w14:textId="77777777" w:rsidR="008B1AC6" w:rsidRPr="004113D3" w:rsidRDefault="008B1AC6" w:rsidP="008B1AC6">
      <w:pPr>
        <w:jc w:val="center"/>
        <w:rPr>
          <w:rFonts w:ascii="Arial" w:eastAsia="Calibri" w:hAnsi="Arial" w:cs="Arial"/>
          <w:b/>
          <w:sz w:val="24"/>
          <w:szCs w:val="24"/>
        </w:rPr>
      </w:pPr>
      <w:r w:rsidRPr="004113D3">
        <w:rPr>
          <w:rFonts w:ascii="Arial" w:eastAsia="Calibri" w:hAnsi="Arial" w:cs="Arial"/>
          <w:b/>
          <w:sz w:val="24"/>
          <w:szCs w:val="24"/>
        </w:rPr>
        <w:t>JUDGMENT</w:t>
      </w:r>
    </w:p>
    <w:p w14:paraId="062B8E5B" w14:textId="77777777" w:rsidR="008B1AC6" w:rsidRPr="004113D3" w:rsidRDefault="008B1AC6" w:rsidP="008B1AC6">
      <w:pPr>
        <w:tabs>
          <w:tab w:val="right" w:pos="9000"/>
        </w:tabs>
        <w:rPr>
          <w:rFonts w:ascii="Arial" w:eastAsia="Calibri" w:hAnsi="Arial" w:cs="Arial"/>
          <w:b/>
          <w:sz w:val="24"/>
          <w:szCs w:val="24"/>
        </w:rPr>
      </w:pPr>
      <w:r w:rsidRPr="004113D3">
        <w:rPr>
          <w:rFonts w:ascii="Arial" w:eastAsia="Calibri" w:hAnsi="Arial" w:cs="Arial"/>
          <w:b/>
          <w:sz w:val="24"/>
          <w:szCs w:val="24"/>
        </w:rPr>
        <w:tab/>
      </w:r>
    </w:p>
    <w:p w14:paraId="5000F3E0" w14:textId="77777777" w:rsidR="008B1AC6" w:rsidRPr="004113D3" w:rsidRDefault="008B1AC6" w:rsidP="008B1AC6">
      <w:pPr>
        <w:tabs>
          <w:tab w:val="right" w:pos="9000"/>
        </w:tabs>
        <w:jc w:val="right"/>
        <w:rPr>
          <w:rFonts w:ascii="Arial" w:eastAsia="Calibri" w:hAnsi="Arial" w:cs="Arial"/>
          <w:sz w:val="24"/>
          <w:szCs w:val="24"/>
        </w:rPr>
      </w:pPr>
      <w:r w:rsidRPr="004113D3">
        <w:rPr>
          <w:rFonts w:ascii="Arial" w:eastAsia="Calibri" w:hAnsi="Arial" w:cs="Arial"/>
          <w:sz w:val="24"/>
          <w:szCs w:val="24"/>
        </w:rPr>
        <w:t>Case No.: HC-MD-CIV-ACT-OTH-2022/01067</w:t>
      </w:r>
    </w:p>
    <w:p w14:paraId="4F98C8C4" w14:textId="77777777" w:rsidR="008B1AC6" w:rsidRPr="004113D3" w:rsidRDefault="008B1AC6" w:rsidP="008B1AC6">
      <w:pPr>
        <w:rPr>
          <w:rFonts w:ascii="Arial" w:eastAsia="Calibri" w:hAnsi="Arial" w:cs="Arial"/>
          <w:sz w:val="24"/>
          <w:szCs w:val="24"/>
        </w:rPr>
      </w:pPr>
      <w:r w:rsidRPr="004113D3">
        <w:rPr>
          <w:rFonts w:ascii="Arial" w:eastAsia="Calibri" w:hAnsi="Arial" w:cs="Arial"/>
          <w:sz w:val="24"/>
          <w:szCs w:val="24"/>
        </w:rPr>
        <w:t>In the matter between:</w:t>
      </w:r>
    </w:p>
    <w:p w14:paraId="335AF2BA" w14:textId="77777777" w:rsidR="008B1AC6" w:rsidRPr="004113D3" w:rsidRDefault="008B1AC6" w:rsidP="008B1AC6">
      <w:pPr>
        <w:rPr>
          <w:rFonts w:ascii="Arial" w:eastAsia="Calibri" w:hAnsi="Arial" w:cs="Arial"/>
          <w:sz w:val="24"/>
          <w:szCs w:val="24"/>
        </w:rPr>
      </w:pPr>
    </w:p>
    <w:p w14:paraId="431E9626" w14:textId="77777777" w:rsidR="008B1AC6" w:rsidRPr="004113D3" w:rsidRDefault="008B1AC6" w:rsidP="008B1AC6">
      <w:pPr>
        <w:rPr>
          <w:rFonts w:ascii="Arial" w:eastAsia="Calibri" w:hAnsi="Arial" w:cs="Arial"/>
          <w:b/>
          <w:sz w:val="24"/>
          <w:szCs w:val="24"/>
        </w:rPr>
      </w:pPr>
      <w:r w:rsidRPr="004113D3">
        <w:rPr>
          <w:rFonts w:ascii="Arial" w:eastAsia="Calibri" w:hAnsi="Arial" w:cs="Arial"/>
          <w:b/>
          <w:sz w:val="24"/>
          <w:szCs w:val="24"/>
        </w:rPr>
        <w:t>NIRWANA TRADING ENTERPRISES CC                                                     1</w:t>
      </w:r>
      <w:r w:rsidRPr="004113D3">
        <w:rPr>
          <w:rFonts w:ascii="Arial" w:eastAsia="Calibri" w:hAnsi="Arial" w:cs="Arial"/>
          <w:b/>
          <w:sz w:val="24"/>
          <w:szCs w:val="24"/>
          <w:vertAlign w:val="superscript"/>
        </w:rPr>
        <w:t>st</w:t>
      </w:r>
      <w:r w:rsidRPr="004113D3">
        <w:rPr>
          <w:rFonts w:ascii="Arial" w:eastAsia="Calibri" w:hAnsi="Arial" w:cs="Arial"/>
          <w:b/>
          <w:sz w:val="24"/>
          <w:szCs w:val="24"/>
        </w:rPr>
        <w:t xml:space="preserve"> PLAINTIFF </w:t>
      </w:r>
    </w:p>
    <w:p w14:paraId="0772FBB6" w14:textId="77777777" w:rsidR="008B1AC6" w:rsidRPr="004113D3" w:rsidRDefault="008B1AC6" w:rsidP="008B1AC6">
      <w:pPr>
        <w:rPr>
          <w:rFonts w:ascii="Arial" w:eastAsia="Calibri" w:hAnsi="Arial" w:cs="Arial"/>
          <w:b/>
          <w:sz w:val="24"/>
          <w:szCs w:val="24"/>
        </w:rPr>
      </w:pPr>
      <w:r w:rsidRPr="004113D3">
        <w:rPr>
          <w:rFonts w:ascii="Arial" w:eastAsia="Calibri" w:hAnsi="Arial" w:cs="Arial"/>
          <w:b/>
          <w:sz w:val="24"/>
          <w:szCs w:val="24"/>
        </w:rPr>
        <w:t xml:space="preserve">ISSASKAR GAOSEB                                                                                      </w:t>
      </w:r>
      <w:r w:rsidR="00A34F46" w:rsidRPr="004113D3">
        <w:rPr>
          <w:rFonts w:ascii="Arial" w:eastAsia="Calibri" w:hAnsi="Arial" w:cs="Arial"/>
          <w:b/>
          <w:sz w:val="24"/>
          <w:szCs w:val="24"/>
        </w:rPr>
        <w:t xml:space="preserve"> </w:t>
      </w:r>
      <w:r w:rsidRPr="004113D3">
        <w:rPr>
          <w:rFonts w:ascii="Arial" w:eastAsia="Calibri" w:hAnsi="Arial" w:cs="Arial"/>
          <w:b/>
          <w:sz w:val="24"/>
          <w:szCs w:val="24"/>
        </w:rPr>
        <w:t>2</w:t>
      </w:r>
      <w:r w:rsidRPr="004113D3">
        <w:rPr>
          <w:rFonts w:ascii="Arial" w:eastAsia="Calibri" w:hAnsi="Arial" w:cs="Arial"/>
          <w:b/>
          <w:sz w:val="24"/>
          <w:szCs w:val="24"/>
          <w:vertAlign w:val="superscript"/>
        </w:rPr>
        <w:t>nd</w:t>
      </w:r>
      <w:r w:rsidRPr="004113D3">
        <w:rPr>
          <w:rFonts w:ascii="Arial" w:eastAsia="Calibri" w:hAnsi="Arial" w:cs="Arial"/>
          <w:b/>
          <w:sz w:val="24"/>
          <w:szCs w:val="24"/>
        </w:rPr>
        <w:t xml:space="preserve"> PLAINTIFF   </w:t>
      </w:r>
    </w:p>
    <w:p w14:paraId="612F28AB" w14:textId="77777777" w:rsidR="008B1AC6" w:rsidRPr="004113D3" w:rsidRDefault="008B1AC6" w:rsidP="008B1AC6">
      <w:pPr>
        <w:rPr>
          <w:rFonts w:ascii="Arial" w:eastAsia="Calibri" w:hAnsi="Arial" w:cs="Arial"/>
          <w:b/>
          <w:sz w:val="24"/>
          <w:szCs w:val="24"/>
        </w:rPr>
      </w:pPr>
      <w:r w:rsidRPr="004113D3">
        <w:rPr>
          <w:rFonts w:ascii="Arial" w:eastAsia="Calibri" w:hAnsi="Arial" w:cs="Arial"/>
          <w:b/>
          <w:sz w:val="24"/>
          <w:szCs w:val="24"/>
        </w:rPr>
        <w:t>JENNIFER TOATITE GAOSES                                                                        3</w:t>
      </w:r>
      <w:r w:rsidRPr="004113D3">
        <w:rPr>
          <w:rFonts w:ascii="Arial" w:eastAsia="Calibri" w:hAnsi="Arial" w:cs="Arial"/>
          <w:b/>
          <w:sz w:val="24"/>
          <w:szCs w:val="24"/>
          <w:vertAlign w:val="superscript"/>
        </w:rPr>
        <w:t>rd</w:t>
      </w:r>
      <w:r w:rsidRPr="004113D3">
        <w:rPr>
          <w:rFonts w:ascii="Arial" w:eastAsia="Calibri" w:hAnsi="Arial" w:cs="Arial"/>
          <w:b/>
          <w:sz w:val="24"/>
          <w:szCs w:val="24"/>
        </w:rPr>
        <w:t xml:space="preserve"> PLAINTIFF</w:t>
      </w:r>
    </w:p>
    <w:p w14:paraId="693800C2" w14:textId="77777777" w:rsidR="008B1AC6" w:rsidRPr="004113D3" w:rsidRDefault="008B1AC6" w:rsidP="008B1AC6">
      <w:pPr>
        <w:rPr>
          <w:rFonts w:ascii="Arial" w:eastAsia="Calibri" w:hAnsi="Arial" w:cs="Arial"/>
          <w:sz w:val="24"/>
          <w:szCs w:val="24"/>
        </w:rPr>
      </w:pPr>
      <w:r w:rsidRPr="004113D3">
        <w:rPr>
          <w:rFonts w:ascii="Arial" w:eastAsia="Calibri" w:hAnsi="Arial" w:cs="Arial"/>
          <w:b/>
          <w:sz w:val="24"/>
          <w:szCs w:val="24"/>
        </w:rPr>
        <w:tab/>
      </w:r>
      <w:r w:rsidRPr="004113D3">
        <w:rPr>
          <w:rFonts w:ascii="Arial" w:eastAsia="Calibri" w:hAnsi="Arial" w:cs="Arial"/>
          <w:b/>
          <w:sz w:val="24"/>
          <w:szCs w:val="24"/>
        </w:rPr>
        <w:tab/>
      </w:r>
      <w:r w:rsidRPr="004113D3">
        <w:rPr>
          <w:rFonts w:ascii="Arial" w:eastAsia="Calibri" w:hAnsi="Arial" w:cs="Arial"/>
          <w:b/>
          <w:sz w:val="24"/>
          <w:szCs w:val="24"/>
        </w:rPr>
        <w:tab/>
      </w:r>
      <w:r w:rsidRPr="004113D3">
        <w:rPr>
          <w:rFonts w:ascii="Arial" w:eastAsia="Calibri" w:hAnsi="Arial" w:cs="Arial"/>
          <w:b/>
          <w:sz w:val="24"/>
          <w:szCs w:val="24"/>
        </w:rPr>
        <w:tab/>
        <w:t xml:space="preserve">      </w:t>
      </w:r>
    </w:p>
    <w:p w14:paraId="24820E1C" w14:textId="77777777" w:rsidR="008B1AC6" w:rsidRPr="004113D3" w:rsidRDefault="001F2E7D" w:rsidP="008B1AC6">
      <w:pPr>
        <w:rPr>
          <w:rFonts w:ascii="Arial" w:eastAsia="Calibri" w:hAnsi="Arial" w:cs="Arial"/>
          <w:sz w:val="24"/>
          <w:szCs w:val="24"/>
        </w:rPr>
      </w:pPr>
      <w:r w:rsidRPr="004113D3">
        <w:rPr>
          <w:rFonts w:ascii="Arial" w:eastAsia="Calibri" w:hAnsi="Arial" w:cs="Arial"/>
          <w:sz w:val="24"/>
          <w:szCs w:val="24"/>
        </w:rPr>
        <w:t>a</w:t>
      </w:r>
      <w:r w:rsidR="008B1AC6" w:rsidRPr="004113D3">
        <w:rPr>
          <w:rFonts w:ascii="Arial" w:eastAsia="Calibri" w:hAnsi="Arial" w:cs="Arial"/>
          <w:sz w:val="24"/>
          <w:szCs w:val="24"/>
        </w:rPr>
        <w:t>nd</w:t>
      </w:r>
    </w:p>
    <w:p w14:paraId="2C6416C6" w14:textId="77777777" w:rsidR="008B1AC6" w:rsidRPr="004113D3" w:rsidRDefault="008B1AC6" w:rsidP="008B1AC6">
      <w:pPr>
        <w:rPr>
          <w:rFonts w:ascii="Arial" w:eastAsia="Calibri" w:hAnsi="Arial" w:cs="Arial"/>
          <w:sz w:val="24"/>
          <w:szCs w:val="24"/>
        </w:rPr>
      </w:pPr>
    </w:p>
    <w:p w14:paraId="16CA722A" w14:textId="77777777" w:rsidR="008B1AC6" w:rsidRPr="004113D3" w:rsidRDefault="008B1AC6" w:rsidP="008B1AC6">
      <w:pPr>
        <w:rPr>
          <w:rFonts w:ascii="Arial" w:eastAsia="Calibri" w:hAnsi="Arial" w:cs="Arial"/>
          <w:b/>
          <w:sz w:val="24"/>
          <w:szCs w:val="24"/>
        </w:rPr>
      </w:pPr>
      <w:r w:rsidRPr="004113D3">
        <w:rPr>
          <w:rFonts w:ascii="Arial" w:eastAsia="Calibri" w:hAnsi="Arial" w:cs="Arial"/>
          <w:b/>
          <w:sz w:val="24"/>
          <w:szCs w:val="24"/>
        </w:rPr>
        <w:t>THEMISTOKLES DUDU MURORUA                                                             1</w:t>
      </w:r>
      <w:r w:rsidRPr="004113D3">
        <w:rPr>
          <w:rFonts w:ascii="Arial" w:eastAsia="Calibri" w:hAnsi="Arial" w:cs="Arial"/>
          <w:b/>
          <w:sz w:val="24"/>
          <w:szCs w:val="24"/>
          <w:vertAlign w:val="superscript"/>
        </w:rPr>
        <w:t>st</w:t>
      </w:r>
      <w:r w:rsidRPr="004113D3">
        <w:rPr>
          <w:rFonts w:ascii="Arial" w:eastAsia="Calibri" w:hAnsi="Arial" w:cs="Arial"/>
          <w:b/>
          <w:sz w:val="24"/>
          <w:szCs w:val="24"/>
        </w:rPr>
        <w:t xml:space="preserve"> DEFENDANT</w:t>
      </w:r>
    </w:p>
    <w:p w14:paraId="6F8A6CA1" w14:textId="77777777" w:rsidR="008B1AC6" w:rsidRPr="004113D3" w:rsidRDefault="008B1AC6" w:rsidP="008B1AC6">
      <w:pPr>
        <w:rPr>
          <w:rFonts w:ascii="Arial" w:eastAsia="Calibri" w:hAnsi="Arial" w:cs="Arial"/>
          <w:b/>
          <w:sz w:val="24"/>
          <w:szCs w:val="24"/>
        </w:rPr>
      </w:pPr>
      <w:r w:rsidRPr="004113D3">
        <w:rPr>
          <w:rFonts w:ascii="Arial" w:eastAsia="Calibri" w:hAnsi="Arial" w:cs="Arial"/>
          <w:b/>
          <w:sz w:val="24"/>
          <w:szCs w:val="24"/>
        </w:rPr>
        <w:t>FRIEDA MURORUA                                                                                     2</w:t>
      </w:r>
      <w:r w:rsidRPr="004113D3">
        <w:rPr>
          <w:rFonts w:ascii="Arial" w:eastAsia="Calibri" w:hAnsi="Arial" w:cs="Arial"/>
          <w:b/>
          <w:sz w:val="24"/>
          <w:szCs w:val="24"/>
          <w:vertAlign w:val="superscript"/>
        </w:rPr>
        <w:t>nd</w:t>
      </w:r>
      <w:r w:rsidRPr="004113D3">
        <w:rPr>
          <w:rFonts w:ascii="Arial" w:eastAsia="Calibri" w:hAnsi="Arial" w:cs="Arial"/>
          <w:b/>
          <w:sz w:val="24"/>
          <w:szCs w:val="24"/>
        </w:rPr>
        <w:t xml:space="preserve"> DEFENDANT</w:t>
      </w:r>
    </w:p>
    <w:p w14:paraId="2C763F3F" w14:textId="77777777" w:rsidR="008B1AC6" w:rsidRPr="004113D3" w:rsidRDefault="008B1AC6" w:rsidP="008B1AC6">
      <w:pPr>
        <w:rPr>
          <w:rFonts w:ascii="Arial" w:eastAsia="Calibri" w:hAnsi="Arial" w:cs="Arial"/>
          <w:b/>
          <w:sz w:val="24"/>
          <w:szCs w:val="24"/>
        </w:rPr>
      </w:pPr>
      <w:r w:rsidRPr="004113D3">
        <w:rPr>
          <w:rFonts w:ascii="Arial" w:eastAsia="Calibri" w:hAnsi="Arial" w:cs="Arial"/>
          <w:b/>
          <w:sz w:val="24"/>
          <w:szCs w:val="24"/>
        </w:rPr>
        <w:t>KHORIXAS TOWN COUNCIL                                                                  3</w:t>
      </w:r>
      <w:r w:rsidRPr="004113D3">
        <w:rPr>
          <w:rFonts w:ascii="Arial" w:eastAsia="Calibri" w:hAnsi="Arial" w:cs="Arial"/>
          <w:b/>
          <w:sz w:val="24"/>
          <w:szCs w:val="24"/>
          <w:vertAlign w:val="superscript"/>
        </w:rPr>
        <w:t>rd</w:t>
      </w:r>
      <w:r w:rsidRPr="004113D3">
        <w:rPr>
          <w:rFonts w:ascii="Arial" w:eastAsia="Calibri" w:hAnsi="Arial" w:cs="Arial"/>
          <w:b/>
          <w:sz w:val="24"/>
          <w:szCs w:val="24"/>
        </w:rPr>
        <w:t xml:space="preserve"> DEFENDANT</w:t>
      </w:r>
    </w:p>
    <w:p w14:paraId="4F6516F2" w14:textId="77777777" w:rsidR="008B1AC6" w:rsidRPr="004113D3" w:rsidRDefault="008B1AC6" w:rsidP="008B1AC6">
      <w:pPr>
        <w:rPr>
          <w:rFonts w:ascii="Arial" w:eastAsia="Calibri" w:hAnsi="Arial" w:cs="Arial"/>
          <w:b/>
          <w:sz w:val="24"/>
          <w:szCs w:val="24"/>
        </w:rPr>
      </w:pPr>
      <w:r w:rsidRPr="004113D3">
        <w:rPr>
          <w:rFonts w:ascii="Arial" w:eastAsia="Calibri" w:hAnsi="Arial" w:cs="Arial"/>
          <w:b/>
          <w:sz w:val="24"/>
          <w:szCs w:val="24"/>
        </w:rPr>
        <w:t>THE REGISTRAR OF DEEDS                                                                  4</w:t>
      </w:r>
      <w:r w:rsidRPr="004113D3">
        <w:rPr>
          <w:rFonts w:ascii="Arial" w:eastAsia="Calibri" w:hAnsi="Arial" w:cs="Arial"/>
          <w:b/>
          <w:sz w:val="24"/>
          <w:szCs w:val="24"/>
          <w:vertAlign w:val="superscript"/>
        </w:rPr>
        <w:t>th</w:t>
      </w:r>
      <w:r w:rsidRPr="004113D3">
        <w:rPr>
          <w:rFonts w:ascii="Arial" w:eastAsia="Calibri" w:hAnsi="Arial" w:cs="Arial"/>
          <w:b/>
          <w:sz w:val="24"/>
          <w:szCs w:val="24"/>
        </w:rPr>
        <w:t xml:space="preserve"> DEFENDANT</w:t>
      </w:r>
    </w:p>
    <w:p w14:paraId="742E318E" w14:textId="77777777" w:rsidR="008B1AC6" w:rsidRPr="004113D3" w:rsidRDefault="008B1AC6" w:rsidP="008B1AC6">
      <w:pPr>
        <w:keepNext/>
        <w:tabs>
          <w:tab w:val="right" w:pos="9000"/>
        </w:tabs>
        <w:outlineLvl w:val="3"/>
        <w:rPr>
          <w:rFonts w:ascii="Arial" w:eastAsia="Calibri" w:hAnsi="Arial" w:cs="Arial"/>
          <w:sz w:val="24"/>
          <w:szCs w:val="24"/>
        </w:rPr>
      </w:pPr>
    </w:p>
    <w:p w14:paraId="2B300727" w14:textId="77777777" w:rsidR="00A34F46" w:rsidRPr="004113D3" w:rsidRDefault="00A34F46" w:rsidP="008B1AC6">
      <w:pPr>
        <w:keepNext/>
        <w:tabs>
          <w:tab w:val="right" w:pos="9000"/>
        </w:tabs>
        <w:outlineLvl w:val="3"/>
        <w:rPr>
          <w:rFonts w:ascii="Arial" w:eastAsia="Calibri" w:hAnsi="Arial" w:cs="Arial"/>
          <w:sz w:val="24"/>
          <w:szCs w:val="24"/>
        </w:rPr>
      </w:pPr>
    </w:p>
    <w:p w14:paraId="6C8F32AA" w14:textId="77777777" w:rsidR="008B1AC6" w:rsidRPr="004113D3" w:rsidRDefault="008B1AC6" w:rsidP="008B1AC6">
      <w:pPr>
        <w:ind w:left="2160" w:hanging="2160"/>
        <w:rPr>
          <w:rFonts w:ascii="Arial" w:eastAsia="Calibri" w:hAnsi="Arial" w:cs="Arial"/>
          <w:sz w:val="24"/>
          <w:szCs w:val="24"/>
        </w:rPr>
      </w:pPr>
      <w:r w:rsidRPr="004113D3">
        <w:rPr>
          <w:rFonts w:ascii="Arial" w:eastAsia="Calibri" w:hAnsi="Arial" w:cs="Arial"/>
          <w:b/>
          <w:sz w:val="24"/>
          <w:szCs w:val="24"/>
        </w:rPr>
        <w:t>Neutral citation:</w:t>
      </w:r>
      <w:r w:rsidRPr="004113D3">
        <w:rPr>
          <w:rFonts w:ascii="Arial" w:eastAsia="Calibri" w:hAnsi="Arial" w:cs="Arial"/>
          <w:b/>
          <w:sz w:val="24"/>
          <w:szCs w:val="24"/>
        </w:rPr>
        <w:tab/>
      </w:r>
      <w:proofErr w:type="spellStart"/>
      <w:r w:rsidRPr="004113D3">
        <w:rPr>
          <w:rFonts w:ascii="Arial" w:eastAsia="Calibri" w:hAnsi="Arial" w:cs="Arial"/>
          <w:i/>
          <w:sz w:val="24"/>
          <w:szCs w:val="24"/>
        </w:rPr>
        <w:t>Nirwana</w:t>
      </w:r>
      <w:proofErr w:type="spellEnd"/>
      <w:r w:rsidRPr="004113D3">
        <w:rPr>
          <w:rFonts w:ascii="Arial" w:eastAsia="Calibri" w:hAnsi="Arial" w:cs="Arial"/>
          <w:i/>
          <w:sz w:val="24"/>
          <w:szCs w:val="24"/>
        </w:rPr>
        <w:t xml:space="preserve"> Trading Enterprises CC v </w:t>
      </w:r>
      <w:proofErr w:type="spellStart"/>
      <w:r w:rsidRPr="004113D3">
        <w:rPr>
          <w:rFonts w:ascii="Arial" w:eastAsia="Calibri" w:hAnsi="Arial" w:cs="Arial"/>
          <w:i/>
          <w:sz w:val="24"/>
          <w:szCs w:val="24"/>
        </w:rPr>
        <w:t>Murorua</w:t>
      </w:r>
      <w:proofErr w:type="spellEnd"/>
      <w:r w:rsidRPr="004113D3">
        <w:rPr>
          <w:rFonts w:ascii="Arial" w:eastAsia="Calibri" w:hAnsi="Arial" w:cs="Arial"/>
          <w:i/>
          <w:sz w:val="24"/>
          <w:szCs w:val="24"/>
        </w:rPr>
        <w:t xml:space="preserve"> </w:t>
      </w:r>
      <w:r w:rsidRPr="004113D3">
        <w:rPr>
          <w:rFonts w:ascii="Arial" w:eastAsia="Calibri" w:hAnsi="Arial" w:cs="Arial"/>
          <w:sz w:val="24"/>
          <w:szCs w:val="24"/>
        </w:rPr>
        <w:t xml:space="preserve">(HC-MD-CIV-ACT-OTH-2022/01067) [2023] NAHCMD </w:t>
      </w:r>
      <w:r w:rsidR="001F2E7D" w:rsidRPr="004113D3">
        <w:rPr>
          <w:rFonts w:ascii="Arial" w:eastAsia="Calibri" w:hAnsi="Arial" w:cs="Arial"/>
          <w:sz w:val="24"/>
          <w:szCs w:val="24"/>
        </w:rPr>
        <w:t xml:space="preserve">398 </w:t>
      </w:r>
      <w:r w:rsidRPr="004113D3">
        <w:rPr>
          <w:rFonts w:ascii="Arial" w:eastAsia="Calibri" w:hAnsi="Arial" w:cs="Arial"/>
          <w:sz w:val="24"/>
          <w:szCs w:val="24"/>
        </w:rPr>
        <w:t>(13 July 2023)</w:t>
      </w:r>
    </w:p>
    <w:p w14:paraId="4C97993F" w14:textId="77777777" w:rsidR="008B1AC6" w:rsidRPr="004113D3" w:rsidRDefault="008B1AC6" w:rsidP="008B1AC6">
      <w:pPr>
        <w:rPr>
          <w:rFonts w:ascii="Arial" w:eastAsia="Calibri" w:hAnsi="Arial" w:cs="Arial"/>
          <w:b/>
          <w:sz w:val="24"/>
          <w:szCs w:val="24"/>
        </w:rPr>
      </w:pPr>
    </w:p>
    <w:p w14:paraId="6EDED888" w14:textId="77777777" w:rsidR="008B1AC6" w:rsidRPr="004113D3" w:rsidRDefault="008B1AC6" w:rsidP="008B1AC6">
      <w:pPr>
        <w:ind w:left="1440" w:hanging="1440"/>
        <w:rPr>
          <w:rFonts w:ascii="Arial" w:eastAsia="Calibri" w:hAnsi="Arial" w:cs="Arial"/>
          <w:b/>
          <w:i/>
          <w:sz w:val="24"/>
          <w:szCs w:val="24"/>
        </w:rPr>
      </w:pPr>
      <w:r w:rsidRPr="004113D3">
        <w:rPr>
          <w:rFonts w:ascii="Arial" w:eastAsia="Calibri" w:hAnsi="Arial" w:cs="Arial"/>
          <w:b/>
          <w:sz w:val="24"/>
          <w:szCs w:val="24"/>
        </w:rPr>
        <w:t>Coram:</w:t>
      </w:r>
      <w:r w:rsidRPr="004113D3">
        <w:rPr>
          <w:rFonts w:ascii="Arial" w:eastAsia="Calibri" w:hAnsi="Arial" w:cs="Arial"/>
          <w:b/>
          <w:sz w:val="24"/>
          <w:szCs w:val="24"/>
        </w:rPr>
        <w:tab/>
      </w:r>
      <w:r w:rsidRPr="004113D3">
        <w:rPr>
          <w:rFonts w:ascii="Arial" w:eastAsia="Calibri" w:hAnsi="Arial" w:cs="Arial"/>
          <w:sz w:val="24"/>
          <w:szCs w:val="24"/>
        </w:rPr>
        <w:t>PRINSLOO J</w:t>
      </w:r>
    </w:p>
    <w:p w14:paraId="7625C0A8" w14:textId="77777777" w:rsidR="008B1AC6" w:rsidRPr="004113D3" w:rsidRDefault="008B1AC6" w:rsidP="008B1AC6">
      <w:pPr>
        <w:ind w:left="1440" w:hanging="1440"/>
        <w:rPr>
          <w:rFonts w:ascii="Arial" w:eastAsia="Calibri" w:hAnsi="Arial" w:cs="Arial"/>
          <w:b/>
          <w:sz w:val="24"/>
          <w:szCs w:val="24"/>
        </w:rPr>
      </w:pPr>
      <w:r w:rsidRPr="004113D3">
        <w:rPr>
          <w:rFonts w:ascii="Arial" w:eastAsia="Calibri" w:hAnsi="Arial" w:cs="Arial"/>
          <w:b/>
          <w:bCs/>
          <w:sz w:val="24"/>
          <w:szCs w:val="24"/>
        </w:rPr>
        <w:t>Heard</w:t>
      </w:r>
      <w:r w:rsidRPr="004113D3">
        <w:rPr>
          <w:rFonts w:ascii="Arial" w:eastAsia="Calibri" w:hAnsi="Arial" w:cs="Arial"/>
          <w:b/>
          <w:sz w:val="24"/>
          <w:szCs w:val="24"/>
        </w:rPr>
        <w:t>:</w:t>
      </w:r>
      <w:r w:rsidRPr="004113D3">
        <w:rPr>
          <w:rFonts w:ascii="Arial" w:eastAsia="Calibri" w:hAnsi="Arial" w:cs="Arial"/>
          <w:b/>
          <w:sz w:val="24"/>
          <w:szCs w:val="24"/>
        </w:rPr>
        <w:tab/>
        <w:t xml:space="preserve">16 May 2023 </w:t>
      </w:r>
      <w:r w:rsidRPr="004113D3">
        <w:rPr>
          <w:rFonts w:ascii="Arial" w:eastAsia="Calibri" w:hAnsi="Arial" w:cs="Arial"/>
          <w:sz w:val="24"/>
          <w:szCs w:val="24"/>
        </w:rPr>
        <w:t>and further arguments on</w:t>
      </w:r>
      <w:r w:rsidRPr="004113D3">
        <w:rPr>
          <w:rFonts w:ascii="Arial" w:eastAsia="Calibri" w:hAnsi="Arial" w:cs="Arial"/>
          <w:b/>
          <w:sz w:val="24"/>
          <w:szCs w:val="24"/>
        </w:rPr>
        <w:t xml:space="preserve"> 3 July 2023</w:t>
      </w:r>
    </w:p>
    <w:p w14:paraId="215CD290" w14:textId="77777777" w:rsidR="008B1AC6" w:rsidRPr="004113D3" w:rsidRDefault="008B1AC6" w:rsidP="008B1AC6">
      <w:pPr>
        <w:rPr>
          <w:rFonts w:ascii="Arial" w:eastAsia="Calibri" w:hAnsi="Arial" w:cs="Arial"/>
          <w:b/>
          <w:sz w:val="24"/>
          <w:szCs w:val="24"/>
        </w:rPr>
      </w:pPr>
      <w:r w:rsidRPr="004113D3">
        <w:rPr>
          <w:rFonts w:ascii="Arial" w:eastAsia="Calibri" w:hAnsi="Arial" w:cs="Arial"/>
          <w:b/>
          <w:bCs/>
          <w:sz w:val="24"/>
          <w:szCs w:val="24"/>
        </w:rPr>
        <w:t>Delivered</w:t>
      </w:r>
      <w:r w:rsidRPr="004113D3">
        <w:rPr>
          <w:rFonts w:ascii="Arial" w:eastAsia="Calibri" w:hAnsi="Arial" w:cs="Arial"/>
          <w:b/>
          <w:sz w:val="24"/>
          <w:szCs w:val="24"/>
        </w:rPr>
        <w:t>:</w:t>
      </w:r>
      <w:r w:rsidR="004F4684" w:rsidRPr="004113D3">
        <w:rPr>
          <w:rFonts w:ascii="Arial" w:eastAsia="Calibri" w:hAnsi="Arial" w:cs="Arial"/>
          <w:b/>
          <w:sz w:val="24"/>
          <w:szCs w:val="24"/>
        </w:rPr>
        <w:tab/>
      </w:r>
      <w:r w:rsidRPr="004113D3">
        <w:rPr>
          <w:rFonts w:ascii="Arial" w:eastAsia="Calibri" w:hAnsi="Arial" w:cs="Arial"/>
          <w:b/>
          <w:sz w:val="24"/>
          <w:szCs w:val="24"/>
        </w:rPr>
        <w:t>13 July 2023</w:t>
      </w:r>
    </w:p>
    <w:p w14:paraId="01069696" w14:textId="77777777" w:rsidR="008B1AC6" w:rsidRPr="004113D3" w:rsidRDefault="008B1AC6" w:rsidP="008B1AC6">
      <w:pPr>
        <w:rPr>
          <w:rFonts w:ascii="Arial" w:eastAsia="Calibri" w:hAnsi="Arial" w:cs="Arial"/>
          <w:b/>
          <w:sz w:val="24"/>
          <w:szCs w:val="24"/>
        </w:rPr>
      </w:pPr>
    </w:p>
    <w:p w14:paraId="74CBBBC6" w14:textId="77777777" w:rsidR="008B1AC6" w:rsidRPr="004113D3" w:rsidRDefault="008B1AC6" w:rsidP="00456E07">
      <w:pPr>
        <w:pStyle w:val="rteindent1"/>
        <w:shd w:val="clear" w:color="auto" w:fill="FFFFFF"/>
        <w:spacing w:before="0" w:beforeAutospacing="0" w:line="360" w:lineRule="auto"/>
        <w:jc w:val="both"/>
        <w:rPr>
          <w:rFonts w:ascii="Arial" w:eastAsia="Calibri" w:hAnsi="Arial" w:cs="Arial"/>
          <w:b/>
          <w:bCs/>
        </w:rPr>
      </w:pPr>
      <w:proofErr w:type="spellStart"/>
      <w:r w:rsidRPr="004113D3">
        <w:rPr>
          <w:rFonts w:ascii="Arial" w:eastAsia="Calibri" w:hAnsi="Arial" w:cs="Arial"/>
          <w:b/>
          <w:bCs/>
        </w:rPr>
        <w:t>Flynote</w:t>
      </w:r>
      <w:proofErr w:type="spellEnd"/>
      <w:r w:rsidRPr="004113D3">
        <w:rPr>
          <w:rFonts w:ascii="Arial" w:eastAsia="Calibri" w:hAnsi="Arial" w:cs="Arial"/>
          <w:b/>
          <w:bCs/>
        </w:rPr>
        <w:t>:</w:t>
      </w:r>
      <w:r w:rsidR="00001C6F" w:rsidRPr="004113D3">
        <w:rPr>
          <w:rFonts w:ascii="Arial" w:eastAsia="Calibri" w:hAnsi="Arial" w:cs="Arial"/>
          <w:b/>
          <w:bCs/>
        </w:rPr>
        <w:t xml:space="preserve"> </w:t>
      </w:r>
      <w:r w:rsidR="00001C6F" w:rsidRPr="004113D3">
        <w:rPr>
          <w:rFonts w:ascii="Arial" w:eastAsia="Calibri" w:hAnsi="Arial" w:cs="Arial"/>
          <w:b/>
          <w:bCs/>
        </w:rPr>
        <w:tab/>
      </w:r>
      <w:r w:rsidRPr="004113D3">
        <w:rPr>
          <w:rFonts w:ascii="Arial" w:eastAsia="Calibri" w:hAnsi="Arial" w:cs="Arial"/>
          <w:bCs/>
        </w:rPr>
        <w:t>Action proceedings</w:t>
      </w:r>
      <w:r w:rsidR="004F4684" w:rsidRPr="004113D3">
        <w:rPr>
          <w:rFonts w:ascii="Arial" w:eastAsia="Calibri" w:hAnsi="Arial" w:cs="Arial"/>
          <w:bCs/>
        </w:rPr>
        <w:t xml:space="preserve"> – Oral Settlement agreement – Enforceable and Valid – </w:t>
      </w:r>
      <w:r w:rsidR="00456E07" w:rsidRPr="004113D3">
        <w:rPr>
          <w:rFonts w:ascii="Arial" w:eastAsia="Calibri" w:hAnsi="Arial" w:cs="Arial"/>
          <w:bCs/>
        </w:rPr>
        <w:t xml:space="preserve">Effect of settlement agreement made an order of court – </w:t>
      </w:r>
      <w:r w:rsidR="00456E07" w:rsidRPr="004113D3">
        <w:rPr>
          <w:rFonts w:ascii="Arial" w:hAnsi="Arial" w:cs="Arial"/>
          <w:shd w:val="clear" w:color="auto" w:fill="FFFFFF"/>
        </w:rPr>
        <w:t>The order brings finality to the </w:t>
      </w:r>
      <w:proofErr w:type="spellStart"/>
      <w:r w:rsidR="00456E07" w:rsidRPr="004113D3">
        <w:rPr>
          <w:rFonts w:ascii="Arial" w:hAnsi="Arial" w:cs="Arial"/>
          <w:i/>
          <w:iCs/>
          <w:shd w:val="clear" w:color="auto" w:fill="FFFFFF"/>
        </w:rPr>
        <w:t>lis</w:t>
      </w:r>
      <w:proofErr w:type="spellEnd"/>
      <w:r w:rsidR="00456E07" w:rsidRPr="004113D3">
        <w:rPr>
          <w:rFonts w:ascii="Arial" w:hAnsi="Arial" w:cs="Arial"/>
          <w:shd w:val="clear" w:color="auto" w:fill="FFFFFF"/>
        </w:rPr>
        <w:t> between the parties</w:t>
      </w:r>
      <w:r w:rsidR="00CA1EE2" w:rsidRPr="004113D3">
        <w:rPr>
          <w:rFonts w:ascii="Arial" w:hAnsi="Arial" w:cs="Arial"/>
          <w:shd w:val="clear" w:color="auto" w:fill="FFFFFF"/>
        </w:rPr>
        <w:t xml:space="preserve"> </w:t>
      </w:r>
      <w:r w:rsidR="00CA1EE2" w:rsidRPr="004113D3">
        <w:rPr>
          <w:rFonts w:ascii="Arial" w:eastAsia="Calibri" w:hAnsi="Arial" w:cs="Arial"/>
          <w:bCs/>
        </w:rPr>
        <w:t xml:space="preserve">– </w:t>
      </w:r>
      <w:r w:rsidR="00CA1EE2" w:rsidRPr="004113D3">
        <w:rPr>
          <w:rStyle w:val="FontStyle13"/>
          <w:rFonts w:ascii="Arial" w:eastAsia="Calibri" w:hAnsi="Arial" w:cs="Arial"/>
          <w:sz w:val="24"/>
          <w:szCs w:val="24"/>
        </w:rPr>
        <w:t xml:space="preserve">A defendant is not entitled to go behind the compromise and raise </w:t>
      </w:r>
      <w:proofErr w:type="spellStart"/>
      <w:r w:rsidR="00CA1EE2" w:rsidRPr="004113D3">
        <w:rPr>
          <w:rStyle w:val="FontStyle13"/>
          <w:rFonts w:ascii="Arial" w:eastAsia="Calibri" w:hAnsi="Arial" w:cs="Arial"/>
          <w:sz w:val="24"/>
          <w:szCs w:val="24"/>
        </w:rPr>
        <w:t>defences</w:t>
      </w:r>
      <w:proofErr w:type="spellEnd"/>
      <w:r w:rsidR="00CA1EE2" w:rsidRPr="004113D3">
        <w:rPr>
          <w:rStyle w:val="FontStyle13"/>
          <w:rFonts w:ascii="Arial" w:eastAsia="Calibri" w:hAnsi="Arial" w:cs="Arial"/>
          <w:sz w:val="24"/>
          <w:szCs w:val="24"/>
        </w:rPr>
        <w:t xml:space="preserve"> to the original cause of action when sued on the compromise.</w:t>
      </w:r>
    </w:p>
    <w:p w14:paraId="46EF9F7B" w14:textId="77777777" w:rsidR="003C38C3" w:rsidRPr="004113D3" w:rsidRDefault="008B1AC6" w:rsidP="008B1AC6">
      <w:pPr>
        <w:pStyle w:val="rteindent1"/>
        <w:shd w:val="clear" w:color="auto" w:fill="FFFFFF"/>
        <w:spacing w:before="0" w:beforeAutospacing="0" w:line="360" w:lineRule="auto"/>
        <w:jc w:val="both"/>
        <w:rPr>
          <w:rFonts w:ascii="Arial" w:hAnsi="Arial" w:cs="Arial"/>
          <w:spacing w:val="-3"/>
          <w:lang w:val="en-GB"/>
        </w:rPr>
      </w:pPr>
      <w:r w:rsidRPr="004113D3">
        <w:rPr>
          <w:rFonts w:ascii="Arial" w:hAnsi="Arial" w:cs="Arial"/>
          <w:b/>
          <w:spacing w:val="-3"/>
          <w:lang w:val="en-GB"/>
        </w:rPr>
        <w:t>Summary:</w:t>
      </w:r>
      <w:r w:rsidRPr="004113D3">
        <w:rPr>
          <w:rFonts w:ascii="Arial" w:hAnsi="Arial" w:cs="Arial"/>
          <w:b/>
          <w:spacing w:val="-3"/>
          <w:lang w:val="en-GB"/>
        </w:rPr>
        <w:tab/>
      </w:r>
      <w:r w:rsidR="003C38C3" w:rsidRPr="004113D3">
        <w:rPr>
          <w:rFonts w:ascii="Arial" w:hAnsi="Arial" w:cs="Arial"/>
          <w:spacing w:val="-3"/>
          <w:lang w:val="en-GB"/>
        </w:rPr>
        <w:t xml:space="preserve">The matter before </w:t>
      </w:r>
      <w:r w:rsidR="00F24B3A" w:rsidRPr="004113D3">
        <w:rPr>
          <w:rFonts w:ascii="Arial" w:hAnsi="Arial" w:cs="Arial"/>
          <w:spacing w:val="-3"/>
          <w:lang w:val="en-GB"/>
        </w:rPr>
        <w:t xml:space="preserve">the </w:t>
      </w:r>
      <w:r w:rsidR="003C38C3" w:rsidRPr="004113D3">
        <w:rPr>
          <w:rFonts w:ascii="Arial" w:hAnsi="Arial" w:cs="Arial"/>
          <w:spacing w:val="-3"/>
          <w:lang w:val="en-GB"/>
        </w:rPr>
        <w:t>court follows</w:t>
      </w:r>
      <w:r w:rsidR="00001C6F" w:rsidRPr="004113D3">
        <w:rPr>
          <w:rFonts w:ascii="Arial" w:hAnsi="Arial" w:cs="Arial"/>
          <w:spacing w:val="-3"/>
          <w:lang w:val="en-GB"/>
        </w:rPr>
        <w:t xml:space="preserve"> from a ruling </w:t>
      </w:r>
      <w:r w:rsidR="003C38C3" w:rsidRPr="004113D3">
        <w:rPr>
          <w:rFonts w:ascii="Arial" w:hAnsi="Arial" w:cs="Arial"/>
          <w:spacing w:val="-3"/>
          <w:lang w:val="en-GB"/>
        </w:rPr>
        <w:t xml:space="preserve">handed down </w:t>
      </w:r>
      <w:r w:rsidR="00001C6F" w:rsidRPr="004113D3">
        <w:rPr>
          <w:rFonts w:ascii="Arial" w:hAnsi="Arial" w:cs="Arial"/>
          <w:spacing w:val="-3"/>
          <w:lang w:val="en-GB"/>
        </w:rPr>
        <w:t xml:space="preserve">by this court in </w:t>
      </w:r>
      <w:proofErr w:type="spellStart"/>
      <w:r w:rsidR="00001C6F" w:rsidRPr="004113D3">
        <w:rPr>
          <w:rFonts w:ascii="Arial" w:hAnsi="Arial" w:cs="Arial"/>
          <w:i/>
          <w:spacing w:val="-3"/>
          <w:lang w:val="en-GB"/>
        </w:rPr>
        <w:t>Nirwana</w:t>
      </w:r>
      <w:proofErr w:type="spellEnd"/>
      <w:r w:rsidR="00001C6F" w:rsidRPr="004113D3">
        <w:rPr>
          <w:rFonts w:ascii="Arial" w:hAnsi="Arial" w:cs="Arial"/>
          <w:i/>
          <w:spacing w:val="-3"/>
          <w:lang w:val="en-GB"/>
        </w:rPr>
        <w:t xml:space="preserve"> Trading Enterprises CC v </w:t>
      </w:r>
      <w:proofErr w:type="spellStart"/>
      <w:r w:rsidR="00001C6F" w:rsidRPr="004113D3">
        <w:rPr>
          <w:rFonts w:ascii="Arial" w:hAnsi="Arial" w:cs="Arial"/>
          <w:i/>
          <w:spacing w:val="-3"/>
          <w:lang w:val="en-GB"/>
        </w:rPr>
        <w:t>Murorua</w:t>
      </w:r>
      <w:proofErr w:type="spellEnd"/>
      <w:r w:rsidR="003C38C3" w:rsidRPr="004113D3">
        <w:rPr>
          <w:rFonts w:ascii="Arial" w:hAnsi="Arial" w:cs="Arial"/>
          <w:spacing w:val="-3"/>
          <w:lang w:val="en-GB"/>
        </w:rPr>
        <w:t xml:space="preserve"> </w:t>
      </w:r>
      <w:r w:rsidR="00001C6F" w:rsidRPr="004113D3">
        <w:rPr>
          <w:rFonts w:ascii="Arial" w:hAnsi="Arial" w:cs="Arial"/>
          <w:spacing w:val="-3"/>
          <w:lang w:val="en-GB"/>
        </w:rPr>
        <w:t xml:space="preserve">delivered on 24 October 2022, wherein it was held that the verbal settlement agreement </w:t>
      </w:r>
      <w:r w:rsidR="00AD599D" w:rsidRPr="004113D3">
        <w:rPr>
          <w:rFonts w:ascii="Arial" w:hAnsi="Arial" w:cs="Arial"/>
          <w:spacing w:val="-3"/>
          <w:lang w:val="en-GB"/>
        </w:rPr>
        <w:t xml:space="preserve">reached </w:t>
      </w:r>
      <w:r w:rsidR="00001C6F" w:rsidRPr="004113D3">
        <w:rPr>
          <w:rFonts w:ascii="Arial" w:hAnsi="Arial" w:cs="Arial"/>
          <w:spacing w:val="-3"/>
          <w:lang w:val="en-GB"/>
        </w:rPr>
        <w:t>at mediation on 2 June 2022 between the plaintiffs and the first and second defendants was binding on the parties.</w:t>
      </w:r>
      <w:r w:rsidR="003C38C3" w:rsidRPr="004113D3">
        <w:rPr>
          <w:rFonts w:ascii="Arial" w:hAnsi="Arial" w:cs="Arial"/>
          <w:spacing w:val="-3"/>
          <w:lang w:val="en-GB"/>
        </w:rPr>
        <w:t xml:space="preserve"> Following this judgment</w:t>
      </w:r>
      <w:r w:rsidR="00F24B3A" w:rsidRPr="004113D3">
        <w:rPr>
          <w:rFonts w:ascii="Arial" w:hAnsi="Arial" w:cs="Arial"/>
          <w:spacing w:val="-3"/>
          <w:lang w:val="en-GB"/>
        </w:rPr>
        <w:t>,</w:t>
      </w:r>
      <w:r w:rsidR="003C38C3" w:rsidRPr="004113D3">
        <w:rPr>
          <w:rFonts w:ascii="Arial" w:hAnsi="Arial" w:cs="Arial"/>
          <w:spacing w:val="-3"/>
          <w:lang w:val="en-GB"/>
        </w:rPr>
        <w:t xml:space="preserve"> the plaintiffs are seeking an order to the effect that the court declares that the settlement agreement reached during mediation on 02 June 2022</w:t>
      </w:r>
      <w:r w:rsidR="00F24B3A" w:rsidRPr="004113D3">
        <w:rPr>
          <w:rFonts w:ascii="Arial" w:hAnsi="Arial" w:cs="Arial"/>
          <w:spacing w:val="-3"/>
          <w:lang w:val="en-GB"/>
        </w:rPr>
        <w:t xml:space="preserve"> is</w:t>
      </w:r>
      <w:r w:rsidR="003C38C3" w:rsidRPr="004113D3">
        <w:rPr>
          <w:rFonts w:ascii="Arial" w:hAnsi="Arial" w:cs="Arial"/>
          <w:spacing w:val="-3"/>
          <w:lang w:val="en-GB"/>
        </w:rPr>
        <w:t xml:space="preserve"> binding and valid between the parties and </w:t>
      </w:r>
      <w:r w:rsidR="00AD599D" w:rsidRPr="004113D3">
        <w:rPr>
          <w:rFonts w:ascii="Arial" w:hAnsi="Arial" w:cs="Arial"/>
          <w:spacing w:val="-3"/>
          <w:lang w:val="en-GB"/>
        </w:rPr>
        <w:t xml:space="preserve">that it </w:t>
      </w:r>
      <w:r w:rsidR="003C38C3" w:rsidRPr="004113D3">
        <w:rPr>
          <w:rFonts w:ascii="Arial" w:hAnsi="Arial" w:cs="Arial"/>
          <w:spacing w:val="-3"/>
          <w:lang w:val="en-GB"/>
        </w:rPr>
        <w:t xml:space="preserve">be made an order of court and be declared enforceable, in the terms as fully set out in the notice of motion. The first and second defendants oppose the relief sought by the plaintiffs. </w:t>
      </w:r>
    </w:p>
    <w:p w14:paraId="71C5FD22" w14:textId="77777777" w:rsidR="00F24B3A" w:rsidRPr="004113D3" w:rsidRDefault="003C38C3" w:rsidP="005B503D">
      <w:pPr>
        <w:rPr>
          <w:rFonts w:ascii="Arial" w:hAnsi="Arial" w:cs="Arial"/>
          <w:spacing w:val="-3"/>
          <w:sz w:val="24"/>
          <w:szCs w:val="24"/>
          <w:lang w:val="en-GB"/>
        </w:rPr>
      </w:pPr>
      <w:r w:rsidRPr="004113D3">
        <w:rPr>
          <w:rFonts w:ascii="Arial" w:hAnsi="Arial" w:cs="Arial"/>
          <w:i/>
          <w:spacing w:val="-3"/>
          <w:sz w:val="24"/>
          <w:szCs w:val="24"/>
          <w:lang w:val="en-GB"/>
        </w:rPr>
        <w:t>Held that</w:t>
      </w:r>
      <w:r w:rsidRPr="004113D3">
        <w:rPr>
          <w:rFonts w:ascii="Arial" w:hAnsi="Arial" w:cs="Arial"/>
          <w:spacing w:val="-3"/>
          <w:sz w:val="24"/>
          <w:szCs w:val="24"/>
          <w:lang w:val="en-GB"/>
        </w:rPr>
        <w:t xml:space="preserve"> the defendants were duly represented </w:t>
      </w:r>
      <w:proofErr w:type="gramStart"/>
      <w:r w:rsidRPr="004113D3">
        <w:rPr>
          <w:rFonts w:ascii="Arial" w:hAnsi="Arial" w:cs="Arial"/>
          <w:spacing w:val="-3"/>
          <w:sz w:val="24"/>
          <w:szCs w:val="24"/>
          <w:lang w:val="en-GB"/>
        </w:rPr>
        <w:t>during the course of</w:t>
      </w:r>
      <w:proofErr w:type="gramEnd"/>
      <w:r w:rsidRPr="004113D3">
        <w:rPr>
          <w:rFonts w:ascii="Arial" w:hAnsi="Arial" w:cs="Arial"/>
          <w:spacing w:val="-3"/>
          <w:sz w:val="24"/>
          <w:szCs w:val="24"/>
          <w:lang w:val="en-GB"/>
        </w:rPr>
        <w:t xml:space="preserve"> the mediation proceedings and</w:t>
      </w:r>
      <w:r w:rsidR="0094296A" w:rsidRPr="004113D3">
        <w:rPr>
          <w:rFonts w:ascii="Arial" w:hAnsi="Arial" w:cs="Arial"/>
          <w:spacing w:val="-3"/>
          <w:sz w:val="24"/>
          <w:szCs w:val="24"/>
          <w:lang w:val="en-GB"/>
        </w:rPr>
        <w:t>,</w:t>
      </w:r>
      <w:r w:rsidRPr="004113D3">
        <w:rPr>
          <w:rFonts w:ascii="Arial" w:hAnsi="Arial" w:cs="Arial"/>
          <w:spacing w:val="-3"/>
          <w:sz w:val="24"/>
          <w:szCs w:val="24"/>
          <w:lang w:val="en-GB"/>
        </w:rPr>
        <w:t xml:space="preserve"> as a result</w:t>
      </w:r>
      <w:r w:rsidR="00307E4C" w:rsidRPr="004113D3">
        <w:rPr>
          <w:rFonts w:ascii="Arial" w:hAnsi="Arial" w:cs="Arial"/>
          <w:spacing w:val="-3"/>
          <w:sz w:val="24"/>
          <w:szCs w:val="24"/>
          <w:lang w:val="en-GB"/>
        </w:rPr>
        <w:t>,</w:t>
      </w:r>
      <w:r w:rsidRPr="004113D3">
        <w:rPr>
          <w:rFonts w:ascii="Arial" w:hAnsi="Arial" w:cs="Arial"/>
          <w:spacing w:val="-3"/>
          <w:sz w:val="24"/>
          <w:szCs w:val="24"/>
          <w:lang w:val="en-GB"/>
        </w:rPr>
        <w:t xml:space="preserve"> were properly advised on the nature of the settlement proposed and the consequences of the said settlement agreement. </w:t>
      </w:r>
    </w:p>
    <w:p w14:paraId="538CFE2E" w14:textId="77777777" w:rsidR="00F24B3A" w:rsidRPr="004113D3" w:rsidRDefault="00F24B3A" w:rsidP="005B503D">
      <w:pPr>
        <w:rPr>
          <w:rFonts w:ascii="Arial" w:hAnsi="Arial" w:cs="Arial"/>
          <w:spacing w:val="-3"/>
          <w:sz w:val="24"/>
          <w:szCs w:val="24"/>
          <w:lang w:val="en-GB"/>
        </w:rPr>
      </w:pPr>
    </w:p>
    <w:p w14:paraId="63001C3A" w14:textId="77777777" w:rsidR="003C38C3" w:rsidRPr="004113D3" w:rsidRDefault="003C38C3" w:rsidP="005B503D">
      <w:pPr>
        <w:rPr>
          <w:rFonts w:ascii="Arial" w:eastAsia="Times New Roman" w:hAnsi="Arial" w:cs="Arial"/>
          <w:spacing w:val="-3"/>
          <w:sz w:val="24"/>
          <w:szCs w:val="24"/>
          <w:lang w:val="en-GB"/>
        </w:rPr>
      </w:pPr>
      <w:r w:rsidRPr="004113D3">
        <w:rPr>
          <w:rFonts w:ascii="Arial" w:hAnsi="Arial" w:cs="Arial"/>
          <w:i/>
          <w:spacing w:val="-3"/>
          <w:sz w:val="24"/>
          <w:szCs w:val="24"/>
          <w:lang w:val="en-GB"/>
        </w:rPr>
        <w:t>Held further that</w:t>
      </w:r>
      <w:r w:rsidRPr="004113D3">
        <w:rPr>
          <w:rFonts w:ascii="Arial" w:hAnsi="Arial" w:cs="Arial"/>
          <w:spacing w:val="-3"/>
          <w:sz w:val="24"/>
          <w:szCs w:val="24"/>
          <w:lang w:val="en-GB"/>
        </w:rPr>
        <w:t xml:space="preserve"> the </w:t>
      </w:r>
      <w:r w:rsidRPr="004113D3">
        <w:rPr>
          <w:rFonts w:ascii="Arial" w:eastAsia="Times New Roman" w:hAnsi="Arial" w:cs="Arial"/>
          <w:spacing w:val="-3"/>
          <w:sz w:val="24"/>
          <w:szCs w:val="24"/>
          <w:lang w:val="en-GB"/>
        </w:rPr>
        <w:t>defendants accepted that the terms of the settlement agreement</w:t>
      </w:r>
      <w:r w:rsidR="00AD599D" w:rsidRPr="004113D3">
        <w:rPr>
          <w:rFonts w:ascii="Arial" w:eastAsia="Times New Roman" w:hAnsi="Arial" w:cs="Arial"/>
          <w:spacing w:val="-3"/>
          <w:sz w:val="24"/>
          <w:szCs w:val="24"/>
          <w:lang w:val="en-GB"/>
        </w:rPr>
        <w:t>,</w:t>
      </w:r>
      <w:r w:rsidRPr="004113D3">
        <w:rPr>
          <w:rFonts w:ascii="Arial" w:eastAsia="Times New Roman" w:hAnsi="Arial" w:cs="Arial"/>
          <w:spacing w:val="-3"/>
          <w:sz w:val="24"/>
          <w:szCs w:val="24"/>
          <w:lang w:val="en-GB"/>
        </w:rPr>
        <w:t xml:space="preserve"> as set out in para 5 below</w:t>
      </w:r>
      <w:r w:rsidR="00AD599D" w:rsidRPr="004113D3">
        <w:rPr>
          <w:rFonts w:ascii="Arial" w:eastAsia="Times New Roman" w:hAnsi="Arial" w:cs="Arial"/>
          <w:spacing w:val="-3"/>
          <w:sz w:val="24"/>
          <w:szCs w:val="24"/>
          <w:lang w:val="en-GB"/>
        </w:rPr>
        <w:t>, reflect what the parties agreed upon</w:t>
      </w:r>
      <w:r w:rsidR="005B503D" w:rsidRPr="004113D3">
        <w:rPr>
          <w:rFonts w:ascii="Arial" w:eastAsia="Times New Roman" w:hAnsi="Arial" w:cs="Arial"/>
          <w:spacing w:val="-3"/>
          <w:sz w:val="24"/>
          <w:szCs w:val="24"/>
          <w:lang w:val="en-GB"/>
        </w:rPr>
        <w:t>.</w:t>
      </w:r>
    </w:p>
    <w:p w14:paraId="1647BE08" w14:textId="77777777" w:rsidR="005B503D" w:rsidRPr="004113D3" w:rsidRDefault="005B503D" w:rsidP="005B503D">
      <w:pPr>
        <w:rPr>
          <w:rFonts w:ascii="Arial" w:eastAsia="Times New Roman" w:hAnsi="Arial" w:cs="Arial"/>
          <w:spacing w:val="-3"/>
          <w:sz w:val="24"/>
          <w:szCs w:val="24"/>
          <w:lang w:val="en-GB"/>
        </w:rPr>
      </w:pPr>
    </w:p>
    <w:p w14:paraId="5951EE07" w14:textId="77777777" w:rsidR="003C38C3" w:rsidRPr="004113D3" w:rsidRDefault="003C38C3" w:rsidP="005B503D">
      <w:pPr>
        <w:rPr>
          <w:rFonts w:ascii="Arial" w:eastAsia="Times New Roman" w:hAnsi="Arial" w:cs="Arial"/>
          <w:spacing w:val="-3"/>
          <w:sz w:val="24"/>
          <w:szCs w:val="24"/>
          <w:lang w:val="en-GB"/>
        </w:rPr>
      </w:pPr>
      <w:r w:rsidRPr="004113D3">
        <w:rPr>
          <w:rFonts w:ascii="Arial" w:hAnsi="Arial" w:cs="Arial"/>
          <w:i/>
          <w:spacing w:val="-3"/>
          <w:sz w:val="24"/>
          <w:szCs w:val="24"/>
          <w:lang w:val="en-GB"/>
        </w:rPr>
        <w:t>Held that</w:t>
      </w:r>
      <w:r w:rsidRPr="004113D3">
        <w:rPr>
          <w:rFonts w:ascii="Arial" w:hAnsi="Arial" w:cs="Arial"/>
          <w:spacing w:val="-3"/>
          <w:lang w:val="en-GB"/>
        </w:rPr>
        <w:t xml:space="preserve"> </w:t>
      </w:r>
      <w:r w:rsidR="005B503D" w:rsidRPr="004113D3">
        <w:rPr>
          <w:rFonts w:ascii="Arial" w:eastAsia="Times New Roman" w:hAnsi="Arial" w:cs="Arial"/>
          <w:spacing w:val="-3"/>
          <w:sz w:val="24"/>
          <w:szCs w:val="24"/>
          <w:lang w:val="en-GB"/>
        </w:rPr>
        <w:t>although the defendants are critical of the judgment dated 24 October 2022, this judgment was not appealed and</w:t>
      </w:r>
      <w:r w:rsidR="00307E4C" w:rsidRPr="004113D3">
        <w:rPr>
          <w:rFonts w:ascii="Arial" w:eastAsia="Times New Roman" w:hAnsi="Arial" w:cs="Arial"/>
          <w:spacing w:val="-3"/>
          <w:sz w:val="24"/>
          <w:szCs w:val="24"/>
          <w:lang w:val="en-GB"/>
        </w:rPr>
        <w:t>,</w:t>
      </w:r>
      <w:r w:rsidR="005B503D" w:rsidRPr="004113D3">
        <w:rPr>
          <w:rFonts w:ascii="Arial" w:eastAsia="Times New Roman" w:hAnsi="Arial" w:cs="Arial"/>
          <w:spacing w:val="-3"/>
          <w:sz w:val="24"/>
          <w:szCs w:val="24"/>
          <w:lang w:val="en-GB"/>
        </w:rPr>
        <w:t xml:space="preserve"> therefore</w:t>
      </w:r>
      <w:r w:rsidR="00AD599D" w:rsidRPr="004113D3">
        <w:rPr>
          <w:rFonts w:ascii="Arial" w:eastAsia="Times New Roman" w:hAnsi="Arial" w:cs="Arial"/>
          <w:spacing w:val="-3"/>
          <w:sz w:val="24"/>
          <w:szCs w:val="24"/>
          <w:lang w:val="en-GB"/>
        </w:rPr>
        <w:t>,</w:t>
      </w:r>
      <w:r w:rsidR="005B503D" w:rsidRPr="004113D3">
        <w:rPr>
          <w:rFonts w:ascii="Arial" w:eastAsia="Times New Roman" w:hAnsi="Arial" w:cs="Arial"/>
          <w:spacing w:val="-3"/>
          <w:sz w:val="24"/>
          <w:szCs w:val="24"/>
          <w:lang w:val="en-GB"/>
        </w:rPr>
        <w:t xml:space="preserve"> still stands. </w:t>
      </w:r>
    </w:p>
    <w:p w14:paraId="37257A6E" w14:textId="77777777" w:rsidR="005B503D" w:rsidRPr="004113D3" w:rsidRDefault="005B503D" w:rsidP="005B503D">
      <w:pPr>
        <w:rPr>
          <w:rFonts w:ascii="Arial" w:eastAsia="Times New Roman" w:hAnsi="Arial" w:cs="Arial"/>
          <w:spacing w:val="-3"/>
          <w:sz w:val="24"/>
          <w:szCs w:val="24"/>
          <w:lang w:val="en-GB"/>
        </w:rPr>
      </w:pPr>
    </w:p>
    <w:p w14:paraId="33D6996A" w14:textId="77777777" w:rsidR="003C38C3" w:rsidRPr="004113D3" w:rsidRDefault="003C38C3" w:rsidP="008B1AC6">
      <w:pPr>
        <w:pStyle w:val="rteindent1"/>
        <w:shd w:val="clear" w:color="auto" w:fill="FFFFFF"/>
        <w:spacing w:before="0" w:beforeAutospacing="0" w:line="360" w:lineRule="auto"/>
        <w:jc w:val="both"/>
        <w:rPr>
          <w:rFonts w:ascii="Arial" w:hAnsi="Arial" w:cs="Arial"/>
          <w:spacing w:val="-3"/>
          <w:lang w:val="en-GB"/>
        </w:rPr>
      </w:pPr>
      <w:r w:rsidRPr="004113D3">
        <w:rPr>
          <w:rFonts w:ascii="Arial" w:hAnsi="Arial" w:cs="Arial"/>
          <w:i/>
          <w:spacing w:val="-3"/>
          <w:lang w:val="en-GB"/>
        </w:rPr>
        <w:t>Held that</w:t>
      </w:r>
      <w:r w:rsidRPr="004113D3">
        <w:rPr>
          <w:rFonts w:ascii="Arial" w:hAnsi="Arial" w:cs="Arial"/>
          <w:spacing w:val="-3"/>
          <w:lang w:val="en-GB"/>
        </w:rPr>
        <w:t xml:space="preserve"> </w:t>
      </w:r>
      <w:r w:rsidR="005B503D" w:rsidRPr="004113D3">
        <w:rPr>
          <w:rFonts w:ascii="Arial" w:hAnsi="Arial" w:cs="Arial"/>
          <w:spacing w:val="-3"/>
          <w:lang w:val="en-GB"/>
        </w:rPr>
        <w:t>the verbal agreement does not deal with the sale of immovable property</w:t>
      </w:r>
      <w:r w:rsidR="00AD599D" w:rsidRPr="004113D3">
        <w:rPr>
          <w:rFonts w:ascii="Arial" w:hAnsi="Arial" w:cs="Arial"/>
          <w:spacing w:val="-3"/>
          <w:lang w:val="en-GB"/>
        </w:rPr>
        <w:t xml:space="preserve"> or</w:t>
      </w:r>
      <w:r w:rsidR="005B503D" w:rsidRPr="004113D3">
        <w:rPr>
          <w:rFonts w:ascii="Arial" w:hAnsi="Arial" w:cs="Arial"/>
          <w:spacing w:val="-3"/>
          <w:lang w:val="en-GB"/>
        </w:rPr>
        <w:t xml:space="preserve"> the sale of </w:t>
      </w:r>
      <w:r w:rsidR="00AD599D" w:rsidRPr="004113D3">
        <w:rPr>
          <w:rFonts w:ascii="Arial" w:hAnsi="Arial" w:cs="Arial"/>
          <w:spacing w:val="-3"/>
          <w:lang w:val="en-GB"/>
        </w:rPr>
        <w:t xml:space="preserve">an </w:t>
      </w:r>
      <w:r w:rsidR="005B503D" w:rsidRPr="004113D3">
        <w:rPr>
          <w:rFonts w:ascii="Arial" w:hAnsi="Arial" w:cs="Arial"/>
          <w:spacing w:val="-3"/>
          <w:lang w:val="en-GB"/>
        </w:rPr>
        <w:t>interest in land. The plaintiffs</w:t>
      </w:r>
      <w:r w:rsidR="00AD599D" w:rsidRPr="004113D3">
        <w:rPr>
          <w:rFonts w:ascii="Arial" w:hAnsi="Arial" w:cs="Arial"/>
          <w:spacing w:val="-3"/>
          <w:lang w:val="en-GB"/>
        </w:rPr>
        <w:t>’</w:t>
      </w:r>
      <w:r w:rsidR="005B503D" w:rsidRPr="004113D3">
        <w:rPr>
          <w:rFonts w:ascii="Arial" w:hAnsi="Arial" w:cs="Arial"/>
          <w:spacing w:val="-3"/>
          <w:lang w:val="en-GB"/>
        </w:rPr>
        <w:t xml:space="preserve"> claim was not premised on the sale of land. If the settlement agreement related to the sale of land</w:t>
      </w:r>
      <w:r w:rsidR="00AD599D" w:rsidRPr="004113D3">
        <w:rPr>
          <w:rFonts w:ascii="Arial" w:hAnsi="Arial" w:cs="Arial"/>
          <w:spacing w:val="-3"/>
          <w:lang w:val="en-GB"/>
        </w:rPr>
        <w:t>,</w:t>
      </w:r>
      <w:r w:rsidR="005B503D" w:rsidRPr="004113D3">
        <w:rPr>
          <w:rFonts w:ascii="Arial" w:hAnsi="Arial" w:cs="Arial"/>
          <w:spacing w:val="-3"/>
          <w:lang w:val="en-GB"/>
        </w:rPr>
        <w:t xml:space="preserve"> one would have expected the agreement to deal with it specifically. </w:t>
      </w:r>
      <w:r w:rsidR="00AD599D" w:rsidRPr="004113D3">
        <w:rPr>
          <w:rFonts w:ascii="Arial" w:hAnsi="Arial" w:cs="Arial"/>
          <w:spacing w:val="-3"/>
          <w:lang w:val="en-GB"/>
        </w:rPr>
        <w:t>There</w:t>
      </w:r>
      <w:r w:rsidR="005B503D" w:rsidRPr="004113D3">
        <w:rPr>
          <w:rFonts w:ascii="Arial" w:hAnsi="Arial" w:cs="Arial"/>
          <w:spacing w:val="-3"/>
          <w:lang w:val="en-GB"/>
        </w:rPr>
        <w:t xml:space="preserve"> is no reference to any sales agreement in the terms of the settlement, and there is no reference to payment apart from the fact that the plaintiff</w:t>
      </w:r>
      <w:r w:rsidR="00AD599D" w:rsidRPr="004113D3">
        <w:rPr>
          <w:rFonts w:ascii="Arial" w:hAnsi="Arial" w:cs="Arial"/>
          <w:spacing w:val="-3"/>
          <w:lang w:val="en-GB"/>
        </w:rPr>
        <w:t>s</w:t>
      </w:r>
      <w:r w:rsidR="005B503D" w:rsidRPr="004113D3">
        <w:rPr>
          <w:rFonts w:ascii="Arial" w:hAnsi="Arial" w:cs="Arial"/>
          <w:spacing w:val="-3"/>
          <w:lang w:val="en-GB"/>
        </w:rPr>
        <w:t xml:space="preserve"> had to pay for the transfer costs.</w:t>
      </w:r>
    </w:p>
    <w:p w14:paraId="4AC84DFA" w14:textId="77777777" w:rsidR="003C38C3" w:rsidRPr="004113D3" w:rsidRDefault="003C38C3" w:rsidP="008B1AC6">
      <w:pPr>
        <w:pStyle w:val="rteindent1"/>
        <w:shd w:val="clear" w:color="auto" w:fill="FFFFFF"/>
        <w:spacing w:before="0" w:beforeAutospacing="0" w:line="360" w:lineRule="auto"/>
        <w:jc w:val="both"/>
        <w:rPr>
          <w:rFonts w:ascii="Arial" w:hAnsi="Arial" w:cs="Arial"/>
          <w:spacing w:val="-3"/>
          <w:lang w:val="en-GB"/>
        </w:rPr>
      </w:pPr>
      <w:r w:rsidRPr="004113D3">
        <w:rPr>
          <w:rFonts w:ascii="Arial" w:hAnsi="Arial" w:cs="Arial"/>
          <w:i/>
          <w:spacing w:val="-3"/>
          <w:lang w:val="en-GB"/>
        </w:rPr>
        <w:lastRenderedPageBreak/>
        <w:t>Held that</w:t>
      </w:r>
      <w:r w:rsidRPr="004113D3">
        <w:rPr>
          <w:rFonts w:ascii="Arial" w:hAnsi="Arial" w:cs="Arial"/>
          <w:spacing w:val="-3"/>
          <w:lang w:val="en-GB"/>
        </w:rPr>
        <w:t xml:space="preserve"> </w:t>
      </w:r>
      <w:r w:rsidR="005B503D" w:rsidRPr="004113D3">
        <w:rPr>
          <w:rFonts w:ascii="Arial" w:hAnsi="Arial" w:cs="Arial"/>
          <w:spacing w:val="-3"/>
          <w:lang w:val="en-GB"/>
        </w:rPr>
        <w:t xml:space="preserve">the verbal settlement agreement </w:t>
      </w:r>
      <w:r w:rsidR="00AD599D" w:rsidRPr="004113D3">
        <w:rPr>
          <w:rFonts w:ascii="Arial" w:hAnsi="Arial" w:cs="Arial"/>
          <w:spacing w:val="-3"/>
          <w:lang w:val="en-GB"/>
        </w:rPr>
        <w:t>reached</w:t>
      </w:r>
      <w:r w:rsidR="005B503D" w:rsidRPr="004113D3">
        <w:rPr>
          <w:rFonts w:ascii="Arial" w:hAnsi="Arial" w:cs="Arial"/>
          <w:spacing w:val="-3"/>
          <w:lang w:val="en-GB"/>
        </w:rPr>
        <w:t xml:space="preserve"> at mediation on 2 June 2022 between the plaintiffs and the first and second defendants is</w:t>
      </w:r>
      <w:r w:rsidR="00AD599D" w:rsidRPr="004113D3">
        <w:rPr>
          <w:rFonts w:ascii="Arial" w:hAnsi="Arial" w:cs="Arial"/>
          <w:spacing w:val="-3"/>
          <w:lang w:val="en-GB"/>
        </w:rPr>
        <w:t>,</w:t>
      </w:r>
      <w:r w:rsidR="005B503D" w:rsidRPr="004113D3">
        <w:rPr>
          <w:rFonts w:ascii="Arial" w:hAnsi="Arial" w:cs="Arial"/>
          <w:spacing w:val="-3"/>
          <w:lang w:val="en-GB"/>
        </w:rPr>
        <w:t xml:space="preserve"> as a result</w:t>
      </w:r>
      <w:r w:rsidR="00AD599D" w:rsidRPr="004113D3">
        <w:rPr>
          <w:rFonts w:ascii="Arial" w:hAnsi="Arial" w:cs="Arial"/>
          <w:spacing w:val="-3"/>
          <w:lang w:val="en-GB"/>
        </w:rPr>
        <w:t>,</w:t>
      </w:r>
      <w:r w:rsidR="005B503D" w:rsidRPr="004113D3">
        <w:rPr>
          <w:rFonts w:ascii="Arial" w:hAnsi="Arial" w:cs="Arial"/>
          <w:spacing w:val="-3"/>
          <w:lang w:val="en-GB"/>
        </w:rPr>
        <w:t xml:space="preserve"> hereby made an order of court.</w:t>
      </w:r>
    </w:p>
    <w:p w14:paraId="01643AD4" w14:textId="77777777" w:rsidR="005B503D" w:rsidRPr="004113D3" w:rsidRDefault="005B503D" w:rsidP="005B503D">
      <w:pPr>
        <w:pStyle w:val="rteindent1"/>
        <w:shd w:val="clear" w:color="auto" w:fill="FFFFFF"/>
        <w:spacing w:line="360" w:lineRule="auto"/>
        <w:jc w:val="both"/>
        <w:rPr>
          <w:rFonts w:ascii="Arial" w:hAnsi="Arial" w:cs="Arial"/>
          <w:spacing w:val="-3"/>
          <w:lang w:val="en-GB"/>
        </w:rPr>
      </w:pPr>
      <w:r w:rsidRPr="004113D3">
        <w:rPr>
          <w:rFonts w:ascii="Arial" w:hAnsi="Arial" w:cs="Arial"/>
          <w:i/>
          <w:spacing w:val="-3"/>
          <w:lang w:val="en-GB"/>
        </w:rPr>
        <w:t>Held that</w:t>
      </w:r>
      <w:r w:rsidRPr="004113D3">
        <w:rPr>
          <w:rFonts w:ascii="Arial" w:hAnsi="Arial" w:cs="Arial"/>
          <w:spacing w:val="-3"/>
          <w:lang w:val="en-GB"/>
        </w:rPr>
        <w:t xml:space="preserve"> the protracted arguments on the purported non-compliance with the Formalities of the Sale of Land Act </w:t>
      </w:r>
      <w:r w:rsidR="00CA1EE2" w:rsidRPr="004113D3">
        <w:rPr>
          <w:rFonts w:ascii="Arial" w:hAnsi="Arial" w:cs="Arial"/>
          <w:spacing w:val="-3"/>
          <w:lang w:val="en-GB"/>
        </w:rPr>
        <w:t>do</w:t>
      </w:r>
      <w:r w:rsidR="00AD599D" w:rsidRPr="004113D3">
        <w:rPr>
          <w:rFonts w:ascii="Arial" w:hAnsi="Arial" w:cs="Arial"/>
          <w:spacing w:val="-3"/>
          <w:lang w:val="en-GB"/>
        </w:rPr>
        <w:t>es</w:t>
      </w:r>
      <w:r w:rsidRPr="004113D3">
        <w:rPr>
          <w:rFonts w:ascii="Arial" w:hAnsi="Arial" w:cs="Arial"/>
          <w:spacing w:val="-3"/>
          <w:lang w:val="en-GB"/>
        </w:rPr>
        <w:t xml:space="preserve"> not find application in respect of the settlement agreement before this court. The original </w:t>
      </w:r>
      <w:proofErr w:type="spellStart"/>
      <w:r w:rsidRPr="004113D3">
        <w:rPr>
          <w:rFonts w:ascii="Arial" w:hAnsi="Arial" w:cs="Arial"/>
          <w:spacing w:val="-3"/>
          <w:lang w:val="en-GB"/>
        </w:rPr>
        <w:t>lis</w:t>
      </w:r>
      <w:proofErr w:type="spellEnd"/>
      <w:r w:rsidRPr="004113D3">
        <w:rPr>
          <w:rFonts w:ascii="Arial" w:hAnsi="Arial" w:cs="Arial"/>
          <w:spacing w:val="-3"/>
          <w:lang w:val="en-GB"/>
        </w:rPr>
        <w:t xml:space="preserve"> between the parties fell away</w:t>
      </w:r>
      <w:r w:rsidR="00CA1EE2" w:rsidRPr="004113D3">
        <w:rPr>
          <w:rFonts w:ascii="Arial" w:hAnsi="Arial" w:cs="Arial"/>
          <w:spacing w:val="-3"/>
          <w:lang w:val="en-GB"/>
        </w:rPr>
        <w:t>,</w:t>
      </w:r>
      <w:r w:rsidRPr="004113D3">
        <w:rPr>
          <w:rFonts w:ascii="Arial" w:hAnsi="Arial" w:cs="Arial"/>
          <w:spacing w:val="-3"/>
          <w:lang w:val="en-GB"/>
        </w:rPr>
        <w:t xml:space="preserve"> and </w:t>
      </w:r>
      <w:proofErr w:type="gramStart"/>
      <w:r w:rsidRPr="004113D3">
        <w:rPr>
          <w:rFonts w:ascii="Arial" w:hAnsi="Arial" w:cs="Arial"/>
          <w:spacing w:val="-3"/>
          <w:lang w:val="en-GB"/>
        </w:rPr>
        <w:t>it is clear that the</w:t>
      </w:r>
      <w:proofErr w:type="gramEnd"/>
      <w:r w:rsidRPr="004113D3">
        <w:rPr>
          <w:rFonts w:ascii="Arial" w:hAnsi="Arial" w:cs="Arial"/>
          <w:spacing w:val="-3"/>
          <w:lang w:val="en-GB"/>
        </w:rPr>
        <w:t xml:space="preserve"> defendants are not entitled to go behind the compromise and raise defences to the original cause of action when sued on the compromise.</w:t>
      </w:r>
    </w:p>
    <w:p w14:paraId="7D3183AB" w14:textId="77777777" w:rsidR="005B503D" w:rsidRPr="004113D3" w:rsidRDefault="004F4684" w:rsidP="004F4684">
      <w:pPr>
        <w:pStyle w:val="rteindent1"/>
        <w:shd w:val="clear" w:color="auto" w:fill="FFFFFF"/>
        <w:spacing w:line="360" w:lineRule="auto"/>
        <w:jc w:val="both"/>
        <w:rPr>
          <w:rFonts w:ascii="Arial" w:hAnsi="Arial" w:cs="Arial"/>
          <w:spacing w:val="-3"/>
          <w:lang w:val="en-GB"/>
        </w:rPr>
      </w:pPr>
      <w:r w:rsidRPr="004113D3">
        <w:rPr>
          <w:rFonts w:ascii="Arial" w:hAnsi="Arial" w:cs="Arial"/>
          <w:i/>
          <w:spacing w:val="-3"/>
          <w:lang w:val="en-GB"/>
        </w:rPr>
        <w:t xml:space="preserve">Held </w:t>
      </w:r>
      <w:r w:rsidR="005B503D" w:rsidRPr="004113D3">
        <w:rPr>
          <w:rFonts w:ascii="Arial" w:hAnsi="Arial" w:cs="Arial"/>
          <w:i/>
          <w:spacing w:val="-3"/>
          <w:lang w:val="en-GB"/>
        </w:rPr>
        <w:t>that</w:t>
      </w:r>
      <w:r w:rsidR="005B503D" w:rsidRPr="004113D3">
        <w:rPr>
          <w:rFonts w:ascii="Arial" w:hAnsi="Arial" w:cs="Arial"/>
          <w:spacing w:val="-3"/>
          <w:lang w:val="en-GB"/>
        </w:rPr>
        <w:t xml:space="preserve"> the compromise reached between the parties extinguishes the plaintiffs’ original cause of action and the settlement or compromise reached between the parties is not subject to the provisions of the Formalities of Sale of Land Act. The plaintiffs will therefore be able to enforce the said settlement agreement as agreed betwee</w:t>
      </w:r>
      <w:r w:rsidRPr="004113D3">
        <w:rPr>
          <w:rFonts w:ascii="Arial" w:hAnsi="Arial" w:cs="Arial"/>
          <w:spacing w:val="-3"/>
          <w:lang w:val="en-GB"/>
        </w:rPr>
        <w:t>n the parties on 22 June 2022. The plaintiffs’ application succeeds.</w:t>
      </w:r>
    </w:p>
    <w:p w14:paraId="6F954136" w14:textId="77777777" w:rsidR="008B1AC6" w:rsidRPr="004113D3" w:rsidRDefault="008B1AC6" w:rsidP="008B1AC6">
      <w:pPr>
        <w:spacing w:line="276" w:lineRule="auto"/>
        <w:rPr>
          <w:rFonts w:ascii="Arial" w:eastAsia="Calibri" w:hAnsi="Arial" w:cs="Arial"/>
          <w:sz w:val="24"/>
          <w:szCs w:val="24"/>
        </w:rPr>
      </w:pPr>
      <w:r w:rsidRPr="004113D3">
        <w:rPr>
          <w:rFonts w:ascii="Arial" w:eastAsia="Calibri" w:hAnsi="Arial" w:cs="Arial"/>
          <w:sz w:val="24"/>
          <w:szCs w:val="24"/>
        </w:rPr>
        <w:t>______________________________________________________________________</w:t>
      </w:r>
    </w:p>
    <w:p w14:paraId="4BF3B75E" w14:textId="77777777" w:rsidR="008B1AC6" w:rsidRPr="004113D3" w:rsidRDefault="008B1AC6" w:rsidP="008B1AC6">
      <w:pPr>
        <w:spacing w:line="276" w:lineRule="auto"/>
        <w:rPr>
          <w:rFonts w:ascii="Arial" w:eastAsia="Calibri" w:hAnsi="Arial" w:cs="Arial"/>
          <w:b/>
          <w:sz w:val="24"/>
          <w:szCs w:val="24"/>
        </w:rPr>
      </w:pPr>
    </w:p>
    <w:p w14:paraId="5FCE69A3" w14:textId="77777777" w:rsidR="008B1AC6" w:rsidRPr="004113D3" w:rsidRDefault="008B1AC6" w:rsidP="008B1AC6">
      <w:pPr>
        <w:spacing w:line="276" w:lineRule="auto"/>
        <w:jc w:val="center"/>
        <w:rPr>
          <w:rFonts w:ascii="Arial" w:eastAsia="Calibri" w:hAnsi="Arial" w:cs="Arial"/>
          <w:b/>
          <w:sz w:val="24"/>
          <w:szCs w:val="24"/>
        </w:rPr>
      </w:pPr>
      <w:r w:rsidRPr="004113D3">
        <w:rPr>
          <w:rFonts w:ascii="Arial" w:eastAsia="Calibri" w:hAnsi="Arial" w:cs="Arial"/>
          <w:b/>
          <w:sz w:val="24"/>
          <w:szCs w:val="24"/>
        </w:rPr>
        <w:t>ORDER</w:t>
      </w:r>
    </w:p>
    <w:p w14:paraId="0CB77FEA" w14:textId="77777777" w:rsidR="008B1AC6" w:rsidRPr="004113D3" w:rsidRDefault="008B1AC6" w:rsidP="008B1AC6">
      <w:pPr>
        <w:spacing w:line="276" w:lineRule="auto"/>
        <w:jc w:val="left"/>
        <w:rPr>
          <w:rFonts w:ascii="Arial" w:eastAsia="Calibri" w:hAnsi="Arial" w:cs="Arial"/>
          <w:sz w:val="24"/>
          <w:szCs w:val="24"/>
        </w:rPr>
      </w:pPr>
      <w:r w:rsidRPr="004113D3">
        <w:rPr>
          <w:rFonts w:ascii="Arial" w:eastAsia="Calibri" w:hAnsi="Arial" w:cs="Arial"/>
          <w:sz w:val="24"/>
          <w:szCs w:val="24"/>
        </w:rPr>
        <w:t>______________________________________________________________________</w:t>
      </w:r>
    </w:p>
    <w:p w14:paraId="76B2E47C" w14:textId="77777777" w:rsidR="008B1AC6" w:rsidRPr="004113D3" w:rsidRDefault="008B1AC6" w:rsidP="008B1AC6">
      <w:pPr>
        <w:spacing w:line="276" w:lineRule="auto"/>
        <w:jc w:val="left"/>
        <w:rPr>
          <w:rFonts w:ascii="Arial" w:eastAsia="Calibri" w:hAnsi="Arial" w:cs="Arial"/>
          <w:sz w:val="24"/>
          <w:szCs w:val="24"/>
        </w:rPr>
      </w:pPr>
    </w:p>
    <w:p w14:paraId="47F456E4" w14:textId="076370A6" w:rsidR="00770C17" w:rsidRPr="00FB6FCC" w:rsidRDefault="00FB6FCC" w:rsidP="00FB6FCC">
      <w:pPr>
        <w:rPr>
          <w:rFonts w:ascii="Arial" w:eastAsia="Calibri" w:hAnsi="Arial" w:cs="Arial"/>
          <w:sz w:val="24"/>
          <w:szCs w:val="24"/>
        </w:rPr>
      </w:pPr>
      <w:r w:rsidRPr="004113D3">
        <w:rPr>
          <w:rFonts w:ascii="Arial" w:eastAsia="Calibri" w:hAnsi="Arial" w:cs="Arial"/>
          <w:sz w:val="24"/>
          <w:szCs w:val="24"/>
        </w:rPr>
        <w:t>1.</w:t>
      </w:r>
      <w:r w:rsidRPr="004113D3">
        <w:rPr>
          <w:rFonts w:ascii="Arial" w:eastAsia="Calibri" w:hAnsi="Arial" w:cs="Arial"/>
          <w:sz w:val="24"/>
          <w:szCs w:val="24"/>
        </w:rPr>
        <w:tab/>
      </w:r>
      <w:r w:rsidR="00770C17" w:rsidRPr="00FB6FCC">
        <w:rPr>
          <w:rFonts w:ascii="Arial" w:eastAsia="Calibri" w:hAnsi="Arial" w:cs="Arial"/>
          <w:sz w:val="24"/>
          <w:szCs w:val="24"/>
        </w:rPr>
        <w:t>The settlement agreement reached during mediation on 02 June 2022</w:t>
      </w:r>
      <w:r w:rsidR="007D49A6" w:rsidRPr="00FB6FCC">
        <w:rPr>
          <w:rFonts w:ascii="Arial" w:eastAsia="Calibri" w:hAnsi="Arial" w:cs="Arial"/>
          <w:sz w:val="24"/>
          <w:szCs w:val="24"/>
        </w:rPr>
        <w:t>,</w:t>
      </w:r>
      <w:r w:rsidR="00770C17" w:rsidRPr="00FB6FCC">
        <w:rPr>
          <w:rFonts w:ascii="Arial" w:eastAsia="Calibri" w:hAnsi="Arial" w:cs="Arial"/>
          <w:sz w:val="24"/>
          <w:szCs w:val="24"/>
        </w:rPr>
        <w:t xml:space="preserve"> and </w:t>
      </w:r>
      <w:r w:rsidR="00FD7020" w:rsidRPr="00FB6FCC">
        <w:rPr>
          <w:rFonts w:ascii="Arial" w:eastAsia="Calibri" w:hAnsi="Arial" w:cs="Arial"/>
          <w:sz w:val="24"/>
          <w:szCs w:val="24"/>
        </w:rPr>
        <w:t xml:space="preserve">which was </w:t>
      </w:r>
      <w:r w:rsidR="00770C17" w:rsidRPr="00FB6FCC">
        <w:rPr>
          <w:rFonts w:ascii="Arial" w:eastAsia="Calibri" w:hAnsi="Arial" w:cs="Arial"/>
          <w:sz w:val="24"/>
          <w:szCs w:val="24"/>
        </w:rPr>
        <w:t>declared binding and valid between the parties</w:t>
      </w:r>
      <w:r w:rsidR="007D49A6" w:rsidRPr="00FB6FCC">
        <w:rPr>
          <w:rFonts w:ascii="Arial" w:eastAsia="Calibri" w:hAnsi="Arial" w:cs="Arial"/>
          <w:sz w:val="24"/>
          <w:szCs w:val="24"/>
        </w:rPr>
        <w:t>,</w:t>
      </w:r>
      <w:r w:rsidR="00770C17" w:rsidRPr="00FB6FCC">
        <w:rPr>
          <w:rFonts w:ascii="Arial" w:eastAsia="Calibri" w:hAnsi="Arial" w:cs="Arial"/>
          <w:sz w:val="24"/>
          <w:szCs w:val="24"/>
        </w:rPr>
        <w:t xml:space="preserve"> is hereby made an order of </w:t>
      </w:r>
      <w:proofErr w:type="gramStart"/>
      <w:r w:rsidR="00770C17" w:rsidRPr="00FB6FCC">
        <w:rPr>
          <w:rFonts w:ascii="Arial" w:eastAsia="Calibri" w:hAnsi="Arial" w:cs="Arial"/>
          <w:sz w:val="24"/>
          <w:szCs w:val="24"/>
        </w:rPr>
        <w:t>court</w:t>
      </w:r>
      <w:proofErr w:type="gramEnd"/>
      <w:r w:rsidR="00770C17" w:rsidRPr="00FB6FCC">
        <w:rPr>
          <w:rFonts w:ascii="Arial" w:eastAsia="Calibri" w:hAnsi="Arial" w:cs="Arial"/>
          <w:sz w:val="24"/>
          <w:szCs w:val="24"/>
        </w:rPr>
        <w:t xml:space="preserve"> and </w:t>
      </w:r>
      <w:r w:rsidR="0094296A" w:rsidRPr="00FB6FCC">
        <w:rPr>
          <w:rFonts w:ascii="Arial" w:eastAsia="Calibri" w:hAnsi="Arial" w:cs="Arial"/>
          <w:sz w:val="24"/>
          <w:szCs w:val="24"/>
        </w:rPr>
        <w:t>is</w:t>
      </w:r>
      <w:r w:rsidR="00770C17" w:rsidRPr="00FB6FCC">
        <w:rPr>
          <w:rFonts w:ascii="Arial" w:eastAsia="Calibri" w:hAnsi="Arial" w:cs="Arial"/>
          <w:sz w:val="24"/>
          <w:szCs w:val="24"/>
        </w:rPr>
        <w:t xml:space="preserve"> declared enforceable, in the following terms:</w:t>
      </w:r>
    </w:p>
    <w:p w14:paraId="03B64DC3" w14:textId="7FA8CE3A" w:rsidR="00770C17" w:rsidRPr="004113D3" w:rsidRDefault="00FB6FCC" w:rsidP="00FB6FCC">
      <w:pPr>
        <w:pStyle w:val="BodyTextIndent2"/>
        <w:ind w:left="1140" w:hanging="420"/>
      </w:pPr>
      <w:r w:rsidRPr="004113D3">
        <w:t>1.1</w:t>
      </w:r>
      <w:r w:rsidRPr="004113D3">
        <w:tab/>
      </w:r>
      <w:r w:rsidR="00770C17" w:rsidRPr="004113D3">
        <w:t xml:space="preserve">The first and second defendants </w:t>
      </w:r>
      <w:r w:rsidR="00307E4C" w:rsidRPr="004113D3">
        <w:t>are</w:t>
      </w:r>
      <w:r w:rsidR="00770C17" w:rsidRPr="004113D3">
        <w:t xml:space="preserve"> directed, within 14 days to sign all documents necessary to permit the registration of the </w:t>
      </w:r>
      <w:r w:rsidR="007D49A6" w:rsidRPr="004113D3">
        <w:t>p</w:t>
      </w:r>
      <w:r w:rsidR="00770C17" w:rsidRPr="004113D3">
        <w:t xml:space="preserve">laintiff’s rights over </w:t>
      </w:r>
      <w:r w:rsidR="00A34F46" w:rsidRPr="004113D3">
        <w:t xml:space="preserve">the </w:t>
      </w:r>
      <w:r w:rsidR="00770C17" w:rsidRPr="004113D3">
        <w:t xml:space="preserve">subdivided portion of Erf 2247, Registration Division “A”, Khorixas, Kunene Region, Republic of Namibia, failing which the court </w:t>
      </w:r>
      <w:proofErr w:type="spellStart"/>
      <w:r w:rsidR="00770C17" w:rsidRPr="004113D3">
        <w:t>authorises</w:t>
      </w:r>
      <w:proofErr w:type="spellEnd"/>
      <w:r w:rsidR="00770C17" w:rsidRPr="004113D3">
        <w:t xml:space="preserve"> and directs the Deputy Sherriff to sign all necessary documents on behalf of the first and second defendants to effect registration of the </w:t>
      </w:r>
      <w:r w:rsidR="007D49A6" w:rsidRPr="004113D3">
        <w:t>p</w:t>
      </w:r>
      <w:r w:rsidR="00770C17" w:rsidRPr="004113D3">
        <w:t xml:space="preserve">laintiffs right over </w:t>
      </w:r>
      <w:r w:rsidR="00A34F46" w:rsidRPr="004113D3">
        <w:t xml:space="preserve">the </w:t>
      </w:r>
      <w:r w:rsidR="00770C17" w:rsidRPr="004113D3">
        <w:t>sub-divided portion of Erf 2247, Registration Division “A”, Khorixas, Kunene Region, Republic of Namibia.</w:t>
      </w:r>
    </w:p>
    <w:p w14:paraId="03D1D8A8" w14:textId="6F252928" w:rsidR="00770C17" w:rsidRPr="00FB6FCC" w:rsidRDefault="00FB6FCC" w:rsidP="00FB6FCC">
      <w:pPr>
        <w:ind w:left="1140" w:hanging="420"/>
        <w:rPr>
          <w:rFonts w:ascii="Arial" w:eastAsia="Calibri" w:hAnsi="Arial" w:cs="Arial"/>
          <w:sz w:val="24"/>
          <w:szCs w:val="24"/>
        </w:rPr>
      </w:pPr>
      <w:r w:rsidRPr="004113D3">
        <w:rPr>
          <w:rFonts w:ascii="Arial" w:eastAsia="Calibri" w:hAnsi="Arial" w:cs="Arial"/>
          <w:sz w:val="24"/>
          <w:szCs w:val="24"/>
        </w:rPr>
        <w:lastRenderedPageBreak/>
        <w:t>1.2</w:t>
      </w:r>
      <w:r w:rsidRPr="004113D3">
        <w:rPr>
          <w:rFonts w:ascii="Arial" w:eastAsia="Calibri" w:hAnsi="Arial" w:cs="Arial"/>
          <w:sz w:val="24"/>
          <w:szCs w:val="24"/>
        </w:rPr>
        <w:tab/>
      </w:r>
      <w:r w:rsidR="00770C17" w:rsidRPr="00FB6FCC">
        <w:rPr>
          <w:rFonts w:ascii="Arial" w:eastAsia="Calibri" w:hAnsi="Arial" w:cs="Arial"/>
          <w:sz w:val="24"/>
          <w:szCs w:val="24"/>
        </w:rPr>
        <w:t xml:space="preserve">The plaintiffs shall bear the transfer costs in respect of the aforesaid transfer of property rights by the Defendants. </w:t>
      </w:r>
    </w:p>
    <w:p w14:paraId="24715BF5" w14:textId="01EE2D8F" w:rsidR="00770C17" w:rsidRPr="00FB6FCC" w:rsidRDefault="00FB6FCC" w:rsidP="00FB6FCC">
      <w:pPr>
        <w:ind w:left="1140" w:hanging="420"/>
        <w:rPr>
          <w:rFonts w:ascii="Arial" w:eastAsia="Calibri" w:hAnsi="Arial" w:cs="Arial"/>
          <w:sz w:val="24"/>
          <w:szCs w:val="24"/>
        </w:rPr>
      </w:pPr>
      <w:r w:rsidRPr="004113D3">
        <w:rPr>
          <w:rFonts w:ascii="Arial" w:eastAsia="Calibri" w:hAnsi="Arial" w:cs="Arial"/>
          <w:sz w:val="24"/>
          <w:szCs w:val="24"/>
        </w:rPr>
        <w:t>1.3</w:t>
      </w:r>
      <w:r w:rsidRPr="004113D3">
        <w:rPr>
          <w:rFonts w:ascii="Arial" w:eastAsia="Calibri" w:hAnsi="Arial" w:cs="Arial"/>
          <w:sz w:val="24"/>
          <w:szCs w:val="24"/>
        </w:rPr>
        <w:tab/>
      </w:r>
      <w:r w:rsidR="00770C17" w:rsidRPr="00FB6FCC">
        <w:rPr>
          <w:rFonts w:ascii="Arial" w:eastAsia="Calibri" w:hAnsi="Arial" w:cs="Arial"/>
          <w:sz w:val="24"/>
          <w:szCs w:val="24"/>
        </w:rPr>
        <w:t xml:space="preserve">The first and second defendants </w:t>
      </w:r>
      <w:r w:rsidR="00A34F46" w:rsidRPr="00FB6FCC">
        <w:rPr>
          <w:rFonts w:ascii="Arial" w:eastAsia="Calibri" w:hAnsi="Arial" w:cs="Arial"/>
          <w:sz w:val="24"/>
          <w:szCs w:val="24"/>
        </w:rPr>
        <w:t xml:space="preserve">are </w:t>
      </w:r>
      <w:r w:rsidR="00770C17" w:rsidRPr="00FB6FCC">
        <w:rPr>
          <w:rFonts w:ascii="Arial" w:eastAsia="Calibri" w:hAnsi="Arial" w:cs="Arial"/>
          <w:sz w:val="24"/>
          <w:szCs w:val="24"/>
        </w:rPr>
        <w:t>directed, within 14 days, to transfer all amounts in the total of N$72 000 (</w:t>
      </w:r>
      <w:proofErr w:type="gramStart"/>
      <w:r w:rsidR="00770C17" w:rsidRPr="00FB6FCC">
        <w:rPr>
          <w:rFonts w:ascii="Arial" w:eastAsia="Calibri" w:hAnsi="Arial" w:cs="Arial"/>
          <w:sz w:val="24"/>
          <w:szCs w:val="24"/>
        </w:rPr>
        <w:t>Seventy Two</w:t>
      </w:r>
      <w:proofErr w:type="gramEnd"/>
      <w:r w:rsidR="00770C17" w:rsidRPr="00FB6FCC">
        <w:rPr>
          <w:rFonts w:ascii="Arial" w:eastAsia="Calibri" w:hAnsi="Arial" w:cs="Arial"/>
          <w:sz w:val="24"/>
          <w:szCs w:val="24"/>
        </w:rPr>
        <w:t xml:space="preserve"> Thousand Namibia Dollars) held in the family banking account to the plaintiffs. </w:t>
      </w:r>
    </w:p>
    <w:p w14:paraId="2BE17EF3" w14:textId="57B1B3C9" w:rsidR="00770C17" w:rsidRPr="00FB6FCC" w:rsidRDefault="00FB6FCC" w:rsidP="00FB6FCC">
      <w:pPr>
        <w:shd w:val="clear" w:color="auto" w:fill="FFFFFF"/>
        <w:spacing w:after="171"/>
        <w:ind w:left="720" w:hanging="360"/>
        <w:rPr>
          <w:rFonts w:ascii="Arial" w:eastAsia="Times New Roman" w:hAnsi="Arial" w:cs="Arial"/>
          <w:sz w:val="24"/>
          <w:szCs w:val="24"/>
        </w:rPr>
      </w:pPr>
      <w:r w:rsidRPr="004113D3">
        <w:rPr>
          <w:rFonts w:ascii="Arial" w:eastAsia="Times New Roman" w:hAnsi="Arial" w:cs="Arial"/>
          <w:sz w:val="24"/>
          <w:szCs w:val="24"/>
        </w:rPr>
        <w:t>2.</w:t>
      </w:r>
      <w:r w:rsidRPr="004113D3">
        <w:rPr>
          <w:rFonts w:ascii="Arial" w:eastAsia="Times New Roman" w:hAnsi="Arial" w:cs="Arial"/>
          <w:sz w:val="24"/>
          <w:szCs w:val="24"/>
        </w:rPr>
        <w:tab/>
      </w:r>
      <w:r w:rsidR="00770C17" w:rsidRPr="00FB6FCC">
        <w:rPr>
          <w:rFonts w:ascii="Arial" w:eastAsia="Calibri" w:hAnsi="Arial" w:cs="Arial"/>
          <w:sz w:val="24"/>
          <w:szCs w:val="24"/>
        </w:rPr>
        <w:t xml:space="preserve"> The cost of this application is payable by the first and second defendants. Such cost includes the cost of one instructing and one instructed counsel. Cost shall not be limited to rule 32(11).</w:t>
      </w:r>
    </w:p>
    <w:p w14:paraId="04D00BEB" w14:textId="68A8BE7D" w:rsidR="00770C17" w:rsidRPr="00FB6FCC" w:rsidRDefault="00FB6FCC" w:rsidP="00FB6FCC">
      <w:pPr>
        <w:shd w:val="clear" w:color="auto" w:fill="FFFFFF"/>
        <w:spacing w:after="171"/>
        <w:ind w:left="720" w:hanging="360"/>
        <w:rPr>
          <w:rFonts w:ascii="Arial" w:eastAsia="Times New Roman" w:hAnsi="Arial" w:cs="Arial"/>
          <w:sz w:val="24"/>
          <w:szCs w:val="24"/>
        </w:rPr>
      </w:pPr>
      <w:r w:rsidRPr="004113D3">
        <w:rPr>
          <w:rFonts w:ascii="Arial" w:eastAsia="Times New Roman" w:hAnsi="Arial" w:cs="Arial"/>
          <w:sz w:val="24"/>
          <w:szCs w:val="24"/>
        </w:rPr>
        <w:t>3.</w:t>
      </w:r>
      <w:r w:rsidRPr="004113D3">
        <w:rPr>
          <w:rFonts w:ascii="Arial" w:eastAsia="Times New Roman" w:hAnsi="Arial" w:cs="Arial"/>
          <w:sz w:val="24"/>
          <w:szCs w:val="24"/>
        </w:rPr>
        <w:tab/>
      </w:r>
      <w:r w:rsidR="00770C17" w:rsidRPr="00FB6FCC">
        <w:rPr>
          <w:rFonts w:ascii="Arial" w:eastAsia="Calibri" w:hAnsi="Arial" w:cs="Arial"/>
          <w:sz w:val="24"/>
          <w:szCs w:val="24"/>
        </w:rPr>
        <w:t>T</w:t>
      </w:r>
      <w:r w:rsidR="00A34F46" w:rsidRPr="00FB6FCC">
        <w:rPr>
          <w:rFonts w:ascii="Arial" w:eastAsia="Calibri" w:hAnsi="Arial" w:cs="Arial"/>
          <w:sz w:val="24"/>
          <w:szCs w:val="24"/>
        </w:rPr>
        <w:t xml:space="preserve">he matter is regarded as </w:t>
      </w:r>
      <w:proofErr w:type="spellStart"/>
      <w:r w:rsidR="00A34F46" w:rsidRPr="00FB6FCC">
        <w:rPr>
          <w:rFonts w:ascii="Arial" w:eastAsia="Calibri" w:hAnsi="Arial" w:cs="Arial"/>
          <w:sz w:val="24"/>
          <w:szCs w:val="24"/>
        </w:rPr>
        <w:t>finalis</w:t>
      </w:r>
      <w:r w:rsidR="00770C17" w:rsidRPr="00FB6FCC">
        <w:rPr>
          <w:rFonts w:ascii="Arial" w:eastAsia="Calibri" w:hAnsi="Arial" w:cs="Arial"/>
          <w:sz w:val="24"/>
          <w:szCs w:val="24"/>
        </w:rPr>
        <w:t>ed</w:t>
      </w:r>
      <w:proofErr w:type="spellEnd"/>
      <w:r w:rsidR="00770C17" w:rsidRPr="00FB6FCC">
        <w:rPr>
          <w:rFonts w:ascii="Arial" w:eastAsia="Calibri" w:hAnsi="Arial" w:cs="Arial"/>
          <w:sz w:val="24"/>
          <w:szCs w:val="24"/>
        </w:rPr>
        <w:t xml:space="preserve"> and removed from the roll. </w:t>
      </w:r>
    </w:p>
    <w:p w14:paraId="3C65EF78" w14:textId="77777777" w:rsidR="008B1AC6" w:rsidRPr="004113D3" w:rsidRDefault="008B1AC6" w:rsidP="008B1AC6">
      <w:pPr>
        <w:rPr>
          <w:rFonts w:ascii="Arial" w:eastAsia="Calibri" w:hAnsi="Arial" w:cs="Arial"/>
          <w:sz w:val="24"/>
          <w:szCs w:val="24"/>
        </w:rPr>
      </w:pPr>
      <w:r w:rsidRPr="004113D3">
        <w:rPr>
          <w:rFonts w:ascii="Arial" w:eastAsia="Calibri" w:hAnsi="Arial" w:cs="Arial"/>
          <w:sz w:val="24"/>
          <w:szCs w:val="24"/>
        </w:rPr>
        <w:t>______________________________________________________________________</w:t>
      </w:r>
    </w:p>
    <w:p w14:paraId="2DA091CE" w14:textId="77777777" w:rsidR="008B1AC6" w:rsidRPr="004113D3" w:rsidRDefault="008B1AC6" w:rsidP="008B1AC6">
      <w:pPr>
        <w:spacing w:line="276" w:lineRule="auto"/>
        <w:rPr>
          <w:rFonts w:ascii="Arial" w:eastAsia="Calibri" w:hAnsi="Arial" w:cs="Arial"/>
          <w:b/>
          <w:sz w:val="24"/>
          <w:szCs w:val="24"/>
        </w:rPr>
      </w:pPr>
    </w:p>
    <w:p w14:paraId="0406630E" w14:textId="77777777" w:rsidR="008B1AC6" w:rsidRPr="004113D3" w:rsidRDefault="008B1AC6" w:rsidP="008B1AC6">
      <w:pPr>
        <w:spacing w:line="276" w:lineRule="auto"/>
        <w:jc w:val="center"/>
        <w:rPr>
          <w:rFonts w:ascii="Arial" w:eastAsia="Calibri" w:hAnsi="Arial" w:cs="Arial"/>
          <w:b/>
          <w:sz w:val="24"/>
          <w:szCs w:val="24"/>
        </w:rPr>
      </w:pPr>
      <w:r w:rsidRPr="004113D3">
        <w:rPr>
          <w:rFonts w:ascii="Arial" w:eastAsia="Calibri" w:hAnsi="Arial" w:cs="Arial"/>
          <w:b/>
          <w:sz w:val="24"/>
          <w:szCs w:val="24"/>
        </w:rPr>
        <w:t>JUDGMENT</w:t>
      </w:r>
    </w:p>
    <w:p w14:paraId="0412D40D" w14:textId="77777777" w:rsidR="008B1AC6" w:rsidRPr="004113D3" w:rsidRDefault="008B1AC6" w:rsidP="008B1AC6">
      <w:pPr>
        <w:spacing w:line="276" w:lineRule="auto"/>
        <w:jc w:val="left"/>
        <w:rPr>
          <w:rFonts w:ascii="Arial" w:eastAsia="Calibri" w:hAnsi="Arial" w:cs="Arial"/>
          <w:sz w:val="24"/>
          <w:szCs w:val="24"/>
        </w:rPr>
      </w:pPr>
      <w:r w:rsidRPr="004113D3">
        <w:rPr>
          <w:rFonts w:ascii="Arial" w:eastAsia="Calibri" w:hAnsi="Arial" w:cs="Arial"/>
          <w:sz w:val="24"/>
          <w:szCs w:val="24"/>
        </w:rPr>
        <w:t>______________________________________________________________________</w:t>
      </w:r>
    </w:p>
    <w:p w14:paraId="615DA088" w14:textId="77777777" w:rsidR="008B1AC6" w:rsidRPr="004113D3" w:rsidRDefault="008B1AC6" w:rsidP="008B1AC6">
      <w:pPr>
        <w:jc w:val="left"/>
        <w:rPr>
          <w:rFonts w:ascii="Arial" w:eastAsia="Calibri" w:hAnsi="Arial" w:cs="Arial"/>
          <w:sz w:val="24"/>
          <w:szCs w:val="24"/>
        </w:rPr>
      </w:pPr>
    </w:p>
    <w:p w14:paraId="5FE468E1" w14:textId="77777777" w:rsidR="008B1AC6" w:rsidRPr="004113D3" w:rsidRDefault="008B1AC6" w:rsidP="008B1AC6">
      <w:pPr>
        <w:suppressAutoHyphens/>
        <w:jc w:val="left"/>
        <w:rPr>
          <w:rFonts w:ascii="Arial" w:eastAsia="Calibri" w:hAnsi="Arial" w:cs="Arial"/>
          <w:sz w:val="24"/>
          <w:szCs w:val="24"/>
        </w:rPr>
      </w:pPr>
      <w:r w:rsidRPr="004113D3">
        <w:rPr>
          <w:rFonts w:ascii="Arial" w:eastAsia="Calibri" w:hAnsi="Arial" w:cs="Arial"/>
          <w:sz w:val="24"/>
          <w:szCs w:val="24"/>
        </w:rPr>
        <w:t>PRINSLOO J:</w:t>
      </w:r>
    </w:p>
    <w:p w14:paraId="58987A05" w14:textId="77777777" w:rsidR="00A34F46" w:rsidRPr="004113D3" w:rsidRDefault="00A34F46" w:rsidP="008B1AC6">
      <w:pPr>
        <w:suppressAutoHyphens/>
        <w:jc w:val="left"/>
        <w:rPr>
          <w:rFonts w:ascii="Arial" w:eastAsia="Calibri" w:hAnsi="Arial" w:cs="Arial"/>
          <w:sz w:val="24"/>
          <w:szCs w:val="24"/>
        </w:rPr>
      </w:pPr>
    </w:p>
    <w:p w14:paraId="6C8DFC70" w14:textId="77777777" w:rsidR="000B3B37" w:rsidRPr="004113D3" w:rsidRDefault="000B3B37" w:rsidP="008B1AC6">
      <w:pPr>
        <w:pStyle w:val="rteindent1"/>
        <w:shd w:val="clear" w:color="auto" w:fill="FFFFFF"/>
        <w:spacing w:before="0" w:beforeAutospacing="0" w:line="360" w:lineRule="auto"/>
        <w:jc w:val="both"/>
        <w:rPr>
          <w:rFonts w:ascii="Arial" w:hAnsi="Arial" w:cs="Arial"/>
          <w:u w:val="single"/>
          <w:lang w:val="en-ZA"/>
        </w:rPr>
      </w:pPr>
      <w:r w:rsidRPr="004113D3">
        <w:rPr>
          <w:rFonts w:ascii="Arial" w:hAnsi="Arial" w:cs="Arial"/>
          <w:u w:val="single"/>
          <w:lang w:val="en-ZA"/>
        </w:rPr>
        <w:t>Introduction</w:t>
      </w:r>
    </w:p>
    <w:p w14:paraId="1E1A40BD" w14:textId="56A2FA68" w:rsidR="000B3B37" w:rsidRPr="004113D3" w:rsidRDefault="00FB6FCC" w:rsidP="00FB6FCC">
      <w:pPr>
        <w:pStyle w:val="rteindent1"/>
        <w:shd w:val="clear" w:color="auto" w:fill="FFFFFF"/>
        <w:spacing w:before="0" w:beforeAutospacing="0" w:after="0" w:afterAutospacing="0" w:line="360" w:lineRule="auto"/>
        <w:jc w:val="both"/>
        <w:rPr>
          <w:rFonts w:ascii="Arial" w:hAnsi="Arial" w:cs="Arial"/>
        </w:rPr>
      </w:pPr>
      <w:r w:rsidRPr="004113D3">
        <w:rPr>
          <w:rFonts w:ascii="Arial" w:hAnsi="Arial" w:cs="Arial"/>
        </w:rPr>
        <w:t>[1]</w:t>
      </w:r>
      <w:r w:rsidRPr="004113D3">
        <w:rPr>
          <w:rFonts w:ascii="Arial" w:hAnsi="Arial" w:cs="Arial"/>
        </w:rPr>
        <w:tab/>
      </w:r>
      <w:r w:rsidR="000B3B37" w:rsidRPr="004113D3">
        <w:rPr>
          <w:rFonts w:ascii="Arial" w:hAnsi="Arial" w:cs="Arial"/>
          <w:lang w:val="en-ZA"/>
        </w:rPr>
        <w:t xml:space="preserve">The application before me follows </w:t>
      </w:r>
      <w:r w:rsidR="00A34F46" w:rsidRPr="004113D3">
        <w:rPr>
          <w:rFonts w:ascii="Arial" w:hAnsi="Arial" w:cs="Arial"/>
          <w:lang w:val="en-ZA"/>
        </w:rPr>
        <w:t>from</w:t>
      </w:r>
      <w:r w:rsidR="000B3B37" w:rsidRPr="004113D3">
        <w:rPr>
          <w:rFonts w:ascii="Arial" w:hAnsi="Arial" w:cs="Arial"/>
          <w:lang w:val="en-ZA"/>
        </w:rPr>
        <w:t xml:space="preserve"> a ruling by this court in </w:t>
      </w:r>
      <w:proofErr w:type="spellStart"/>
      <w:r w:rsidR="000B3B37" w:rsidRPr="004113D3">
        <w:rPr>
          <w:rFonts w:ascii="Arial" w:eastAsia="Calibri" w:hAnsi="Arial" w:cs="Arial"/>
          <w:i/>
        </w:rPr>
        <w:t>Nirwana</w:t>
      </w:r>
      <w:proofErr w:type="spellEnd"/>
      <w:r w:rsidR="000B3B37" w:rsidRPr="004113D3">
        <w:rPr>
          <w:rFonts w:ascii="Arial" w:eastAsia="Calibri" w:hAnsi="Arial" w:cs="Arial"/>
          <w:i/>
        </w:rPr>
        <w:t xml:space="preserve"> Trading Enterprises CC v </w:t>
      </w:r>
      <w:proofErr w:type="spellStart"/>
      <w:r w:rsidR="000B3B37" w:rsidRPr="004113D3">
        <w:rPr>
          <w:rFonts w:ascii="Arial" w:eastAsia="Calibri" w:hAnsi="Arial" w:cs="Arial"/>
          <w:i/>
        </w:rPr>
        <w:t>Murorua</w:t>
      </w:r>
      <w:proofErr w:type="spellEnd"/>
      <w:r w:rsidR="000B3B37" w:rsidRPr="004113D3">
        <w:rPr>
          <w:rStyle w:val="FootnoteReference"/>
          <w:rFonts w:ascii="Arial" w:eastAsia="Calibri" w:hAnsi="Arial" w:cs="Arial"/>
          <w:i/>
        </w:rPr>
        <w:footnoteReference w:id="1"/>
      </w:r>
      <w:r w:rsidR="000B3B37" w:rsidRPr="004113D3">
        <w:rPr>
          <w:rFonts w:ascii="Arial" w:eastAsia="Calibri" w:hAnsi="Arial" w:cs="Arial"/>
          <w:i/>
        </w:rPr>
        <w:t xml:space="preserve"> </w:t>
      </w:r>
      <w:r w:rsidR="000B3B37" w:rsidRPr="004113D3">
        <w:rPr>
          <w:rFonts w:ascii="Arial" w:eastAsia="Calibri" w:hAnsi="Arial" w:cs="Arial"/>
        </w:rPr>
        <w:t>delivered on 24 October 2022</w:t>
      </w:r>
      <w:r w:rsidR="00FD7020" w:rsidRPr="004113D3">
        <w:rPr>
          <w:rFonts w:ascii="Arial" w:eastAsia="Calibri" w:hAnsi="Arial" w:cs="Arial"/>
        </w:rPr>
        <w:t xml:space="preserve"> (referred to as the October 2022 judgment)</w:t>
      </w:r>
      <w:r w:rsidR="0045296C" w:rsidRPr="004113D3">
        <w:rPr>
          <w:rFonts w:ascii="Arial" w:eastAsia="Calibri" w:hAnsi="Arial" w:cs="Arial"/>
        </w:rPr>
        <w:t>,</w:t>
      </w:r>
      <w:r w:rsidR="000B3B37" w:rsidRPr="004113D3">
        <w:rPr>
          <w:rFonts w:ascii="Arial" w:eastAsia="Calibri" w:hAnsi="Arial" w:cs="Arial"/>
        </w:rPr>
        <w:t xml:space="preserve"> wherein it was held that the </w:t>
      </w:r>
      <w:r w:rsidR="000B3B37" w:rsidRPr="004113D3">
        <w:rPr>
          <w:rFonts w:ascii="Arial" w:hAnsi="Arial" w:cs="Arial"/>
        </w:rPr>
        <w:t xml:space="preserve">verbal settlement agreement </w:t>
      </w:r>
      <w:r w:rsidR="00FD7020" w:rsidRPr="004113D3">
        <w:rPr>
          <w:rFonts w:ascii="Arial" w:hAnsi="Arial" w:cs="Arial"/>
        </w:rPr>
        <w:t>reached</w:t>
      </w:r>
      <w:r w:rsidR="000B3B37" w:rsidRPr="004113D3">
        <w:rPr>
          <w:rFonts w:ascii="Arial" w:hAnsi="Arial" w:cs="Arial"/>
        </w:rPr>
        <w:t xml:space="preserve"> at mediation on 2 June 2022 between the plaintiffs and the first and second defendants was binding on the parties.</w:t>
      </w:r>
    </w:p>
    <w:p w14:paraId="70324370" w14:textId="77777777" w:rsidR="00256B1E" w:rsidRPr="004113D3" w:rsidRDefault="00256B1E" w:rsidP="00256B1E">
      <w:pPr>
        <w:pStyle w:val="rteindent1"/>
        <w:shd w:val="clear" w:color="auto" w:fill="FFFFFF"/>
        <w:spacing w:before="0" w:beforeAutospacing="0" w:after="0" w:afterAutospacing="0" w:line="360" w:lineRule="auto"/>
        <w:jc w:val="both"/>
        <w:rPr>
          <w:rFonts w:ascii="Arial" w:hAnsi="Arial" w:cs="Arial"/>
        </w:rPr>
      </w:pPr>
    </w:p>
    <w:p w14:paraId="5352030B" w14:textId="34DB283A" w:rsidR="00256B1E" w:rsidRPr="004113D3" w:rsidRDefault="00FB6FCC" w:rsidP="00FB6FCC">
      <w:pPr>
        <w:pStyle w:val="rteindent1"/>
        <w:shd w:val="clear" w:color="auto" w:fill="FFFFFF"/>
        <w:spacing w:before="0" w:beforeAutospacing="0" w:after="0" w:afterAutospacing="0" w:line="360" w:lineRule="auto"/>
        <w:jc w:val="both"/>
        <w:rPr>
          <w:rFonts w:ascii="Arial" w:hAnsi="Arial" w:cs="Arial"/>
        </w:rPr>
      </w:pPr>
      <w:r w:rsidRPr="004113D3">
        <w:rPr>
          <w:rFonts w:ascii="Arial" w:hAnsi="Arial" w:cs="Arial"/>
        </w:rPr>
        <w:t>[2]</w:t>
      </w:r>
      <w:r w:rsidRPr="004113D3">
        <w:rPr>
          <w:rFonts w:ascii="Arial" w:hAnsi="Arial" w:cs="Arial"/>
        </w:rPr>
        <w:tab/>
      </w:r>
      <w:r w:rsidR="00256B1E" w:rsidRPr="004113D3">
        <w:rPr>
          <w:rFonts w:ascii="Arial" w:hAnsi="Arial" w:cs="Arial"/>
        </w:rPr>
        <w:t xml:space="preserve">The plaintiffs are </w:t>
      </w:r>
      <w:proofErr w:type="spellStart"/>
      <w:r w:rsidR="00256B1E" w:rsidRPr="004113D3">
        <w:rPr>
          <w:rFonts w:ascii="Arial" w:hAnsi="Arial" w:cs="Arial"/>
        </w:rPr>
        <w:t>Nirwana</w:t>
      </w:r>
      <w:proofErr w:type="spellEnd"/>
      <w:r w:rsidR="00256B1E" w:rsidRPr="004113D3">
        <w:rPr>
          <w:rFonts w:ascii="Arial" w:hAnsi="Arial" w:cs="Arial"/>
        </w:rPr>
        <w:t xml:space="preserve"> </w:t>
      </w:r>
      <w:r w:rsidR="00A34F46" w:rsidRPr="004113D3">
        <w:rPr>
          <w:rFonts w:ascii="Arial" w:hAnsi="Arial" w:cs="Arial"/>
        </w:rPr>
        <w:t xml:space="preserve">Enterprises CC and </w:t>
      </w:r>
      <w:proofErr w:type="spellStart"/>
      <w:r w:rsidR="00A34F46" w:rsidRPr="004113D3">
        <w:rPr>
          <w:rFonts w:ascii="Arial" w:hAnsi="Arial" w:cs="Arial"/>
        </w:rPr>
        <w:t>Mr</w:t>
      </w:r>
      <w:proofErr w:type="spellEnd"/>
      <w:r w:rsidR="00A34F46" w:rsidRPr="004113D3">
        <w:rPr>
          <w:rFonts w:ascii="Arial" w:hAnsi="Arial" w:cs="Arial"/>
        </w:rPr>
        <w:t xml:space="preserve"> and </w:t>
      </w:r>
      <w:proofErr w:type="spellStart"/>
      <w:r w:rsidR="00A34F46" w:rsidRPr="004113D3">
        <w:rPr>
          <w:rFonts w:ascii="Arial" w:hAnsi="Arial" w:cs="Arial"/>
        </w:rPr>
        <w:t>Mrs</w:t>
      </w:r>
      <w:proofErr w:type="spellEnd"/>
      <w:r w:rsidR="00A34F46" w:rsidRPr="004113D3">
        <w:rPr>
          <w:rFonts w:ascii="Arial" w:hAnsi="Arial" w:cs="Arial"/>
        </w:rPr>
        <w:t xml:space="preserve"> </w:t>
      </w:r>
      <w:proofErr w:type="spellStart"/>
      <w:r w:rsidR="00A34F46" w:rsidRPr="004113D3">
        <w:rPr>
          <w:rFonts w:ascii="Arial" w:hAnsi="Arial" w:cs="Arial"/>
        </w:rPr>
        <w:t>Gao</w:t>
      </w:r>
      <w:r w:rsidR="00256B1E" w:rsidRPr="004113D3">
        <w:rPr>
          <w:rFonts w:ascii="Arial" w:hAnsi="Arial" w:cs="Arial"/>
        </w:rPr>
        <w:t>seb</w:t>
      </w:r>
      <w:proofErr w:type="spellEnd"/>
      <w:r w:rsidR="00A34F46" w:rsidRPr="004113D3">
        <w:rPr>
          <w:rFonts w:ascii="Arial" w:hAnsi="Arial" w:cs="Arial"/>
        </w:rPr>
        <w:t xml:space="preserve"> (the </w:t>
      </w:r>
      <w:proofErr w:type="spellStart"/>
      <w:r w:rsidR="00A34F46" w:rsidRPr="004113D3">
        <w:rPr>
          <w:rFonts w:ascii="Arial" w:hAnsi="Arial" w:cs="Arial"/>
        </w:rPr>
        <w:t>Gao</w:t>
      </w:r>
      <w:r w:rsidR="000E05F5" w:rsidRPr="004113D3">
        <w:rPr>
          <w:rFonts w:ascii="Arial" w:hAnsi="Arial" w:cs="Arial"/>
        </w:rPr>
        <w:t>sebs</w:t>
      </w:r>
      <w:proofErr w:type="spellEnd"/>
      <w:r w:rsidR="00256B1E" w:rsidRPr="004113D3">
        <w:rPr>
          <w:rFonts w:ascii="Arial" w:hAnsi="Arial" w:cs="Arial"/>
        </w:rPr>
        <w:t xml:space="preserve">. The defendants, a married couple, are </w:t>
      </w:r>
      <w:proofErr w:type="spellStart"/>
      <w:r w:rsidR="00256B1E" w:rsidRPr="004113D3">
        <w:rPr>
          <w:rFonts w:ascii="Arial" w:hAnsi="Arial" w:cs="Arial"/>
        </w:rPr>
        <w:t>Mr</w:t>
      </w:r>
      <w:proofErr w:type="spellEnd"/>
      <w:r w:rsidR="00256B1E" w:rsidRPr="004113D3">
        <w:rPr>
          <w:rFonts w:ascii="Arial" w:hAnsi="Arial" w:cs="Arial"/>
        </w:rPr>
        <w:t xml:space="preserve"> and </w:t>
      </w:r>
      <w:proofErr w:type="spellStart"/>
      <w:r w:rsidR="00256B1E" w:rsidRPr="004113D3">
        <w:rPr>
          <w:rFonts w:ascii="Arial" w:hAnsi="Arial" w:cs="Arial"/>
        </w:rPr>
        <w:t>Mrs</w:t>
      </w:r>
      <w:proofErr w:type="spellEnd"/>
      <w:r w:rsidR="00256B1E" w:rsidRPr="004113D3">
        <w:rPr>
          <w:rFonts w:ascii="Arial" w:hAnsi="Arial" w:cs="Arial"/>
        </w:rPr>
        <w:t xml:space="preserve"> </w:t>
      </w:r>
      <w:proofErr w:type="spellStart"/>
      <w:r w:rsidR="00256B1E" w:rsidRPr="004113D3">
        <w:rPr>
          <w:rFonts w:ascii="Arial" w:hAnsi="Arial" w:cs="Arial"/>
        </w:rPr>
        <w:t>Murorua</w:t>
      </w:r>
      <w:proofErr w:type="spellEnd"/>
      <w:r w:rsidR="000E05F5" w:rsidRPr="004113D3">
        <w:rPr>
          <w:rFonts w:ascii="Arial" w:hAnsi="Arial" w:cs="Arial"/>
        </w:rPr>
        <w:t xml:space="preserve"> (the </w:t>
      </w:r>
      <w:proofErr w:type="spellStart"/>
      <w:r w:rsidR="000E05F5" w:rsidRPr="004113D3">
        <w:rPr>
          <w:rFonts w:ascii="Arial" w:hAnsi="Arial" w:cs="Arial"/>
        </w:rPr>
        <w:t>Muroruas</w:t>
      </w:r>
      <w:proofErr w:type="spellEnd"/>
      <w:r w:rsidR="000E05F5" w:rsidRPr="004113D3">
        <w:rPr>
          <w:rFonts w:ascii="Arial" w:hAnsi="Arial" w:cs="Arial"/>
        </w:rPr>
        <w:t>)</w:t>
      </w:r>
      <w:r w:rsidR="0086541C" w:rsidRPr="004113D3">
        <w:rPr>
          <w:rFonts w:ascii="Arial" w:hAnsi="Arial" w:cs="Arial"/>
        </w:rPr>
        <w:t>, the Khorixas Town Council and lastly, the Registrar of Deeds.</w:t>
      </w:r>
      <w:r w:rsidR="00256B1E" w:rsidRPr="004113D3">
        <w:rPr>
          <w:rFonts w:ascii="Arial" w:hAnsi="Arial" w:cs="Arial"/>
        </w:rPr>
        <w:t xml:space="preserve"> </w:t>
      </w:r>
    </w:p>
    <w:p w14:paraId="0C4B9172" w14:textId="77777777" w:rsidR="0045296C" w:rsidRPr="004113D3" w:rsidRDefault="0045296C" w:rsidP="0045296C">
      <w:pPr>
        <w:pStyle w:val="rteindent1"/>
        <w:shd w:val="clear" w:color="auto" w:fill="FFFFFF"/>
        <w:spacing w:before="0" w:beforeAutospacing="0" w:after="0" w:afterAutospacing="0" w:line="360" w:lineRule="auto"/>
        <w:jc w:val="both"/>
        <w:rPr>
          <w:rFonts w:ascii="Arial" w:hAnsi="Arial" w:cs="Arial"/>
        </w:rPr>
      </w:pPr>
    </w:p>
    <w:p w14:paraId="4A176ABA" w14:textId="5868503D" w:rsidR="000B3B37" w:rsidRPr="00FB6FCC" w:rsidRDefault="00FB6FCC" w:rsidP="00FB6FCC">
      <w:pPr>
        <w:rPr>
          <w:rFonts w:ascii="Arial" w:eastAsia="Calibri" w:hAnsi="Arial" w:cs="Arial"/>
          <w:sz w:val="24"/>
          <w:szCs w:val="24"/>
        </w:rPr>
      </w:pPr>
      <w:r w:rsidRPr="004113D3">
        <w:rPr>
          <w:rFonts w:ascii="Arial" w:eastAsia="Calibri" w:hAnsi="Arial" w:cs="Arial"/>
          <w:sz w:val="24"/>
          <w:szCs w:val="24"/>
        </w:rPr>
        <w:lastRenderedPageBreak/>
        <w:t>[3]</w:t>
      </w:r>
      <w:r w:rsidRPr="004113D3">
        <w:rPr>
          <w:rFonts w:ascii="Arial" w:eastAsia="Calibri" w:hAnsi="Arial" w:cs="Arial"/>
          <w:sz w:val="24"/>
          <w:szCs w:val="24"/>
        </w:rPr>
        <w:tab/>
      </w:r>
      <w:r w:rsidR="000B3B37" w:rsidRPr="00FB6FCC">
        <w:rPr>
          <w:rFonts w:ascii="Arial" w:eastAsia="Calibri" w:hAnsi="Arial" w:cs="Arial"/>
          <w:sz w:val="24"/>
          <w:szCs w:val="24"/>
        </w:rPr>
        <w:t xml:space="preserve">The parties </w:t>
      </w:r>
      <w:r w:rsidR="0045296C" w:rsidRPr="00FB6FCC">
        <w:rPr>
          <w:rFonts w:ascii="Arial" w:eastAsia="Calibri" w:hAnsi="Arial" w:cs="Arial"/>
          <w:sz w:val="24"/>
          <w:szCs w:val="24"/>
        </w:rPr>
        <w:t>have</w:t>
      </w:r>
      <w:r w:rsidR="000B3B37" w:rsidRPr="00FB6FCC">
        <w:rPr>
          <w:rFonts w:ascii="Arial" w:eastAsia="Calibri" w:hAnsi="Arial" w:cs="Arial"/>
          <w:sz w:val="24"/>
          <w:szCs w:val="24"/>
        </w:rPr>
        <w:t xml:space="preserve"> now returned to court</w:t>
      </w:r>
      <w:r w:rsidR="0045296C" w:rsidRPr="00FB6FCC">
        <w:rPr>
          <w:rFonts w:ascii="Arial" w:eastAsia="Calibri" w:hAnsi="Arial" w:cs="Arial"/>
          <w:sz w:val="24"/>
          <w:szCs w:val="24"/>
        </w:rPr>
        <w:t>,</w:t>
      </w:r>
      <w:r w:rsidR="000B3B37" w:rsidRPr="00FB6FCC">
        <w:rPr>
          <w:rFonts w:ascii="Arial" w:eastAsia="Calibri" w:hAnsi="Arial" w:cs="Arial"/>
          <w:sz w:val="24"/>
          <w:szCs w:val="24"/>
        </w:rPr>
        <w:t xml:space="preserve"> and the plaintiff</w:t>
      </w:r>
      <w:r w:rsidR="00A34F46" w:rsidRPr="00FB6FCC">
        <w:rPr>
          <w:rFonts w:ascii="Arial" w:eastAsia="Calibri" w:hAnsi="Arial" w:cs="Arial"/>
          <w:sz w:val="24"/>
          <w:szCs w:val="24"/>
        </w:rPr>
        <w:t>s are</w:t>
      </w:r>
      <w:r w:rsidR="000B3B37" w:rsidRPr="00FB6FCC">
        <w:rPr>
          <w:rFonts w:ascii="Arial" w:eastAsia="Calibri" w:hAnsi="Arial" w:cs="Arial"/>
          <w:sz w:val="24"/>
          <w:szCs w:val="24"/>
        </w:rPr>
        <w:t xml:space="preserve"> seeking the following relief: </w:t>
      </w:r>
    </w:p>
    <w:p w14:paraId="7F6630C4" w14:textId="77777777" w:rsidR="00A34F46" w:rsidRPr="004113D3" w:rsidRDefault="00A34F46" w:rsidP="00A34F46">
      <w:pPr>
        <w:pStyle w:val="ListParagraph"/>
        <w:spacing w:after="0" w:line="360" w:lineRule="auto"/>
        <w:ind w:left="0"/>
        <w:rPr>
          <w:rFonts w:ascii="Arial" w:eastAsia="Calibri" w:hAnsi="Arial" w:cs="Arial"/>
          <w:sz w:val="24"/>
          <w:szCs w:val="24"/>
        </w:rPr>
      </w:pPr>
    </w:p>
    <w:p w14:paraId="0E69CF2F" w14:textId="77777777" w:rsidR="000B3B37" w:rsidRPr="004113D3" w:rsidRDefault="000B3B37" w:rsidP="00A34F46">
      <w:pPr>
        <w:pStyle w:val="ListParagraph"/>
        <w:spacing w:after="0" w:line="360" w:lineRule="auto"/>
        <w:ind w:left="0" w:firstLine="720"/>
        <w:jc w:val="both"/>
        <w:rPr>
          <w:rFonts w:ascii="Arial" w:eastAsia="Calibri" w:hAnsi="Arial" w:cs="Arial"/>
        </w:rPr>
      </w:pPr>
      <w:r w:rsidRPr="004113D3">
        <w:rPr>
          <w:rFonts w:ascii="Arial" w:eastAsia="Calibri" w:hAnsi="Arial" w:cs="Arial"/>
          <w:sz w:val="24"/>
          <w:szCs w:val="24"/>
        </w:rPr>
        <w:t>‘</w:t>
      </w:r>
      <w:r w:rsidRPr="004113D3">
        <w:rPr>
          <w:rFonts w:ascii="Arial" w:eastAsia="Calibri" w:hAnsi="Arial" w:cs="Arial"/>
        </w:rPr>
        <w:t>1. The settlement agreement reached during mediation on 02 June 2022 and declared as binding and valid between the parties per annexure “G1” to be made an order of court and be declared enforceable, in the following terms:</w:t>
      </w:r>
    </w:p>
    <w:p w14:paraId="0C3DFAD8" w14:textId="6C221E88" w:rsidR="000B3B37" w:rsidRPr="00FB6FCC" w:rsidRDefault="00FB6FCC" w:rsidP="00FB6FCC">
      <w:pPr>
        <w:ind w:left="1140" w:hanging="420"/>
        <w:rPr>
          <w:rFonts w:ascii="Arial" w:eastAsia="Calibri" w:hAnsi="Arial" w:cs="Arial"/>
        </w:rPr>
      </w:pPr>
      <w:r w:rsidRPr="004113D3">
        <w:rPr>
          <w:rFonts w:ascii="Arial" w:eastAsia="Calibri" w:hAnsi="Arial" w:cs="Arial"/>
        </w:rPr>
        <w:t>1.1</w:t>
      </w:r>
      <w:r w:rsidRPr="004113D3">
        <w:rPr>
          <w:rFonts w:ascii="Arial" w:eastAsia="Calibri" w:hAnsi="Arial" w:cs="Arial"/>
        </w:rPr>
        <w:tab/>
      </w:r>
      <w:r w:rsidR="000B3B37" w:rsidRPr="00FB6FCC">
        <w:rPr>
          <w:rFonts w:ascii="Arial" w:eastAsia="Calibri" w:hAnsi="Arial" w:cs="Arial"/>
        </w:rPr>
        <w:t xml:space="preserve">The First and Second Defendants </w:t>
      </w:r>
      <w:r w:rsidR="00C64A9F" w:rsidRPr="00FB6FCC">
        <w:rPr>
          <w:rFonts w:ascii="Arial" w:eastAsia="Calibri" w:hAnsi="Arial" w:cs="Arial"/>
        </w:rPr>
        <w:t xml:space="preserve">be directed, within 14 days to sign all documents necessary to permit the registration of the Plaintiff’s rights over sub-divided portion of Erf 2247, Registration Division “A”, Khorixas, Kunene Region, Republic of Namibia, failing which the court </w:t>
      </w:r>
      <w:proofErr w:type="spellStart"/>
      <w:r w:rsidR="00C64A9F" w:rsidRPr="00FB6FCC">
        <w:rPr>
          <w:rFonts w:ascii="Arial" w:eastAsia="Calibri" w:hAnsi="Arial" w:cs="Arial"/>
        </w:rPr>
        <w:t>authorises</w:t>
      </w:r>
      <w:proofErr w:type="spellEnd"/>
      <w:r w:rsidR="00C64A9F" w:rsidRPr="00FB6FCC">
        <w:rPr>
          <w:rFonts w:ascii="Arial" w:eastAsia="Calibri" w:hAnsi="Arial" w:cs="Arial"/>
        </w:rPr>
        <w:t xml:space="preserve"> and directs the Khorixas Town Council and the Registrar of Deeds to sign all necessary documents on behalf of the First and Second Defendants to effect registration of the Plaintiffs right</w:t>
      </w:r>
      <w:r w:rsidR="0045296C" w:rsidRPr="00FB6FCC">
        <w:rPr>
          <w:rFonts w:ascii="Arial" w:eastAsia="Calibri" w:hAnsi="Arial" w:cs="Arial"/>
        </w:rPr>
        <w:t xml:space="preserve"> over sub-divided portion of Erf 2247, Registration Division “A”, Khorixas, Kunene Region, Republic of Namibia.</w:t>
      </w:r>
    </w:p>
    <w:p w14:paraId="40CCEFDC" w14:textId="0C8C9B19" w:rsidR="0045296C" w:rsidRPr="00FB6FCC" w:rsidRDefault="00FB6FCC" w:rsidP="00FB6FCC">
      <w:pPr>
        <w:ind w:left="1140" w:hanging="420"/>
        <w:rPr>
          <w:rFonts w:ascii="Arial" w:eastAsia="Calibri" w:hAnsi="Arial" w:cs="Arial"/>
        </w:rPr>
      </w:pPr>
      <w:r w:rsidRPr="004113D3">
        <w:rPr>
          <w:rFonts w:ascii="Arial" w:eastAsia="Calibri" w:hAnsi="Arial" w:cs="Arial"/>
        </w:rPr>
        <w:t>1.2</w:t>
      </w:r>
      <w:r w:rsidRPr="004113D3">
        <w:rPr>
          <w:rFonts w:ascii="Arial" w:eastAsia="Calibri" w:hAnsi="Arial" w:cs="Arial"/>
        </w:rPr>
        <w:tab/>
      </w:r>
      <w:r w:rsidR="0045296C" w:rsidRPr="00FB6FCC">
        <w:rPr>
          <w:rFonts w:ascii="Arial" w:eastAsia="Calibri" w:hAnsi="Arial" w:cs="Arial"/>
        </w:rPr>
        <w:t xml:space="preserve">The Plaintiffs shall bear the transfer costs in respect of the aforesaid transfer of property rights by the Defendants. </w:t>
      </w:r>
    </w:p>
    <w:p w14:paraId="111A9807" w14:textId="09250644" w:rsidR="0045296C" w:rsidRPr="00FB6FCC" w:rsidRDefault="00FB6FCC" w:rsidP="00FB6FCC">
      <w:pPr>
        <w:ind w:left="1140" w:hanging="420"/>
        <w:rPr>
          <w:rFonts w:ascii="Arial" w:eastAsia="Calibri" w:hAnsi="Arial" w:cs="Arial"/>
        </w:rPr>
      </w:pPr>
      <w:r w:rsidRPr="004113D3">
        <w:rPr>
          <w:rFonts w:ascii="Arial" w:eastAsia="Calibri" w:hAnsi="Arial" w:cs="Arial"/>
        </w:rPr>
        <w:t>1.3</w:t>
      </w:r>
      <w:r w:rsidRPr="004113D3">
        <w:rPr>
          <w:rFonts w:ascii="Arial" w:eastAsia="Calibri" w:hAnsi="Arial" w:cs="Arial"/>
        </w:rPr>
        <w:tab/>
      </w:r>
      <w:r w:rsidR="0045296C" w:rsidRPr="00FB6FCC">
        <w:rPr>
          <w:rFonts w:ascii="Arial" w:eastAsia="Calibri" w:hAnsi="Arial" w:cs="Arial"/>
        </w:rPr>
        <w:t>The First and Second Defendants be directed, within 14 days, to transfer all amounts in the total of N$72 000 (</w:t>
      </w:r>
      <w:proofErr w:type="gramStart"/>
      <w:r w:rsidR="0045296C" w:rsidRPr="00FB6FCC">
        <w:rPr>
          <w:rFonts w:ascii="Arial" w:eastAsia="Calibri" w:hAnsi="Arial" w:cs="Arial"/>
        </w:rPr>
        <w:t>Seventy Two</w:t>
      </w:r>
      <w:proofErr w:type="gramEnd"/>
      <w:r w:rsidR="0045296C" w:rsidRPr="00FB6FCC">
        <w:rPr>
          <w:rFonts w:ascii="Arial" w:eastAsia="Calibri" w:hAnsi="Arial" w:cs="Arial"/>
        </w:rPr>
        <w:t xml:space="preserve"> Thousand Namibia Dollars) held in the family banking account to the plaintiffs. </w:t>
      </w:r>
    </w:p>
    <w:p w14:paraId="4446F47F" w14:textId="77777777" w:rsidR="0045296C" w:rsidRPr="004113D3" w:rsidRDefault="0045296C" w:rsidP="0045296C">
      <w:pPr>
        <w:rPr>
          <w:rFonts w:ascii="Arial" w:eastAsia="Calibri" w:hAnsi="Arial" w:cs="Arial"/>
        </w:rPr>
      </w:pPr>
      <w:r w:rsidRPr="004113D3">
        <w:rPr>
          <w:rFonts w:ascii="Arial" w:eastAsia="Calibri" w:hAnsi="Arial" w:cs="Arial"/>
        </w:rPr>
        <w:t>2. Cost of this application, only if opposed.</w:t>
      </w:r>
    </w:p>
    <w:p w14:paraId="711E8F90" w14:textId="77777777" w:rsidR="0045296C" w:rsidRPr="004113D3" w:rsidRDefault="0045296C" w:rsidP="00B04129">
      <w:pPr>
        <w:rPr>
          <w:rFonts w:ascii="Arial" w:eastAsia="Calibri" w:hAnsi="Arial" w:cs="Arial"/>
        </w:rPr>
      </w:pPr>
      <w:r w:rsidRPr="004113D3">
        <w:rPr>
          <w:rFonts w:ascii="Arial" w:eastAsia="Calibri" w:hAnsi="Arial" w:cs="Arial"/>
        </w:rPr>
        <w:t xml:space="preserve">3. Further and/or alternative relief.’ </w:t>
      </w:r>
    </w:p>
    <w:p w14:paraId="3C7688F0" w14:textId="77777777" w:rsidR="0045296C" w:rsidRPr="004113D3" w:rsidRDefault="0045296C" w:rsidP="0045296C">
      <w:pPr>
        <w:rPr>
          <w:rFonts w:ascii="Arial" w:eastAsia="Calibri" w:hAnsi="Arial" w:cs="Arial"/>
        </w:rPr>
      </w:pPr>
    </w:p>
    <w:p w14:paraId="2A704252" w14:textId="2900D1C1" w:rsidR="0063318D" w:rsidRPr="00FB6FCC" w:rsidRDefault="00FB6FCC" w:rsidP="00FB6FCC">
      <w:pPr>
        <w:rPr>
          <w:rFonts w:ascii="Arial" w:hAnsi="Arial" w:cs="Arial"/>
          <w:sz w:val="24"/>
          <w:szCs w:val="24"/>
        </w:rPr>
      </w:pPr>
      <w:r w:rsidRPr="004113D3">
        <w:rPr>
          <w:rFonts w:ascii="Arial" w:hAnsi="Arial" w:cs="Arial"/>
          <w:sz w:val="24"/>
          <w:szCs w:val="24"/>
        </w:rPr>
        <w:t>[4]</w:t>
      </w:r>
      <w:r w:rsidRPr="004113D3">
        <w:rPr>
          <w:rFonts w:ascii="Arial" w:hAnsi="Arial" w:cs="Arial"/>
          <w:sz w:val="24"/>
          <w:szCs w:val="24"/>
        </w:rPr>
        <w:tab/>
      </w:r>
      <w:r w:rsidR="00895C61" w:rsidRPr="00FB6FCC">
        <w:rPr>
          <w:rFonts w:ascii="Arial" w:hAnsi="Arial" w:cs="Arial"/>
          <w:sz w:val="24"/>
          <w:szCs w:val="24"/>
        </w:rPr>
        <w:t>The background of the matter is that on 02 June 2022</w:t>
      </w:r>
      <w:r w:rsidR="009E1234" w:rsidRPr="00FB6FCC">
        <w:rPr>
          <w:rFonts w:ascii="Arial" w:hAnsi="Arial" w:cs="Arial"/>
          <w:sz w:val="24"/>
          <w:szCs w:val="24"/>
        </w:rPr>
        <w:t>,</w:t>
      </w:r>
      <w:r w:rsidR="00895C61" w:rsidRPr="00FB6FCC">
        <w:rPr>
          <w:rFonts w:ascii="Arial" w:hAnsi="Arial" w:cs="Arial"/>
          <w:sz w:val="24"/>
          <w:szCs w:val="24"/>
        </w:rPr>
        <w:t xml:space="preserve"> the parties attended court-connected </w:t>
      </w:r>
      <w:r w:rsidR="00A34F46" w:rsidRPr="00FB6FCC">
        <w:rPr>
          <w:rFonts w:ascii="Arial" w:hAnsi="Arial" w:cs="Arial"/>
          <w:sz w:val="24"/>
          <w:szCs w:val="24"/>
        </w:rPr>
        <w:t xml:space="preserve">mediation </w:t>
      </w:r>
      <w:r w:rsidR="00895C61" w:rsidRPr="00FB6FCC">
        <w:rPr>
          <w:rFonts w:ascii="Arial" w:hAnsi="Arial" w:cs="Arial"/>
          <w:sz w:val="24"/>
          <w:szCs w:val="24"/>
        </w:rPr>
        <w:t>proceedings</w:t>
      </w:r>
      <w:r w:rsidR="00B04129" w:rsidRPr="00FB6FCC">
        <w:rPr>
          <w:rFonts w:ascii="Arial" w:hAnsi="Arial" w:cs="Arial"/>
          <w:sz w:val="24"/>
          <w:szCs w:val="24"/>
        </w:rPr>
        <w:t>. During</w:t>
      </w:r>
      <w:r w:rsidR="00895C61" w:rsidRPr="00FB6FCC">
        <w:rPr>
          <w:rFonts w:ascii="Arial" w:hAnsi="Arial" w:cs="Arial"/>
          <w:sz w:val="24"/>
          <w:szCs w:val="24"/>
        </w:rPr>
        <w:t xml:space="preserve"> the said proceedings</w:t>
      </w:r>
      <w:r w:rsidR="00B04129" w:rsidRPr="00FB6FCC">
        <w:rPr>
          <w:rFonts w:ascii="Arial" w:hAnsi="Arial" w:cs="Arial"/>
          <w:sz w:val="24"/>
          <w:szCs w:val="24"/>
        </w:rPr>
        <w:t>,</w:t>
      </w:r>
      <w:r w:rsidR="00895C61" w:rsidRPr="00FB6FCC">
        <w:rPr>
          <w:rFonts w:ascii="Arial" w:hAnsi="Arial" w:cs="Arial"/>
          <w:sz w:val="24"/>
          <w:szCs w:val="24"/>
        </w:rPr>
        <w:t xml:space="preserve"> the parties reached a settlement in respect </w:t>
      </w:r>
      <w:r w:rsidR="00A34F46" w:rsidRPr="00FB6FCC">
        <w:rPr>
          <w:rFonts w:ascii="Arial" w:hAnsi="Arial" w:cs="Arial"/>
          <w:sz w:val="24"/>
          <w:szCs w:val="24"/>
        </w:rPr>
        <w:t>of</w:t>
      </w:r>
      <w:r w:rsidR="009E1234" w:rsidRPr="00FB6FCC">
        <w:rPr>
          <w:rFonts w:ascii="Arial" w:hAnsi="Arial" w:cs="Arial"/>
          <w:sz w:val="24"/>
          <w:szCs w:val="24"/>
        </w:rPr>
        <w:t xml:space="preserve"> </w:t>
      </w:r>
      <w:r w:rsidR="00895C61" w:rsidRPr="00FB6FCC">
        <w:rPr>
          <w:rFonts w:ascii="Arial" w:hAnsi="Arial" w:cs="Arial"/>
          <w:sz w:val="24"/>
          <w:szCs w:val="24"/>
        </w:rPr>
        <w:t xml:space="preserve">all the </w:t>
      </w:r>
      <w:r w:rsidR="009E1234" w:rsidRPr="00FB6FCC">
        <w:rPr>
          <w:rFonts w:ascii="Arial" w:hAnsi="Arial" w:cs="Arial"/>
          <w:sz w:val="24"/>
          <w:szCs w:val="24"/>
        </w:rPr>
        <w:t>claims</w:t>
      </w:r>
      <w:r w:rsidR="00895C61" w:rsidRPr="00FB6FCC">
        <w:rPr>
          <w:rFonts w:ascii="Arial" w:hAnsi="Arial" w:cs="Arial"/>
          <w:sz w:val="24"/>
          <w:szCs w:val="24"/>
        </w:rPr>
        <w:t xml:space="preserve"> of the plaintiff</w:t>
      </w:r>
      <w:r w:rsidR="00FD7020" w:rsidRPr="00FB6FCC">
        <w:rPr>
          <w:rFonts w:ascii="Arial" w:hAnsi="Arial" w:cs="Arial"/>
          <w:sz w:val="24"/>
          <w:szCs w:val="24"/>
        </w:rPr>
        <w:t>s</w:t>
      </w:r>
      <w:r w:rsidR="00895C61" w:rsidRPr="00FB6FCC">
        <w:rPr>
          <w:rFonts w:ascii="Arial" w:hAnsi="Arial" w:cs="Arial"/>
          <w:sz w:val="24"/>
          <w:szCs w:val="24"/>
        </w:rPr>
        <w:t xml:space="preserve">. The settlement </w:t>
      </w:r>
      <w:r w:rsidR="00A34F46" w:rsidRPr="00FB6FCC">
        <w:rPr>
          <w:rFonts w:ascii="Arial" w:hAnsi="Arial" w:cs="Arial"/>
          <w:sz w:val="24"/>
          <w:szCs w:val="24"/>
        </w:rPr>
        <w:t xml:space="preserve">reached between the parties </w:t>
      </w:r>
      <w:r w:rsidR="00895C61" w:rsidRPr="00FB6FCC">
        <w:rPr>
          <w:rFonts w:ascii="Arial" w:hAnsi="Arial" w:cs="Arial"/>
          <w:sz w:val="24"/>
          <w:szCs w:val="24"/>
        </w:rPr>
        <w:t>was not reduced to writing at the said time</w:t>
      </w:r>
      <w:r w:rsidR="009E1234" w:rsidRPr="00FB6FCC">
        <w:rPr>
          <w:rFonts w:ascii="Arial" w:hAnsi="Arial" w:cs="Arial"/>
          <w:sz w:val="24"/>
          <w:szCs w:val="24"/>
        </w:rPr>
        <w:t>,</w:t>
      </w:r>
      <w:r w:rsidR="00895C61" w:rsidRPr="00FB6FCC">
        <w:rPr>
          <w:rFonts w:ascii="Arial" w:hAnsi="Arial" w:cs="Arial"/>
          <w:sz w:val="24"/>
          <w:szCs w:val="24"/>
        </w:rPr>
        <w:t xml:space="preserve"> but </w:t>
      </w:r>
      <w:r w:rsidR="00FD7020" w:rsidRPr="00FB6FCC">
        <w:rPr>
          <w:rFonts w:ascii="Arial" w:hAnsi="Arial" w:cs="Arial"/>
          <w:sz w:val="24"/>
          <w:szCs w:val="24"/>
        </w:rPr>
        <w:t>they agreed</w:t>
      </w:r>
      <w:r w:rsidR="00895C61" w:rsidRPr="00FB6FCC">
        <w:rPr>
          <w:rFonts w:ascii="Arial" w:hAnsi="Arial" w:cs="Arial"/>
          <w:sz w:val="24"/>
          <w:szCs w:val="24"/>
        </w:rPr>
        <w:t xml:space="preserve"> that the legal representatives would draft the </w:t>
      </w:r>
      <w:r w:rsidR="00B04129" w:rsidRPr="00FB6FCC">
        <w:rPr>
          <w:rFonts w:ascii="Arial" w:hAnsi="Arial" w:cs="Arial"/>
          <w:sz w:val="24"/>
          <w:szCs w:val="24"/>
        </w:rPr>
        <w:t xml:space="preserve">settlement </w:t>
      </w:r>
      <w:r w:rsidR="00895C61" w:rsidRPr="00FB6FCC">
        <w:rPr>
          <w:rFonts w:ascii="Arial" w:hAnsi="Arial" w:cs="Arial"/>
          <w:sz w:val="24"/>
          <w:szCs w:val="24"/>
        </w:rPr>
        <w:t xml:space="preserve">agreement and then all the parties concerned would sign </w:t>
      </w:r>
      <w:r w:rsidR="00B04129" w:rsidRPr="00FB6FCC">
        <w:rPr>
          <w:rFonts w:ascii="Arial" w:hAnsi="Arial" w:cs="Arial"/>
          <w:sz w:val="24"/>
          <w:szCs w:val="24"/>
        </w:rPr>
        <w:t>it</w:t>
      </w:r>
      <w:r w:rsidR="00895C61" w:rsidRPr="00FB6FCC">
        <w:rPr>
          <w:rFonts w:ascii="Arial" w:hAnsi="Arial" w:cs="Arial"/>
          <w:sz w:val="24"/>
          <w:szCs w:val="24"/>
        </w:rPr>
        <w:t xml:space="preserve">. </w:t>
      </w:r>
      <w:r w:rsidR="009E1234" w:rsidRPr="00FB6FCC">
        <w:rPr>
          <w:rFonts w:ascii="Arial" w:hAnsi="Arial" w:cs="Arial"/>
          <w:sz w:val="24"/>
          <w:szCs w:val="24"/>
        </w:rPr>
        <w:t>However, the defendants declined to sign the written agreement o</w:t>
      </w:r>
      <w:r w:rsidR="00A34F46" w:rsidRPr="00FB6FCC">
        <w:rPr>
          <w:rFonts w:ascii="Arial" w:hAnsi="Arial" w:cs="Arial"/>
          <w:sz w:val="24"/>
          <w:szCs w:val="24"/>
        </w:rPr>
        <w:t xml:space="preserve">nce drafted, and the plaintiffs </w:t>
      </w:r>
      <w:r w:rsidR="000169F1" w:rsidRPr="00FB6FCC">
        <w:rPr>
          <w:rFonts w:ascii="Arial" w:hAnsi="Arial" w:cs="Arial"/>
          <w:sz w:val="24"/>
          <w:szCs w:val="24"/>
        </w:rPr>
        <w:t xml:space="preserve">brought an application to this court to declare the oral settlement agreement binding on the parties. </w:t>
      </w:r>
    </w:p>
    <w:p w14:paraId="2FAD032E" w14:textId="77777777" w:rsidR="003052E2" w:rsidRPr="004113D3" w:rsidRDefault="003052E2" w:rsidP="003052E2">
      <w:pPr>
        <w:pStyle w:val="ListParagraph"/>
        <w:spacing w:after="0" w:line="360" w:lineRule="auto"/>
        <w:ind w:left="0"/>
        <w:jc w:val="both"/>
        <w:rPr>
          <w:rFonts w:ascii="Arial" w:hAnsi="Arial" w:cs="Arial"/>
          <w:sz w:val="24"/>
          <w:szCs w:val="24"/>
        </w:rPr>
      </w:pPr>
    </w:p>
    <w:p w14:paraId="1B5FC8D1" w14:textId="08DD93C8" w:rsidR="003052E2" w:rsidRPr="00FB6FCC" w:rsidRDefault="00FB6FCC" w:rsidP="00FB6FCC">
      <w:pPr>
        <w:rPr>
          <w:rFonts w:ascii="Arial" w:hAnsi="Arial" w:cs="Arial"/>
          <w:sz w:val="24"/>
          <w:szCs w:val="24"/>
        </w:rPr>
      </w:pPr>
      <w:r w:rsidRPr="004113D3">
        <w:rPr>
          <w:rFonts w:ascii="Arial" w:hAnsi="Arial" w:cs="Arial"/>
          <w:sz w:val="24"/>
          <w:szCs w:val="24"/>
        </w:rPr>
        <w:t>[5]</w:t>
      </w:r>
      <w:r w:rsidRPr="004113D3">
        <w:rPr>
          <w:rFonts w:ascii="Arial" w:hAnsi="Arial" w:cs="Arial"/>
          <w:sz w:val="24"/>
          <w:szCs w:val="24"/>
        </w:rPr>
        <w:tab/>
      </w:r>
      <w:r w:rsidR="003052E2" w:rsidRPr="00FB6FCC">
        <w:rPr>
          <w:rFonts w:ascii="Arial" w:hAnsi="Arial" w:cs="Arial"/>
          <w:sz w:val="24"/>
          <w:szCs w:val="24"/>
        </w:rPr>
        <w:t xml:space="preserve">The </w:t>
      </w:r>
      <w:r w:rsidR="00526253" w:rsidRPr="00FB6FCC">
        <w:rPr>
          <w:rFonts w:ascii="Arial" w:hAnsi="Arial" w:cs="Arial"/>
          <w:sz w:val="24"/>
          <w:szCs w:val="24"/>
        </w:rPr>
        <w:t xml:space="preserve">terms of </w:t>
      </w:r>
      <w:r w:rsidR="007528C4" w:rsidRPr="00FB6FCC">
        <w:rPr>
          <w:rFonts w:ascii="Arial" w:hAnsi="Arial" w:cs="Arial"/>
          <w:sz w:val="24"/>
          <w:szCs w:val="24"/>
        </w:rPr>
        <w:t xml:space="preserve">the </w:t>
      </w:r>
      <w:r w:rsidR="003052E2" w:rsidRPr="00FB6FCC">
        <w:rPr>
          <w:rFonts w:ascii="Arial" w:hAnsi="Arial" w:cs="Arial"/>
          <w:sz w:val="24"/>
          <w:szCs w:val="24"/>
        </w:rPr>
        <w:t>oral agreement reached</w:t>
      </w:r>
      <w:r w:rsidR="009E1234" w:rsidRPr="00FB6FCC">
        <w:rPr>
          <w:rFonts w:ascii="Arial" w:hAnsi="Arial" w:cs="Arial"/>
          <w:sz w:val="24"/>
          <w:szCs w:val="24"/>
        </w:rPr>
        <w:t xml:space="preserve"> during the mediation</w:t>
      </w:r>
      <w:r w:rsidR="003052E2" w:rsidRPr="00FB6FCC">
        <w:rPr>
          <w:rFonts w:ascii="Arial" w:hAnsi="Arial" w:cs="Arial"/>
          <w:sz w:val="24"/>
          <w:szCs w:val="24"/>
        </w:rPr>
        <w:t xml:space="preserve"> </w:t>
      </w:r>
      <w:r w:rsidR="007528C4" w:rsidRPr="00FB6FCC">
        <w:rPr>
          <w:rFonts w:ascii="Arial" w:hAnsi="Arial" w:cs="Arial"/>
          <w:sz w:val="24"/>
          <w:szCs w:val="24"/>
        </w:rPr>
        <w:t>are</w:t>
      </w:r>
      <w:r w:rsidR="003052E2" w:rsidRPr="00FB6FCC">
        <w:rPr>
          <w:rFonts w:ascii="Arial" w:hAnsi="Arial" w:cs="Arial"/>
          <w:sz w:val="24"/>
          <w:szCs w:val="24"/>
        </w:rPr>
        <w:t xml:space="preserve"> common </w:t>
      </w:r>
      <w:r w:rsidR="007528C4" w:rsidRPr="00FB6FCC">
        <w:rPr>
          <w:rFonts w:ascii="Arial" w:hAnsi="Arial" w:cs="Arial"/>
          <w:sz w:val="24"/>
          <w:szCs w:val="24"/>
        </w:rPr>
        <w:t>cause</w:t>
      </w:r>
      <w:r w:rsidR="003052E2" w:rsidRPr="00FB6FCC">
        <w:rPr>
          <w:rFonts w:ascii="Arial" w:hAnsi="Arial" w:cs="Arial"/>
          <w:sz w:val="24"/>
          <w:szCs w:val="24"/>
        </w:rPr>
        <w:t xml:space="preserve"> between the parties</w:t>
      </w:r>
      <w:r w:rsidR="007528C4" w:rsidRPr="00FB6FCC">
        <w:rPr>
          <w:rFonts w:ascii="Arial" w:hAnsi="Arial" w:cs="Arial"/>
          <w:sz w:val="24"/>
          <w:szCs w:val="24"/>
        </w:rPr>
        <w:t xml:space="preserve"> and are set out in the founding affidavit deposed to by </w:t>
      </w:r>
      <w:proofErr w:type="spellStart"/>
      <w:r w:rsidR="007528C4" w:rsidRPr="00FB6FCC">
        <w:rPr>
          <w:rFonts w:ascii="Arial" w:hAnsi="Arial" w:cs="Arial"/>
          <w:sz w:val="24"/>
          <w:szCs w:val="24"/>
        </w:rPr>
        <w:t>Mr</w:t>
      </w:r>
      <w:proofErr w:type="spellEnd"/>
      <w:r w:rsidR="007528C4" w:rsidRPr="00FB6FCC">
        <w:rPr>
          <w:rFonts w:ascii="Arial" w:hAnsi="Arial" w:cs="Arial"/>
          <w:sz w:val="24"/>
          <w:szCs w:val="24"/>
        </w:rPr>
        <w:t xml:space="preserve"> </w:t>
      </w:r>
      <w:proofErr w:type="spellStart"/>
      <w:r w:rsidR="007528C4" w:rsidRPr="00FB6FCC">
        <w:rPr>
          <w:rFonts w:ascii="Arial" w:hAnsi="Arial" w:cs="Arial"/>
          <w:sz w:val="24"/>
          <w:szCs w:val="24"/>
        </w:rPr>
        <w:t>Issaskar</w:t>
      </w:r>
      <w:proofErr w:type="spellEnd"/>
      <w:r w:rsidR="007528C4" w:rsidRPr="00FB6FCC">
        <w:rPr>
          <w:rFonts w:ascii="Arial" w:hAnsi="Arial" w:cs="Arial"/>
          <w:sz w:val="24"/>
          <w:szCs w:val="24"/>
        </w:rPr>
        <w:t xml:space="preserve"> </w:t>
      </w:r>
      <w:proofErr w:type="spellStart"/>
      <w:r w:rsidR="00A34F46" w:rsidRPr="00FB6FCC">
        <w:rPr>
          <w:rFonts w:ascii="Arial" w:hAnsi="Arial" w:cs="Arial"/>
          <w:sz w:val="24"/>
          <w:szCs w:val="24"/>
        </w:rPr>
        <w:t>Gaoseb</w:t>
      </w:r>
      <w:proofErr w:type="spellEnd"/>
      <w:r w:rsidR="00526253" w:rsidRPr="00FB6FCC">
        <w:rPr>
          <w:rFonts w:ascii="Arial" w:hAnsi="Arial" w:cs="Arial"/>
          <w:sz w:val="24"/>
          <w:szCs w:val="24"/>
        </w:rPr>
        <w:t>.</w:t>
      </w:r>
      <w:r w:rsidR="00A34F46" w:rsidRPr="00FB6FCC">
        <w:rPr>
          <w:rFonts w:ascii="Arial" w:hAnsi="Arial" w:cs="Arial"/>
          <w:sz w:val="24"/>
          <w:szCs w:val="24"/>
        </w:rPr>
        <w:t xml:space="preserve"> </w:t>
      </w:r>
      <w:r w:rsidR="007528C4" w:rsidRPr="00FB6FCC">
        <w:rPr>
          <w:rFonts w:ascii="Arial" w:hAnsi="Arial" w:cs="Arial"/>
          <w:sz w:val="24"/>
          <w:szCs w:val="24"/>
        </w:rPr>
        <w:t xml:space="preserve">The terms </w:t>
      </w:r>
      <w:r w:rsidR="00BB5DB4" w:rsidRPr="00FB6FCC">
        <w:rPr>
          <w:rFonts w:ascii="Arial" w:hAnsi="Arial" w:cs="Arial"/>
          <w:sz w:val="24"/>
          <w:szCs w:val="24"/>
        </w:rPr>
        <w:t>were</w:t>
      </w:r>
      <w:r w:rsidR="00526253" w:rsidRPr="00FB6FCC">
        <w:rPr>
          <w:rFonts w:ascii="Arial" w:hAnsi="Arial" w:cs="Arial"/>
          <w:sz w:val="24"/>
          <w:szCs w:val="24"/>
        </w:rPr>
        <w:t xml:space="preserve"> recorded</w:t>
      </w:r>
      <w:r w:rsidR="003052E2" w:rsidRPr="00FB6FCC">
        <w:rPr>
          <w:rFonts w:ascii="Arial" w:hAnsi="Arial" w:cs="Arial"/>
          <w:sz w:val="24"/>
          <w:szCs w:val="24"/>
        </w:rPr>
        <w:t xml:space="preserve"> as follows:</w:t>
      </w:r>
    </w:p>
    <w:p w14:paraId="44A7A9E1" w14:textId="77777777" w:rsidR="003052E2" w:rsidRPr="004113D3" w:rsidRDefault="003052E2" w:rsidP="003052E2">
      <w:pPr>
        <w:pStyle w:val="ListParagraph"/>
        <w:rPr>
          <w:rFonts w:ascii="Arial" w:hAnsi="Arial" w:cs="Arial"/>
          <w:sz w:val="24"/>
          <w:szCs w:val="24"/>
        </w:rPr>
      </w:pPr>
    </w:p>
    <w:p w14:paraId="6F2D002A" w14:textId="77777777" w:rsidR="003052E2" w:rsidRPr="004113D3" w:rsidRDefault="00FD7020" w:rsidP="007528C4">
      <w:pPr>
        <w:ind w:firstLine="360"/>
        <w:rPr>
          <w:rFonts w:ascii="Arial" w:hAnsi="Arial" w:cs="Arial"/>
        </w:rPr>
      </w:pPr>
      <w:r w:rsidRPr="004113D3">
        <w:rPr>
          <w:rFonts w:ascii="Arial" w:hAnsi="Arial" w:cs="Arial"/>
          <w:sz w:val="24"/>
          <w:szCs w:val="24"/>
        </w:rPr>
        <w:t>‘</w:t>
      </w:r>
      <w:r w:rsidR="007528C4" w:rsidRPr="004113D3">
        <w:rPr>
          <w:rFonts w:ascii="Arial" w:hAnsi="Arial" w:cs="Arial"/>
        </w:rPr>
        <w:t xml:space="preserve">11.1 </w:t>
      </w:r>
      <w:r w:rsidR="003052E2" w:rsidRPr="004113D3">
        <w:rPr>
          <w:rFonts w:ascii="Arial" w:hAnsi="Arial" w:cs="Arial"/>
        </w:rPr>
        <w:t xml:space="preserve">The </w:t>
      </w:r>
      <w:r w:rsidR="007528C4" w:rsidRPr="004113D3">
        <w:rPr>
          <w:rFonts w:ascii="Arial" w:hAnsi="Arial" w:cs="Arial"/>
        </w:rPr>
        <w:t>F</w:t>
      </w:r>
      <w:r w:rsidR="003052E2" w:rsidRPr="004113D3">
        <w:rPr>
          <w:rFonts w:ascii="Arial" w:hAnsi="Arial" w:cs="Arial"/>
        </w:rPr>
        <w:t xml:space="preserve">irst and </w:t>
      </w:r>
      <w:r w:rsidR="007528C4" w:rsidRPr="004113D3">
        <w:rPr>
          <w:rFonts w:ascii="Arial" w:hAnsi="Arial" w:cs="Arial"/>
        </w:rPr>
        <w:t>S</w:t>
      </w:r>
      <w:r w:rsidR="003052E2" w:rsidRPr="004113D3">
        <w:rPr>
          <w:rFonts w:ascii="Arial" w:hAnsi="Arial" w:cs="Arial"/>
        </w:rPr>
        <w:t xml:space="preserve">econd </w:t>
      </w:r>
      <w:r w:rsidR="007528C4" w:rsidRPr="004113D3">
        <w:rPr>
          <w:rFonts w:ascii="Arial" w:hAnsi="Arial" w:cs="Arial"/>
        </w:rPr>
        <w:t>D</w:t>
      </w:r>
      <w:r w:rsidR="003052E2" w:rsidRPr="004113D3">
        <w:rPr>
          <w:rFonts w:ascii="Arial" w:hAnsi="Arial" w:cs="Arial"/>
        </w:rPr>
        <w:t>efendants will cause to sign all docume</w:t>
      </w:r>
      <w:r w:rsidR="00526253" w:rsidRPr="004113D3">
        <w:rPr>
          <w:rFonts w:ascii="Arial" w:hAnsi="Arial" w:cs="Arial"/>
        </w:rPr>
        <w:t>nt</w:t>
      </w:r>
      <w:r w:rsidR="003052E2" w:rsidRPr="004113D3">
        <w:rPr>
          <w:rFonts w:ascii="Arial" w:hAnsi="Arial" w:cs="Arial"/>
        </w:rPr>
        <w:t xml:space="preserve">s necessary to permit the registration of the </w:t>
      </w:r>
      <w:r w:rsidR="007528C4" w:rsidRPr="004113D3">
        <w:rPr>
          <w:rFonts w:ascii="Arial" w:hAnsi="Arial" w:cs="Arial"/>
        </w:rPr>
        <w:t>P</w:t>
      </w:r>
      <w:r w:rsidR="003052E2" w:rsidRPr="004113D3">
        <w:rPr>
          <w:rFonts w:ascii="Arial" w:hAnsi="Arial" w:cs="Arial"/>
        </w:rPr>
        <w:t xml:space="preserve">laintiffs’ right over a sub-divided portion of Erf 2247, Registration Division “A”, Khorixas, Kunene Region, </w:t>
      </w:r>
      <w:proofErr w:type="gramStart"/>
      <w:r w:rsidR="003052E2" w:rsidRPr="004113D3">
        <w:rPr>
          <w:rFonts w:ascii="Arial" w:hAnsi="Arial" w:cs="Arial"/>
        </w:rPr>
        <w:t>Republic  of</w:t>
      </w:r>
      <w:proofErr w:type="gramEnd"/>
      <w:r w:rsidR="003052E2" w:rsidRPr="004113D3">
        <w:rPr>
          <w:rFonts w:ascii="Arial" w:hAnsi="Arial" w:cs="Arial"/>
        </w:rPr>
        <w:t xml:space="preserve"> Namibia;</w:t>
      </w:r>
    </w:p>
    <w:p w14:paraId="2C6C4CE3" w14:textId="4E960939" w:rsidR="003052E2" w:rsidRPr="00FB6FCC" w:rsidRDefault="00FB6FCC" w:rsidP="00FB6FCC">
      <w:pPr>
        <w:rPr>
          <w:rFonts w:ascii="Arial" w:hAnsi="Arial" w:cs="Arial"/>
        </w:rPr>
      </w:pPr>
      <w:r w:rsidRPr="004113D3">
        <w:rPr>
          <w:rFonts w:ascii="Arial" w:hAnsi="Arial" w:cs="Arial"/>
        </w:rPr>
        <w:t>11.2</w:t>
      </w:r>
      <w:r w:rsidRPr="004113D3">
        <w:rPr>
          <w:rFonts w:ascii="Arial" w:hAnsi="Arial" w:cs="Arial"/>
        </w:rPr>
        <w:tab/>
      </w:r>
      <w:r w:rsidR="003052E2" w:rsidRPr="00FB6FCC">
        <w:rPr>
          <w:rFonts w:ascii="Arial" w:hAnsi="Arial" w:cs="Arial"/>
        </w:rPr>
        <w:t xml:space="preserve">The </w:t>
      </w:r>
      <w:r w:rsidR="007528C4" w:rsidRPr="00FB6FCC">
        <w:rPr>
          <w:rFonts w:ascii="Arial" w:hAnsi="Arial" w:cs="Arial"/>
        </w:rPr>
        <w:t>P</w:t>
      </w:r>
      <w:r w:rsidR="003052E2" w:rsidRPr="00FB6FCC">
        <w:rPr>
          <w:rFonts w:ascii="Arial" w:hAnsi="Arial" w:cs="Arial"/>
        </w:rPr>
        <w:t xml:space="preserve">laintiffs shall bear the transfer costs in respect of the aforesaid transfer of property rights by the </w:t>
      </w:r>
      <w:proofErr w:type="gramStart"/>
      <w:r w:rsidR="003052E2" w:rsidRPr="00FB6FCC">
        <w:rPr>
          <w:rFonts w:ascii="Arial" w:hAnsi="Arial" w:cs="Arial"/>
        </w:rPr>
        <w:t>defendants;</w:t>
      </w:r>
      <w:proofErr w:type="gramEnd"/>
    </w:p>
    <w:p w14:paraId="51CE5D3B" w14:textId="167E9297" w:rsidR="003052E2" w:rsidRPr="00FB6FCC" w:rsidRDefault="00FB6FCC" w:rsidP="00FB6FCC">
      <w:pPr>
        <w:rPr>
          <w:rFonts w:ascii="Arial" w:hAnsi="Arial" w:cs="Arial"/>
        </w:rPr>
      </w:pPr>
      <w:r w:rsidRPr="004113D3">
        <w:rPr>
          <w:rFonts w:ascii="Arial" w:hAnsi="Arial" w:cs="Arial"/>
        </w:rPr>
        <w:t>11.3</w:t>
      </w:r>
      <w:r w:rsidRPr="004113D3">
        <w:rPr>
          <w:rFonts w:ascii="Arial" w:hAnsi="Arial" w:cs="Arial"/>
        </w:rPr>
        <w:tab/>
      </w:r>
      <w:r w:rsidR="003052E2" w:rsidRPr="00FB6FCC">
        <w:rPr>
          <w:rFonts w:ascii="Arial" w:hAnsi="Arial" w:cs="Arial"/>
        </w:rPr>
        <w:t xml:space="preserve">The </w:t>
      </w:r>
      <w:r w:rsidR="007528C4" w:rsidRPr="00FB6FCC">
        <w:rPr>
          <w:rFonts w:ascii="Arial" w:hAnsi="Arial" w:cs="Arial"/>
        </w:rPr>
        <w:t>P</w:t>
      </w:r>
      <w:r w:rsidR="003052E2" w:rsidRPr="00FB6FCC">
        <w:rPr>
          <w:rFonts w:ascii="Arial" w:hAnsi="Arial" w:cs="Arial"/>
        </w:rPr>
        <w:t xml:space="preserve">laintiff shall remain with the sole management of the current lease agreement in respect of Erf 2247, Registration </w:t>
      </w:r>
      <w:r w:rsidR="00A34F46" w:rsidRPr="00FB6FCC">
        <w:rPr>
          <w:rFonts w:ascii="Arial" w:hAnsi="Arial" w:cs="Arial"/>
        </w:rPr>
        <w:t xml:space="preserve">Division </w:t>
      </w:r>
      <w:r w:rsidR="003052E2" w:rsidRPr="00FB6FCC">
        <w:rPr>
          <w:rFonts w:ascii="Arial" w:hAnsi="Arial" w:cs="Arial"/>
        </w:rPr>
        <w:t xml:space="preserve">“A”, Khorixas, Kunene Region, Republic of </w:t>
      </w:r>
      <w:proofErr w:type="gramStart"/>
      <w:r w:rsidR="003052E2" w:rsidRPr="00FB6FCC">
        <w:rPr>
          <w:rFonts w:ascii="Arial" w:hAnsi="Arial" w:cs="Arial"/>
        </w:rPr>
        <w:t>Namibia;</w:t>
      </w:r>
      <w:proofErr w:type="gramEnd"/>
    </w:p>
    <w:p w14:paraId="74DB862F" w14:textId="4387899A" w:rsidR="003052E2" w:rsidRPr="00FB6FCC" w:rsidRDefault="00FB6FCC" w:rsidP="00FB6FCC">
      <w:pPr>
        <w:rPr>
          <w:rFonts w:ascii="Arial" w:hAnsi="Arial" w:cs="Arial"/>
        </w:rPr>
      </w:pPr>
      <w:r w:rsidRPr="004113D3">
        <w:rPr>
          <w:rFonts w:ascii="Arial" w:hAnsi="Arial" w:cs="Arial"/>
        </w:rPr>
        <w:t>11.4</w:t>
      </w:r>
      <w:r w:rsidRPr="004113D3">
        <w:rPr>
          <w:rFonts w:ascii="Arial" w:hAnsi="Arial" w:cs="Arial"/>
        </w:rPr>
        <w:tab/>
      </w:r>
      <w:r w:rsidR="003052E2" w:rsidRPr="00FB6FCC">
        <w:rPr>
          <w:rFonts w:ascii="Arial" w:hAnsi="Arial" w:cs="Arial"/>
        </w:rPr>
        <w:t>The defendants shall reimburse to the plaintiffs an amount of N$125</w:t>
      </w:r>
      <w:r w:rsidR="008B16CC" w:rsidRPr="00FB6FCC">
        <w:rPr>
          <w:rFonts w:ascii="Arial" w:hAnsi="Arial" w:cs="Arial"/>
        </w:rPr>
        <w:t> </w:t>
      </w:r>
      <w:r w:rsidR="003052E2" w:rsidRPr="00FB6FCC">
        <w:rPr>
          <w:rFonts w:ascii="Arial" w:hAnsi="Arial" w:cs="Arial"/>
        </w:rPr>
        <w:t>000</w:t>
      </w:r>
      <w:r w:rsidR="008B16CC" w:rsidRPr="00FB6FCC">
        <w:rPr>
          <w:rFonts w:ascii="Arial" w:hAnsi="Arial" w:cs="Arial"/>
        </w:rPr>
        <w:t>.00</w:t>
      </w:r>
      <w:r w:rsidR="007528C4" w:rsidRPr="00FB6FCC">
        <w:rPr>
          <w:rFonts w:ascii="Arial" w:hAnsi="Arial" w:cs="Arial"/>
        </w:rPr>
        <w:t xml:space="preserve"> (One Hundred and Twenty-Five Thousand Namibia Dollars) being </w:t>
      </w:r>
      <w:r w:rsidR="00556888" w:rsidRPr="00FB6FCC">
        <w:rPr>
          <w:rFonts w:ascii="Arial" w:hAnsi="Arial" w:cs="Arial"/>
        </w:rPr>
        <w:t xml:space="preserve">payments </w:t>
      </w:r>
      <w:r w:rsidR="003052E2" w:rsidRPr="00FB6FCC">
        <w:rPr>
          <w:rFonts w:ascii="Arial" w:hAnsi="Arial" w:cs="Arial"/>
        </w:rPr>
        <w:t>in respect of renovation costs incurred</w:t>
      </w:r>
      <w:r w:rsidR="00526253" w:rsidRPr="00FB6FCC">
        <w:rPr>
          <w:rFonts w:ascii="Arial" w:hAnsi="Arial" w:cs="Arial"/>
        </w:rPr>
        <w:t xml:space="preserve"> </w:t>
      </w:r>
      <w:r w:rsidR="003052E2" w:rsidRPr="00FB6FCC">
        <w:rPr>
          <w:rFonts w:ascii="Arial" w:hAnsi="Arial" w:cs="Arial"/>
        </w:rPr>
        <w:t>by the Plaintiff within 12</w:t>
      </w:r>
      <w:r w:rsidR="007528C4" w:rsidRPr="00FB6FCC">
        <w:rPr>
          <w:rFonts w:ascii="Arial" w:hAnsi="Arial" w:cs="Arial"/>
        </w:rPr>
        <w:t xml:space="preserve"> (twelve)</w:t>
      </w:r>
      <w:r w:rsidR="00526253" w:rsidRPr="00FB6FCC">
        <w:rPr>
          <w:rFonts w:ascii="Arial" w:hAnsi="Arial" w:cs="Arial"/>
        </w:rPr>
        <w:t xml:space="preserve"> months from date of this agreement. </w:t>
      </w:r>
    </w:p>
    <w:p w14:paraId="24B7AC8A" w14:textId="77777777" w:rsidR="00BB5DB4" w:rsidRPr="004113D3" w:rsidRDefault="00BB5DB4" w:rsidP="00BB5DB4">
      <w:pPr>
        <w:ind w:left="1440" w:hanging="720"/>
        <w:rPr>
          <w:rFonts w:ascii="Arial" w:hAnsi="Arial" w:cs="Arial"/>
        </w:rPr>
      </w:pPr>
      <w:r w:rsidRPr="004113D3">
        <w:rPr>
          <w:rFonts w:ascii="Arial" w:hAnsi="Arial" w:cs="Arial"/>
        </w:rPr>
        <w:t>11.4.1</w:t>
      </w:r>
      <w:r w:rsidR="00556888" w:rsidRPr="004113D3">
        <w:rPr>
          <w:rFonts w:ascii="Arial" w:hAnsi="Arial" w:cs="Arial"/>
        </w:rPr>
        <w:tab/>
      </w:r>
      <w:r w:rsidR="00526253" w:rsidRPr="004113D3">
        <w:rPr>
          <w:rFonts w:ascii="Arial" w:hAnsi="Arial" w:cs="Arial"/>
        </w:rPr>
        <w:t xml:space="preserve">The monies to be reimbursed by the </w:t>
      </w:r>
      <w:r w:rsidRPr="004113D3">
        <w:rPr>
          <w:rFonts w:ascii="Arial" w:hAnsi="Arial" w:cs="Arial"/>
        </w:rPr>
        <w:t>D</w:t>
      </w:r>
      <w:r w:rsidR="00526253" w:rsidRPr="004113D3">
        <w:rPr>
          <w:rFonts w:ascii="Arial" w:hAnsi="Arial" w:cs="Arial"/>
        </w:rPr>
        <w:t xml:space="preserve">efendants to </w:t>
      </w:r>
      <w:r w:rsidRPr="004113D3">
        <w:rPr>
          <w:rFonts w:ascii="Arial" w:hAnsi="Arial" w:cs="Arial"/>
        </w:rPr>
        <w:t>P</w:t>
      </w:r>
      <w:r w:rsidR="00526253" w:rsidRPr="004113D3">
        <w:rPr>
          <w:rFonts w:ascii="Arial" w:hAnsi="Arial" w:cs="Arial"/>
        </w:rPr>
        <w:t>laintiffs shall be reduced from</w:t>
      </w:r>
      <w:r w:rsidRPr="004113D3">
        <w:rPr>
          <w:rFonts w:ascii="Arial" w:hAnsi="Arial" w:cs="Arial"/>
        </w:rPr>
        <w:t xml:space="preserve"> </w:t>
      </w:r>
      <w:r w:rsidR="00526253" w:rsidRPr="004113D3">
        <w:rPr>
          <w:rFonts w:ascii="Arial" w:hAnsi="Arial" w:cs="Arial"/>
        </w:rPr>
        <w:t>the total monthly rental payments received in the amount o</w:t>
      </w:r>
      <w:r w:rsidRPr="004113D3">
        <w:rPr>
          <w:rFonts w:ascii="Arial" w:hAnsi="Arial" w:cs="Arial"/>
        </w:rPr>
        <w:t>f</w:t>
      </w:r>
      <w:r w:rsidR="00526253" w:rsidRPr="004113D3">
        <w:rPr>
          <w:rFonts w:ascii="Arial" w:hAnsi="Arial" w:cs="Arial"/>
        </w:rPr>
        <w:t xml:space="preserve"> N$10</w:t>
      </w:r>
      <w:r w:rsidR="008B16CC" w:rsidRPr="004113D3">
        <w:rPr>
          <w:rFonts w:ascii="Arial" w:hAnsi="Arial" w:cs="Arial"/>
        </w:rPr>
        <w:t> </w:t>
      </w:r>
      <w:r w:rsidR="00526253" w:rsidRPr="004113D3">
        <w:rPr>
          <w:rFonts w:ascii="Arial" w:hAnsi="Arial" w:cs="Arial"/>
        </w:rPr>
        <w:t>450</w:t>
      </w:r>
      <w:r w:rsidR="008B16CC" w:rsidRPr="004113D3">
        <w:rPr>
          <w:rFonts w:ascii="Arial" w:hAnsi="Arial" w:cs="Arial"/>
        </w:rPr>
        <w:t>.00</w:t>
      </w:r>
      <w:r w:rsidR="007528C4" w:rsidRPr="004113D3">
        <w:rPr>
          <w:rFonts w:ascii="Arial" w:hAnsi="Arial" w:cs="Arial"/>
        </w:rPr>
        <w:t xml:space="preserve"> (Ten Thousand Four Hundred and Fifty Namibia Dollars)</w:t>
      </w:r>
      <w:r w:rsidR="00526253" w:rsidRPr="004113D3">
        <w:rPr>
          <w:rFonts w:ascii="Arial" w:hAnsi="Arial" w:cs="Arial"/>
        </w:rPr>
        <w:t xml:space="preserve"> from </w:t>
      </w:r>
      <w:r w:rsidR="007528C4" w:rsidRPr="004113D3">
        <w:rPr>
          <w:rFonts w:ascii="Arial" w:hAnsi="Arial" w:cs="Arial"/>
        </w:rPr>
        <w:t>date</w:t>
      </w:r>
      <w:r w:rsidR="00526253" w:rsidRPr="004113D3">
        <w:rPr>
          <w:rFonts w:ascii="Arial" w:hAnsi="Arial" w:cs="Arial"/>
        </w:rPr>
        <w:t xml:space="preserve"> of signing of this agreement until 31</w:t>
      </w:r>
      <w:r w:rsidR="00526253" w:rsidRPr="004113D3">
        <w:rPr>
          <w:rFonts w:ascii="Arial" w:hAnsi="Arial" w:cs="Arial"/>
          <w:vertAlign w:val="superscript"/>
        </w:rPr>
        <w:t xml:space="preserve"> </w:t>
      </w:r>
      <w:r w:rsidR="00526253" w:rsidRPr="004113D3">
        <w:rPr>
          <w:rFonts w:ascii="Arial" w:hAnsi="Arial" w:cs="Arial"/>
        </w:rPr>
        <w:t>May 2023.</w:t>
      </w:r>
    </w:p>
    <w:p w14:paraId="35630087" w14:textId="77777777" w:rsidR="00526253" w:rsidRPr="004113D3" w:rsidRDefault="00BB5DB4" w:rsidP="00BB5DB4">
      <w:pPr>
        <w:pStyle w:val="BodyTextIndent"/>
      </w:pPr>
      <w:r w:rsidRPr="004113D3">
        <w:t xml:space="preserve">11.4.2 </w:t>
      </w:r>
      <w:r w:rsidR="00556888" w:rsidRPr="004113D3">
        <w:tab/>
      </w:r>
      <w:r w:rsidR="00526253" w:rsidRPr="004113D3">
        <w:t xml:space="preserve">Despite the </w:t>
      </w:r>
      <w:proofErr w:type="spellStart"/>
      <w:r w:rsidR="00526253" w:rsidRPr="004113D3">
        <w:t>aforestated</w:t>
      </w:r>
      <w:proofErr w:type="spellEnd"/>
      <w:r w:rsidR="00526253" w:rsidRPr="004113D3">
        <w:t xml:space="preserve">, the </w:t>
      </w:r>
      <w:r w:rsidRPr="004113D3">
        <w:t>D</w:t>
      </w:r>
      <w:r w:rsidR="00526253" w:rsidRPr="004113D3">
        <w:t xml:space="preserve">efendants shall be liable to effect monthly payments to the </w:t>
      </w:r>
      <w:r w:rsidRPr="004113D3">
        <w:t>P</w:t>
      </w:r>
      <w:r w:rsidR="00526253" w:rsidRPr="004113D3">
        <w:t xml:space="preserve">laintiffs until full satisfaction of the amount </w:t>
      </w:r>
      <w:r w:rsidR="007528C4" w:rsidRPr="004113D3">
        <w:t>stated under</w:t>
      </w:r>
      <w:r w:rsidRPr="004113D3">
        <w:t xml:space="preserve"> 13.3 (sic) above.</w:t>
      </w:r>
    </w:p>
    <w:p w14:paraId="3217FF14" w14:textId="4E707F65" w:rsidR="00BB5DB4" w:rsidRPr="00FB6FCC" w:rsidRDefault="00FB6FCC" w:rsidP="00FB6FCC">
      <w:pPr>
        <w:ind w:left="420" w:hanging="420"/>
        <w:rPr>
          <w:rFonts w:ascii="Arial" w:hAnsi="Arial" w:cs="Arial"/>
        </w:rPr>
      </w:pPr>
      <w:r w:rsidRPr="004113D3">
        <w:rPr>
          <w:rFonts w:ascii="Arial" w:hAnsi="Arial" w:cs="Arial"/>
        </w:rPr>
        <w:t>11.5</w:t>
      </w:r>
      <w:r w:rsidRPr="004113D3">
        <w:rPr>
          <w:rFonts w:ascii="Arial" w:hAnsi="Arial" w:cs="Arial"/>
        </w:rPr>
        <w:tab/>
      </w:r>
      <w:r w:rsidR="00BB5DB4" w:rsidRPr="00FB6FCC">
        <w:rPr>
          <w:rFonts w:ascii="Arial" w:hAnsi="Arial" w:cs="Arial"/>
        </w:rPr>
        <w:t xml:space="preserve">The Defendants, </w:t>
      </w:r>
      <w:proofErr w:type="gramStart"/>
      <w:r w:rsidR="00BB5DB4" w:rsidRPr="00FB6FCC">
        <w:rPr>
          <w:rFonts w:ascii="Arial" w:hAnsi="Arial" w:cs="Arial"/>
        </w:rPr>
        <w:t>in particular the</w:t>
      </w:r>
      <w:proofErr w:type="gramEnd"/>
      <w:r w:rsidR="00BB5DB4" w:rsidRPr="00FB6FCC">
        <w:rPr>
          <w:rFonts w:ascii="Arial" w:hAnsi="Arial" w:cs="Arial"/>
        </w:rPr>
        <w:t xml:space="preserve"> Second Defendant, shall cause to transfer all amounts in the total of N$72</w:t>
      </w:r>
      <w:r w:rsidR="008B16CC" w:rsidRPr="00FB6FCC">
        <w:rPr>
          <w:rFonts w:ascii="Arial" w:hAnsi="Arial" w:cs="Arial"/>
        </w:rPr>
        <w:t> </w:t>
      </w:r>
      <w:r w:rsidR="00BB5DB4" w:rsidRPr="00FB6FCC">
        <w:rPr>
          <w:rFonts w:ascii="Arial" w:hAnsi="Arial" w:cs="Arial"/>
        </w:rPr>
        <w:t>000</w:t>
      </w:r>
      <w:r w:rsidR="008B16CC" w:rsidRPr="00FB6FCC">
        <w:rPr>
          <w:rFonts w:ascii="Arial" w:hAnsi="Arial" w:cs="Arial"/>
        </w:rPr>
        <w:t>.00</w:t>
      </w:r>
      <w:r w:rsidR="00BB5DB4" w:rsidRPr="00FB6FCC">
        <w:rPr>
          <w:rFonts w:ascii="Arial" w:hAnsi="Arial" w:cs="Arial"/>
        </w:rPr>
        <w:t xml:space="preserve"> (Seventy-Two Thousand Namibia Dollars) held in the family banking account to the plaintiffs.’</w:t>
      </w:r>
    </w:p>
    <w:p w14:paraId="5DA17968" w14:textId="77777777" w:rsidR="009144DE" w:rsidRPr="004113D3" w:rsidRDefault="009144DE" w:rsidP="00556888">
      <w:pPr>
        <w:rPr>
          <w:rFonts w:ascii="Arial" w:hAnsi="Arial" w:cs="Arial"/>
        </w:rPr>
      </w:pPr>
    </w:p>
    <w:p w14:paraId="16BB6E24" w14:textId="77777777" w:rsidR="009144DE" w:rsidRPr="004113D3" w:rsidRDefault="009144DE" w:rsidP="009144DE">
      <w:pPr>
        <w:pStyle w:val="Heading1"/>
      </w:pPr>
      <w:r w:rsidRPr="004113D3">
        <w:t xml:space="preserve">Opposition </w:t>
      </w:r>
    </w:p>
    <w:p w14:paraId="2F7D0903" w14:textId="77777777" w:rsidR="00BB5DB4" w:rsidRPr="004113D3" w:rsidRDefault="00BB5DB4" w:rsidP="008B16CC">
      <w:pPr>
        <w:rPr>
          <w:rFonts w:ascii="Arial" w:hAnsi="Arial" w:cs="Arial"/>
          <w:sz w:val="24"/>
          <w:szCs w:val="24"/>
        </w:rPr>
      </w:pPr>
    </w:p>
    <w:p w14:paraId="6ACF78D3" w14:textId="081044C9" w:rsidR="00895C61" w:rsidRPr="00FB6FCC" w:rsidRDefault="00FB6FCC" w:rsidP="00FB6FCC">
      <w:pPr>
        <w:rPr>
          <w:rFonts w:ascii="Arial" w:hAnsi="Arial" w:cs="Arial"/>
          <w:sz w:val="24"/>
          <w:szCs w:val="24"/>
        </w:rPr>
      </w:pPr>
      <w:r w:rsidRPr="004113D3">
        <w:rPr>
          <w:rFonts w:ascii="Arial" w:hAnsi="Arial" w:cs="Arial"/>
          <w:sz w:val="24"/>
          <w:szCs w:val="24"/>
        </w:rPr>
        <w:t>[6]</w:t>
      </w:r>
      <w:r w:rsidRPr="004113D3">
        <w:rPr>
          <w:rFonts w:ascii="Arial" w:hAnsi="Arial" w:cs="Arial"/>
          <w:sz w:val="24"/>
          <w:szCs w:val="24"/>
        </w:rPr>
        <w:tab/>
      </w:r>
      <w:r w:rsidR="009144DE" w:rsidRPr="00FB6FCC">
        <w:rPr>
          <w:rFonts w:ascii="Arial" w:hAnsi="Arial" w:cs="Arial"/>
          <w:sz w:val="24"/>
          <w:szCs w:val="24"/>
        </w:rPr>
        <w:t>In their answering affidavit, the</w:t>
      </w:r>
      <w:r w:rsidR="00926BDE" w:rsidRPr="00FB6FCC">
        <w:rPr>
          <w:rFonts w:ascii="Arial" w:hAnsi="Arial" w:cs="Arial"/>
          <w:sz w:val="24"/>
          <w:szCs w:val="24"/>
        </w:rPr>
        <w:t xml:space="preserve"> </w:t>
      </w:r>
      <w:r w:rsidR="00556888" w:rsidRPr="00FB6FCC">
        <w:rPr>
          <w:rFonts w:ascii="Arial" w:hAnsi="Arial" w:cs="Arial"/>
          <w:sz w:val="24"/>
          <w:szCs w:val="24"/>
        </w:rPr>
        <w:t xml:space="preserve">defendants </w:t>
      </w:r>
      <w:r w:rsidR="008B16CC" w:rsidRPr="00FB6FCC">
        <w:rPr>
          <w:rFonts w:ascii="Arial" w:hAnsi="Arial" w:cs="Arial"/>
          <w:sz w:val="24"/>
          <w:szCs w:val="24"/>
        </w:rPr>
        <w:t xml:space="preserve">raised </w:t>
      </w:r>
      <w:proofErr w:type="gramStart"/>
      <w:r w:rsidR="008B16CC" w:rsidRPr="00FB6FCC">
        <w:rPr>
          <w:rFonts w:ascii="Arial" w:hAnsi="Arial" w:cs="Arial"/>
          <w:sz w:val="24"/>
          <w:szCs w:val="24"/>
        </w:rPr>
        <w:t>a number of</w:t>
      </w:r>
      <w:proofErr w:type="gramEnd"/>
      <w:r w:rsidR="008B16CC" w:rsidRPr="00FB6FCC">
        <w:rPr>
          <w:rFonts w:ascii="Arial" w:hAnsi="Arial" w:cs="Arial"/>
          <w:sz w:val="24"/>
          <w:szCs w:val="24"/>
        </w:rPr>
        <w:t xml:space="preserve"> issues</w:t>
      </w:r>
      <w:r w:rsidR="00926BDE" w:rsidRPr="00FB6FCC">
        <w:rPr>
          <w:rFonts w:ascii="Arial" w:hAnsi="Arial" w:cs="Arial"/>
          <w:sz w:val="24"/>
          <w:szCs w:val="24"/>
        </w:rPr>
        <w:t xml:space="preserve"> </w:t>
      </w:r>
      <w:r w:rsidR="008B16CC" w:rsidRPr="00FB6FCC">
        <w:rPr>
          <w:rFonts w:ascii="Arial" w:hAnsi="Arial" w:cs="Arial"/>
          <w:sz w:val="24"/>
          <w:szCs w:val="24"/>
        </w:rPr>
        <w:t xml:space="preserve">in respect of the current application and the relief sought by the plaintiff. These issues can be </w:t>
      </w:r>
      <w:proofErr w:type="spellStart"/>
      <w:r w:rsidR="00926BDE" w:rsidRPr="00FB6FCC">
        <w:rPr>
          <w:rFonts w:ascii="Arial" w:hAnsi="Arial" w:cs="Arial"/>
          <w:sz w:val="24"/>
          <w:szCs w:val="24"/>
        </w:rPr>
        <w:t>summarised</w:t>
      </w:r>
      <w:proofErr w:type="spellEnd"/>
      <w:r w:rsidR="00926BDE" w:rsidRPr="00FB6FCC">
        <w:rPr>
          <w:rFonts w:ascii="Arial" w:hAnsi="Arial" w:cs="Arial"/>
          <w:sz w:val="24"/>
          <w:szCs w:val="24"/>
        </w:rPr>
        <w:t xml:space="preserve"> as follows: </w:t>
      </w:r>
    </w:p>
    <w:p w14:paraId="345B3475" w14:textId="77777777" w:rsidR="00FD7020" w:rsidRPr="004113D3" w:rsidRDefault="00FD7020" w:rsidP="00FD7020">
      <w:pPr>
        <w:pStyle w:val="ListParagraph"/>
        <w:spacing w:after="0" w:line="360" w:lineRule="auto"/>
        <w:ind w:left="0"/>
        <w:rPr>
          <w:rFonts w:ascii="Arial" w:hAnsi="Arial" w:cs="Arial"/>
          <w:sz w:val="24"/>
          <w:szCs w:val="24"/>
        </w:rPr>
      </w:pPr>
    </w:p>
    <w:p w14:paraId="29F84572" w14:textId="548F14A3" w:rsidR="00926BDE" w:rsidRPr="00FB6FCC" w:rsidRDefault="00FB6FCC" w:rsidP="00FB6FCC">
      <w:pPr>
        <w:rPr>
          <w:rFonts w:ascii="Arial" w:hAnsi="Arial" w:cs="Arial"/>
          <w:sz w:val="24"/>
          <w:szCs w:val="24"/>
        </w:rPr>
      </w:pPr>
      <w:r w:rsidRPr="004113D3">
        <w:rPr>
          <w:rFonts w:ascii="Arial" w:hAnsi="Arial" w:cs="Arial"/>
          <w:sz w:val="24"/>
          <w:szCs w:val="24"/>
        </w:rPr>
        <w:t>a)</w:t>
      </w:r>
      <w:r w:rsidRPr="004113D3">
        <w:rPr>
          <w:rFonts w:ascii="Arial" w:hAnsi="Arial" w:cs="Arial"/>
          <w:sz w:val="24"/>
          <w:szCs w:val="24"/>
        </w:rPr>
        <w:tab/>
      </w:r>
      <w:r w:rsidR="00926BDE" w:rsidRPr="00FB6FCC">
        <w:rPr>
          <w:rFonts w:ascii="Arial" w:hAnsi="Arial" w:cs="Arial"/>
          <w:sz w:val="24"/>
          <w:szCs w:val="24"/>
        </w:rPr>
        <w:t>The relief sought in this interlocutory ap</w:t>
      </w:r>
      <w:r w:rsidR="00DB1738" w:rsidRPr="00FB6FCC">
        <w:rPr>
          <w:rFonts w:ascii="Arial" w:hAnsi="Arial" w:cs="Arial"/>
          <w:sz w:val="24"/>
          <w:szCs w:val="24"/>
        </w:rPr>
        <w:t xml:space="preserve">plication is incompetent </w:t>
      </w:r>
      <w:r w:rsidR="00556888" w:rsidRPr="00FB6FCC">
        <w:rPr>
          <w:rFonts w:ascii="Arial" w:hAnsi="Arial" w:cs="Arial"/>
          <w:sz w:val="24"/>
          <w:szCs w:val="24"/>
        </w:rPr>
        <w:t xml:space="preserve">in </w:t>
      </w:r>
      <w:r w:rsidR="00DB1738" w:rsidRPr="00FB6FCC">
        <w:rPr>
          <w:rFonts w:ascii="Arial" w:hAnsi="Arial" w:cs="Arial"/>
          <w:sz w:val="24"/>
          <w:szCs w:val="24"/>
        </w:rPr>
        <w:t xml:space="preserve">law, firstly for violation of the Formalities in respect of Sale of Land Act 71 of 1969 </w:t>
      </w:r>
      <w:r w:rsidR="00E10DC5" w:rsidRPr="00FB6FCC">
        <w:rPr>
          <w:rFonts w:ascii="Arial" w:hAnsi="Arial" w:cs="Arial"/>
          <w:sz w:val="24"/>
          <w:szCs w:val="24"/>
        </w:rPr>
        <w:t xml:space="preserve">(the ‘Act’) </w:t>
      </w:r>
      <w:r w:rsidR="00DB1738" w:rsidRPr="00FB6FCC">
        <w:rPr>
          <w:rFonts w:ascii="Arial" w:hAnsi="Arial" w:cs="Arial"/>
          <w:sz w:val="24"/>
          <w:szCs w:val="24"/>
        </w:rPr>
        <w:t xml:space="preserve">and secondly for being procedurally irregular because the plaintiffs are seeking to pursue the relief set out in the particulars by way of an interlocutory application.  </w:t>
      </w:r>
    </w:p>
    <w:p w14:paraId="348CF132" w14:textId="73B8B27C" w:rsidR="00DB1738" w:rsidRPr="00FB6FCC" w:rsidRDefault="00FB6FCC" w:rsidP="00FB6FCC">
      <w:pPr>
        <w:rPr>
          <w:rFonts w:ascii="Arial" w:hAnsi="Arial" w:cs="Arial"/>
          <w:sz w:val="24"/>
          <w:szCs w:val="24"/>
        </w:rPr>
      </w:pPr>
      <w:r w:rsidRPr="004113D3">
        <w:rPr>
          <w:rFonts w:ascii="Arial" w:hAnsi="Arial" w:cs="Arial"/>
          <w:sz w:val="24"/>
          <w:szCs w:val="24"/>
        </w:rPr>
        <w:t>b)</w:t>
      </w:r>
      <w:r w:rsidRPr="004113D3">
        <w:rPr>
          <w:rFonts w:ascii="Arial" w:hAnsi="Arial" w:cs="Arial"/>
          <w:sz w:val="24"/>
          <w:szCs w:val="24"/>
        </w:rPr>
        <w:tab/>
      </w:r>
      <w:r w:rsidR="00AF42B1" w:rsidRPr="00FB6FCC">
        <w:rPr>
          <w:rFonts w:ascii="Arial" w:hAnsi="Arial" w:cs="Arial"/>
          <w:sz w:val="24"/>
          <w:szCs w:val="24"/>
        </w:rPr>
        <w:t xml:space="preserve">The current application is </w:t>
      </w:r>
      <w:r w:rsidR="00556888" w:rsidRPr="00FB6FCC">
        <w:rPr>
          <w:rFonts w:ascii="Arial" w:hAnsi="Arial" w:cs="Arial"/>
          <w:sz w:val="24"/>
          <w:szCs w:val="24"/>
        </w:rPr>
        <w:t xml:space="preserve">in </w:t>
      </w:r>
      <w:r w:rsidR="00AF42B1" w:rsidRPr="00FB6FCC">
        <w:rPr>
          <w:rFonts w:ascii="Arial" w:hAnsi="Arial" w:cs="Arial"/>
          <w:sz w:val="24"/>
          <w:szCs w:val="24"/>
        </w:rPr>
        <w:t xml:space="preserve">violation of the </w:t>
      </w:r>
      <w:r w:rsidR="001B5650" w:rsidRPr="00FB6FCC">
        <w:rPr>
          <w:rFonts w:ascii="Arial" w:hAnsi="Arial" w:cs="Arial"/>
          <w:sz w:val="24"/>
          <w:szCs w:val="24"/>
        </w:rPr>
        <w:t>defendants’</w:t>
      </w:r>
      <w:r w:rsidR="00AF42B1" w:rsidRPr="00FB6FCC">
        <w:rPr>
          <w:rFonts w:ascii="Arial" w:hAnsi="Arial" w:cs="Arial"/>
          <w:sz w:val="24"/>
          <w:szCs w:val="24"/>
        </w:rPr>
        <w:t xml:space="preserve"> </w:t>
      </w:r>
      <w:r w:rsidR="00556888" w:rsidRPr="00FB6FCC">
        <w:rPr>
          <w:rFonts w:ascii="Arial" w:hAnsi="Arial" w:cs="Arial"/>
          <w:sz w:val="24"/>
          <w:szCs w:val="24"/>
        </w:rPr>
        <w:t xml:space="preserve">rights to property </w:t>
      </w:r>
      <w:r w:rsidR="00AF42B1" w:rsidRPr="00FB6FCC">
        <w:rPr>
          <w:rFonts w:ascii="Arial" w:hAnsi="Arial" w:cs="Arial"/>
          <w:sz w:val="24"/>
          <w:szCs w:val="24"/>
        </w:rPr>
        <w:t xml:space="preserve">which </w:t>
      </w:r>
      <w:r w:rsidR="00B378E2" w:rsidRPr="00FB6FCC">
        <w:rPr>
          <w:rFonts w:ascii="Arial" w:hAnsi="Arial" w:cs="Arial"/>
          <w:sz w:val="24"/>
          <w:szCs w:val="24"/>
        </w:rPr>
        <w:t>are</w:t>
      </w:r>
      <w:r w:rsidR="00AF42B1" w:rsidRPr="00FB6FCC">
        <w:rPr>
          <w:rFonts w:ascii="Arial" w:hAnsi="Arial" w:cs="Arial"/>
          <w:sz w:val="24"/>
          <w:szCs w:val="24"/>
        </w:rPr>
        <w:t xml:space="preserve"> protected by Art</w:t>
      </w:r>
      <w:r w:rsidR="00FD7020" w:rsidRPr="00FB6FCC">
        <w:rPr>
          <w:rFonts w:ascii="Arial" w:hAnsi="Arial" w:cs="Arial"/>
          <w:sz w:val="24"/>
          <w:szCs w:val="24"/>
        </w:rPr>
        <w:t>icle</w:t>
      </w:r>
      <w:r w:rsidR="00AF42B1" w:rsidRPr="00FB6FCC">
        <w:rPr>
          <w:rFonts w:ascii="Arial" w:hAnsi="Arial" w:cs="Arial"/>
          <w:sz w:val="24"/>
          <w:szCs w:val="24"/>
        </w:rPr>
        <w:t xml:space="preserve"> 16 of the Constitution. </w:t>
      </w:r>
    </w:p>
    <w:p w14:paraId="1E0DC948" w14:textId="0101A33A" w:rsidR="00AF42B1" w:rsidRPr="00FB6FCC" w:rsidRDefault="00FB6FCC" w:rsidP="00FB6FCC">
      <w:pPr>
        <w:rPr>
          <w:rFonts w:ascii="Arial" w:hAnsi="Arial" w:cs="Arial"/>
          <w:sz w:val="24"/>
          <w:szCs w:val="24"/>
        </w:rPr>
      </w:pPr>
      <w:r w:rsidRPr="004113D3">
        <w:rPr>
          <w:rFonts w:ascii="Arial" w:hAnsi="Arial" w:cs="Arial"/>
          <w:sz w:val="24"/>
          <w:szCs w:val="24"/>
        </w:rPr>
        <w:lastRenderedPageBreak/>
        <w:t>c)</w:t>
      </w:r>
      <w:r w:rsidRPr="004113D3">
        <w:rPr>
          <w:rFonts w:ascii="Arial" w:hAnsi="Arial" w:cs="Arial"/>
          <w:sz w:val="24"/>
          <w:szCs w:val="24"/>
        </w:rPr>
        <w:tab/>
      </w:r>
      <w:r w:rsidR="00AF42B1" w:rsidRPr="00FB6FCC">
        <w:rPr>
          <w:rFonts w:ascii="Arial" w:hAnsi="Arial" w:cs="Arial"/>
          <w:sz w:val="24"/>
          <w:szCs w:val="24"/>
        </w:rPr>
        <w:t xml:space="preserve">Transfer of </w:t>
      </w:r>
      <w:r w:rsidR="001B5650" w:rsidRPr="00FB6FCC">
        <w:rPr>
          <w:rFonts w:ascii="Arial" w:hAnsi="Arial" w:cs="Arial"/>
          <w:sz w:val="24"/>
          <w:szCs w:val="24"/>
        </w:rPr>
        <w:t xml:space="preserve">immovable </w:t>
      </w:r>
      <w:r w:rsidR="00AF42B1" w:rsidRPr="00FB6FCC">
        <w:rPr>
          <w:rFonts w:ascii="Arial" w:hAnsi="Arial" w:cs="Arial"/>
          <w:sz w:val="24"/>
          <w:szCs w:val="24"/>
        </w:rPr>
        <w:t xml:space="preserve">property can only be attained </w:t>
      </w:r>
      <w:r w:rsidR="00FD7020" w:rsidRPr="00FB6FCC">
        <w:rPr>
          <w:rFonts w:ascii="Arial" w:hAnsi="Arial" w:cs="Arial"/>
          <w:sz w:val="24"/>
          <w:szCs w:val="24"/>
        </w:rPr>
        <w:t>through</w:t>
      </w:r>
      <w:r w:rsidR="00556888" w:rsidRPr="00FB6FCC">
        <w:rPr>
          <w:rFonts w:ascii="Arial" w:hAnsi="Arial" w:cs="Arial"/>
          <w:sz w:val="24"/>
          <w:szCs w:val="24"/>
        </w:rPr>
        <w:t xml:space="preserve"> </w:t>
      </w:r>
      <w:r w:rsidR="00FD7020" w:rsidRPr="00FB6FCC">
        <w:rPr>
          <w:rFonts w:ascii="Arial" w:hAnsi="Arial" w:cs="Arial"/>
          <w:sz w:val="24"/>
          <w:szCs w:val="24"/>
        </w:rPr>
        <w:t xml:space="preserve">a </w:t>
      </w:r>
      <w:r w:rsidR="001B5650" w:rsidRPr="00FB6FCC">
        <w:rPr>
          <w:rFonts w:ascii="Arial" w:hAnsi="Arial" w:cs="Arial"/>
          <w:sz w:val="24"/>
          <w:szCs w:val="24"/>
        </w:rPr>
        <w:t xml:space="preserve">sale agreement, donation agreement, rectification agreement, exchange agreement, and inheritance –testate or intestate. The plaintiffs presented none of these instruments and instead </w:t>
      </w:r>
      <w:r w:rsidR="00FD7020" w:rsidRPr="00FB6FCC">
        <w:rPr>
          <w:rFonts w:ascii="Arial" w:hAnsi="Arial" w:cs="Arial"/>
          <w:sz w:val="24"/>
          <w:szCs w:val="24"/>
        </w:rPr>
        <w:t>sought</w:t>
      </w:r>
      <w:r w:rsidR="001B5650" w:rsidRPr="00FB6FCC">
        <w:rPr>
          <w:rFonts w:ascii="Arial" w:hAnsi="Arial" w:cs="Arial"/>
          <w:sz w:val="24"/>
          <w:szCs w:val="24"/>
        </w:rPr>
        <w:t xml:space="preserve"> to enforce the settlement agreement reached at mediation. </w:t>
      </w:r>
    </w:p>
    <w:p w14:paraId="11EF98E4" w14:textId="50B2FE06" w:rsidR="001B5650" w:rsidRPr="00FB6FCC" w:rsidRDefault="00FB6FCC" w:rsidP="00FB6FCC">
      <w:pPr>
        <w:rPr>
          <w:rFonts w:ascii="Arial" w:hAnsi="Arial" w:cs="Arial"/>
          <w:sz w:val="24"/>
          <w:szCs w:val="24"/>
        </w:rPr>
      </w:pPr>
      <w:r w:rsidRPr="004113D3">
        <w:rPr>
          <w:rFonts w:ascii="Arial" w:hAnsi="Arial" w:cs="Arial"/>
          <w:sz w:val="24"/>
          <w:szCs w:val="24"/>
        </w:rPr>
        <w:t>d)</w:t>
      </w:r>
      <w:r w:rsidRPr="004113D3">
        <w:rPr>
          <w:rFonts w:ascii="Arial" w:hAnsi="Arial" w:cs="Arial"/>
          <w:sz w:val="24"/>
          <w:szCs w:val="24"/>
        </w:rPr>
        <w:tab/>
      </w:r>
      <w:r w:rsidR="002A2F8A" w:rsidRPr="00FB6FCC">
        <w:rPr>
          <w:rFonts w:ascii="Arial" w:hAnsi="Arial" w:cs="Arial"/>
          <w:sz w:val="24"/>
          <w:szCs w:val="24"/>
        </w:rPr>
        <w:t>The agreement was declared as binding and valid between the parties</w:t>
      </w:r>
      <w:r w:rsidR="00FD7020" w:rsidRPr="00FB6FCC">
        <w:rPr>
          <w:rFonts w:ascii="Arial" w:hAnsi="Arial" w:cs="Arial"/>
          <w:sz w:val="24"/>
          <w:szCs w:val="24"/>
        </w:rPr>
        <w:t>,</w:t>
      </w:r>
      <w:r w:rsidR="002A2F8A" w:rsidRPr="00FB6FCC">
        <w:rPr>
          <w:rFonts w:ascii="Arial" w:hAnsi="Arial" w:cs="Arial"/>
          <w:sz w:val="24"/>
          <w:szCs w:val="24"/>
        </w:rPr>
        <w:t xml:space="preserve"> and the judgment of this court should be enforced by way of execution proceedings and not by means of a further interlocutory application. </w:t>
      </w:r>
    </w:p>
    <w:p w14:paraId="2FC90C1D" w14:textId="77777777" w:rsidR="00E10DC5" w:rsidRPr="00C7351F" w:rsidRDefault="00E10DC5" w:rsidP="00C7351F">
      <w:pPr>
        <w:rPr>
          <w:rFonts w:ascii="Arial" w:hAnsi="Arial" w:cs="Arial"/>
          <w:sz w:val="24"/>
          <w:szCs w:val="24"/>
        </w:rPr>
      </w:pPr>
      <w:r w:rsidRPr="00C7351F">
        <w:rPr>
          <w:rFonts w:ascii="Arial" w:hAnsi="Arial" w:cs="Arial"/>
          <w:sz w:val="24"/>
          <w:szCs w:val="24"/>
        </w:rPr>
        <w:t xml:space="preserve">If the plaintiffs are advancing a case of being beneficial owners, </w:t>
      </w:r>
      <w:r w:rsidR="00193458" w:rsidRPr="00C7351F">
        <w:rPr>
          <w:rFonts w:ascii="Arial" w:hAnsi="Arial" w:cs="Arial"/>
          <w:sz w:val="24"/>
          <w:szCs w:val="24"/>
        </w:rPr>
        <w:t>they must prove their title to the property by adducing evidence in court per</w:t>
      </w:r>
      <w:r w:rsidRPr="00C7351F">
        <w:rPr>
          <w:rFonts w:ascii="Arial" w:hAnsi="Arial" w:cs="Arial"/>
          <w:sz w:val="24"/>
          <w:szCs w:val="24"/>
        </w:rPr>
        <w:t xml:space="preserve"> the Act. </w:t>
      </w:r>
    </w:p>
    <w:p w14:paraId="4EE29198" w14:textId="04D27ADE" w:rsidR="00E10DC5" w:rsidRPr="00FB6FCC" w:rsidRDefault="00FB6FCC" w:rsidP="00FB6FCC">
      <w:pPr>
        <w:rPr>
          <w:rFonts w:ascii="Arial" w:hAnsi="Arial" w:cs="Arial"/>
          <w:sz w:val="24"/>
          <w:szCs w:val="24"/>
        </w:rPr>
      </w:pPr>
      <w:r w:rsidRPr="004113D3">
        <w:rPr>
          <w:rFonts w:ascii="Arial" w:hAnsi="Arial" w:cs="Arial"/>
          <w:sz w:val="24"/>
          <w:szCs w:val="24"/>
        </w:rPr>
        <w:t>e)</w:t>
      </w:r>
      <w:r w:rsidRPr="004113D3">
        <w:rPr>
          <w:rFonts w:ascii="Arial" w:hAnsi="Arial" w:cs="Arial"/>
          <w:sz w:val="24"/>
          <w:szCs w:val="24"/>
        </w:rPr>
        <w:tab/>
      </w:r>
      <w:r w:rsidR="00E10DC5" w:rsidRPr="00FB6FCC">
        <w:rPr>
          <w:rFonts w:ascii="Arial" w:hAnsi="Arial" w:cs="Arial"/>
          <w:sz w:val="24"/>
          <w:szCs w:val="24"/>
        </w:rPr>
        <w:t>The plaintiffs seek a mandamus for the registration of the plaintiffs’ ownership of the property. The interdictory relief is problematic as the requirements have not been met.</w:t>
      </w:r>
    </w:p>
    <w:p w14:paraId="64F864FC" w14:textId="19F3841E" w:rsidR="007A130C" w:rsidRPr="00FB6FCC" w:rsidRDefault="00FB6FCC" w:rsidP="00FB6FCC">
      <w:pPr>
        <w:rPr>
          <w:rFonts w:ascii="Arial" w:hAnsi="Arial" w:cs="Arial"/>
          <w:sz w:val="24"/>
          <w:szCs w:val="24"/>
        </w:rPr>
      </w:pPr>
      <w:r w:rsidRPr="004113D3">
        <w:rPr>
          <w:rFonts w:ascii="Arial" w:hAnsi="Arial" w:cs="Arial"/>
          <w:sz w:val="24"/>
          <w:szCs w:val="24"/>
        </w:rPr>
        <w:t>f)</w:t>
      </w:r>
      <w:r w:rsidRPr="004113D3">
        <w:rPr>
          <w:rFonts w:ascii="Arial" w:hAnsi="Arial" w:cs="Arial"/>
          <w:sz w:val="24"/>
          <w:szCs w:val="24"/>
        </w:rPr>
        <w:tab/>
      </w:r>
      <w:r w:rsidR="007A130C" w:rsidRPr="00FB6FCC">
        <w:rPr>
          <w:rFonts w:ascii="Arial" w:hAnsi="Arial" w:cs="Arial"/>
          <w:sz w:val="24"/>
          <w:szCs w:val="24"/>
        </w:rPr>
        <w:t>If the plaintiff</w:t>
      </w:r>
      <w:r w:rsidR="000605C1" w:rsidRPr="00FB6FCC">
        <w:rPr>
          <w:rFonts w:ascii="Arial" w:hAnsi="Arial" w:cs="Arial"/>
          <w:sz w:val="24"/>
          <w:szCs w:val="24"/>
        </w:rPr>
        <w:t>s</w:t>
      </w:r>
      <w:r w:rsidR="007A130C" w:rsidRPr="00FB6FCC">
        <w:rPr>
          <w:rFonts w:ascii="Arial" w:hAnsi="Arial" w:cs="Arial"/>
          <w:sz w:val="24"/>
          <w:szCs w:val="24"/>
        </w:rPr>
        <w:t xml:space="preserve"> are advancing a case for beneficial owners, which is disputed, then they must prove their title to the property by adducing evidence in court in accordance with the Formalities in respect of Sale of Land Act, 71 of 1969.</w:t>
      </w:r>
    </w:p>
    <w:p w14:paraId="2846FF8D" w14:textId="55EBD6F7" w:rsidR="009144DE" w:rsidRPr="00FB6FCC" w:rsidRDefault="00FB6FCC" w:rsidP="00FB6FCC">
      <w:pPr>
        <w:rPr>
          <w:rFonts w:ascii="Arial" w:hAnsi="Arial" w:cs="Arial"/>
          <w:sz w:val="24"/>
          <w:szCs w:val="24"/>
        </w:rPr>
      </w:pPr>
      <w:r w:rsidRPr="004113D3">
        <w:rPr>
          <w:rFonts w:ascii="Arial" w:hAnsi="Arial" w:cs="Arial"/>
          <w:sz w:val="24"/>
          <w:szCs w:val="24"/>
        </w:rPr>
        <w:t>g)</w:t>
      </w:r>
      <w:r w:rsidRPr="004113D3">
        <w:rPr>
          <w:rFonts w:ascii="Arial" w:hAnsi="Arial" w:cs="Arial"/>
          <w:sz w:val="24"/>
          <w:szCs w:val="24"/>
        </w:rPr>
        <w:tab/>
      </w:r>
      <w:r w:rsidR="009144DE" w:rsidRPr="00FB6FCC">
        <w:rPr>
          <w:rFonts w:ascii="Arial" w:hAnsi="Arial" w:cs="Arial"/>
          <w:sz w:val="24"/>
          <w:szCs w:val="24"/>
        </w:rPr>
        <w:t xml:space="preserve">The court cannot come to the assistance of the plaintiffs and </w:t>
      </w:r>
      <w:r w:rsidR="000605C1" w:rsidRPr="00FB6FCC">
        <w:rPr>
          <w:rFonts w:ascii="Arial" w:hAnsi="Arial" w:cs="Arial"/>
          <w:sz w:val="24"/>
          <w:szCs w:val="24"/>
        </w:rPr>
        <w:t xml:space="preserve">unlawfully </w:t>
      </w:r>
      <w:r w:rsidR="009144DE" w:rsidRPr="00FB6FCC">
        <w:rPr>
          <w:rFonts w:ascii="Arial" w:hAnsi="Arial" w:cs="Arial"/>
          <w:sz w:val="24"/>
          <w:szCs w:val="24"/>
        </w:rPr>
        <w:t xml:space="preserve">compel the defendants to conclude a commercial contract. The court can however enforce a contract once the parties have </w:t>
      </w:r>
      <w:proofErr w:type="gramStart"/>
      <w:r w:rsidR="009144DE" w:rsidRPr="00FB6FCC">
        <w:rPr>
          <w:rFonts w:ascii="Arial" w:hAnsi="Arial" w:cs="Arial"/>
          <w:sz w:val="24"/>
          <w:szCs w:val="24"/>
        </w:rPr>
        <w:t>entered into</w:t>
      </w:r>
      <w:proofErr w:type="gramEnd"/>
      <w:r w:rsidR="009144DE" w:rsidRPr="00FB6FCC">
        <w:rPr>
          <w:rFonts w:ascii="Arial" w:hAnsi="Arial" w:cs="Arial"/>
          <w:sz w:val="24"/>
          <w:szCs w:val="24"/>
        </w:rPr>
        <w:t xml:space="preserve"> a commercial contract.</w:t>
      </w:r>
      <w:r w:rsidR="00937208" w:rsidRPr="00FB6FCC">
        <w:rPr>
          <w:rFonts w:ascii="Arial" w:hAnsi="Arial" w:cs="Arial"/>
          <w:sz w:val="24"/>
          <w:szCs w:val="24"/>
        </w:rPr>
        <w:t xml:space="preserve"> </w:t>
      </w:r>
      <w:r w:rsidR="004728D4" w:rsidRPr="00FB6FCC">
        <w:rPr>
          <w:rFonts w:ascii="Arial" w:hAnsi="Arial" w:cs="Arial"/>
          <w:sz w:val="24"/>
          <w:szCs w:val="24"/>
        </w:rPr>
        <w:t>The defendant</w:t>
      </w:r>
      <w:r w:rsidR="00937208" w:rsidRPr="00FB6FCC">
        <w:rPr>
          <w:rFonts w:ascii="Arial" w:hAnsi="Arial" w:cs="Arial"/>
          <w:sz w:val="24"/>
          <w:szCs w:val="24"/>
        </w:rPr>
        <w:t xml:space="preserve">s have not </w:t>
      </w:r>
      <w:proofErr w:type="gramStart"/>
      <w:r w:rsidR="00937208" w:rsidRPr="00FB6FCC">
        <w:rPr>
          <w:rFonts w:ascii="Arial" w:hAnsi="Arial" w:cs="Arial"/>
          <w:sz w:val="24"/>
          <w:szCs w:val="24"/>
        </w:rPr>
        <w:t>entered into</w:t>
      </w:r>
      <w:proofErr w:type="gramEnd"/>
      <w:r w:rsidR="00937208" w:rsidRPr="00FB6FCC">
        <w:rPr>
          <w:rFonts w:ascii="Arial" w:hAnsi="Arial" w:cs="Arial"/>
          <w:sz w:val="24"/>
          <w:szCs w:val="24"/>
        </w:rPr>
        <w:t xml:space="preserve"> a deed of sale or deed of donation with the plaintiffs</w:t>
      </w:r>
      <w:r w:rsidR="001D2366" w:rsidRPr="00FB6FCC">
        <w:rPr>
          <w:rFonts w:ascii="Arial" w:hAnsi="Arial" w:cs="Arial"/>
          <w:sz w:val="24"/>
          <w:szCs w:val="24"/>
        </w:rPr>
        <w:t>,</w:t>
      </w:r>
      <w:r w:rsidR="00937208" w:rsidRPr="00FB6FCC">
        <w:rPr>
          <w:rFonts w:ascii="Arial" w:hAnsi="Arial" w:cs="Arial"/>
          <w:sz w:val="24"/>
          <w:szCs w:val="24"/>
        </w:rPr>
        <w:t xml:space="preserve"> and there was</w:t>
      </w:r>
      <w:r w:rsidR="00193458" w:rsidRPr="00FB6FCC">
        <w:rPr>
          <w:rFonts w:ascii="Arial" w:hAnsi="Arial" w:cs="Arial"/>
          <w:sz w:val="24"/>
          <w:szCs w:val="24"/>
        </w:rPr>
        <w:t>,</w:t>
      </w:r>
      <w:r w:rsidR="00937208" w:rsidRPr="00FB6FCC">
        <w:rPr>
          <w:rFonts w:ascii="Arial" w:hAnsi="Arial" w:cs="Arial"/>
          <w:sz w:val="24"/>
          <w:szCs w:val="24"/>
        </w:rPr>
        <w:t xml:space="preserve"> there</w:t>
      </w:r>
      <w:r w:rsidR="00193458" w:rsidRPr="00FB6FCC">
        <w:rPr>
          <w:rFonts w:ascii="Arial" w:hAnsi="Arial" w:cs="Arial"/>
          <w:sz w:val="24"/>
          <w:szCs w:val="24"/>
        </w:rPr>
        <w:t>fore,</w:t>
      </w:r>
      <w:r w:rsidR="00937208" w:rsidRPr="00FB6FCC">
        <w:rPr>
          <w:rFonts w:ascii="Arial" w:hAnsi="Arial" w:cs="Arial"/>
          <w:sz w:val="24"/>
          <w:szCs w:val="24"/>
        </w:rPr>
        <w:t xml:space="preserve"> no enforceable contract between the parties. </w:t>
      </w:r>
    </w:p>
    <w:p w14:paraId="46C67C32" w14:textId="4E00152D" w:rsidR="005A7AB7" w:rsidRPr="00FB6FCC" w:rsidRDefault="00FB6FCC" w:rsidP="00FB6FCC">
      <w:pPr>
        <w:rPr>
          <w:rFonts w:ascii="Arial" w:hAnsi="Arial" w:cs="Arial"/>
          <w:sz w:val="24"/>
          <w:szCs w:val="24"/>
        </w:rPr>
      </w:pPr>
      <w:r w:rsidRPr="004113D3">
        <w:rPr>
          <w:rFonts w:ascii="Arial" w:hAnsi="Arial" w:cs="Arial"/>
          <w:sz w:val="24"/>
          <w:szCs w:val="24"/>
        </w:rPr>
        <w:t>h)</w:t>
      </w:r>
      <w:r w:rsidRPr="004113D3">
        <w:rPr>
          <w:rFonts w:ascii="Arial" w:hAnsi="Arial" w:cs="Arial"/>
          <w:sz w:val="24"/>
          <w:szCs w:val="24"/>
        </w:rPr>
        <w:tab/>
      </w:r>
      <w:r w:rsidR="005A7AB7" w:rsidRPr="00FB6FCC">
        <w:rPr>
          <w:rFonts w:ascii="Arial" w:hAnsi="Arial" w:cs="Arial"/>
          <w:sz w:val="24"/>
          <w:szCs w:val="24"/>
        </w:rPr>
        <w:t>The enforcement of a settlement agreement made by court</w:t>
      </w:r>
      <w:r w:rsidR="00193458" w:rsidRPr="00FB6FCC">
        <w:rPr>
          <w:rFonts w:ascii="Arial" w:hAnsi="Arial" w:cs="Arial"/>
          <w:sz w:val="24"/>
          <w:szCs w:val="24"/>
        </w:rPr>
        <w:t xml:space="preserve"> order</w:t>
      </w:r>
      <w:r w:rsidR="005A7AB7" w:rsidRPr="00FB6FCC">
        <w:rPr>
          <w:rFonts w:ascii="Arial" w:hAnsi="Arial" w:cs="Arial"/>
          <w:sz w:val="24"/>
          <w:szCs w:val="24"/>
        </w:rPr>
        <w:t xml:space="preserve"> is done </w:t>
      </w:r>
      <w:r w:rsidR="00193458" w:rsidRPr="00FB6FCC">
        <w:rPr>
          <w:rFonts w:ascii="Arial" w:hAnsi="Arial" w:cs="Arial"/>
          <w:sz w:val="24"/>
          <w:szCs w:val="24"/>
        </w:rPr>
        <w:t>through</w:t>
      </w:r>
      <w:r w:rsidR="005A7AB7" w:rsidRPr="00FB6FCC">
        <w:rPr>
          <w:rFonts w:ascii="Arial" w:hAnsi="Arial" w:cs="Arial"/>
          <w:sz w:val="24"/>
          <w:szCs w:val="24"/>
        </w:rPr>
        <w:t xml:space="preserve"> execution proceedings </w:t>
      </w:r>
      <w:r w:rsidR="00556888" w:rsidRPr="00FB6FCC">
        <w:rPr>
          <w:rFonts w:ascii="Arial" w:hAnsi="Arial" w:cs="Arial"/>
          <w:sz w:val="24"/>
          <w:szCs w:val="24"/>
        </w:rPr>
        <w:t xml:space="preserve">via </w:t>
      </w:r>
      <w:r w:rsidR="005A7AB7" w:rsidRPr="00FB6FCC">
        <w:rPr>
          <w:rFonts w:ascii="Arial" w:hAnsi="Arial" w:cs="Arial"/>
          <w:sz w:val="24"/>
          <w:szCs w:val="24"/>
        </w:rPr>
        <w:t xml:space="preserve">the office of the Deputy Sherriff and not by way of an interlocutory application. </w:t>
      </w:r>
    </w:p>
    <w:p w14:paraId="479757F1" w14:textId="77777777" w:rsidR="000E05F5" w:rsidRPr="004113D3" w:rsidRDefault="000E05F5" w:rsidP="005A7AB7">
      <w:pPr>
        <w:pStyle w:val="Heading1"/>
      </w:pPr>
    </w:p>
    <w:p w14:paraId="141580DC" w14:textId="77777777" w:rsidR="003E45FC" w:rsidRPr="004113D3" w:rsidRDefault="005A7AB7" w:rsidP="005A7AB7">
      <w:pPr>
        <w:pStyle w:val="Heading1"/>
      </w:pPr>
      <w:r w:rsidRPr="004113D3">
        <w:t>Replying papers</w:t>
      </w:r>
    </w:p>
    <w:p w14:paraId="17FD3644" w14:textId="77777777" w:rsidR="000E05F5" w:rsidRPr="004113D3" w:rsidRDefault="000E05F5" w:rsidP="000E05F5"/>
    <w:p w14:paraId="681786F9" w14:textId="7A70686D" w:rsidR="005A7AB7" w:rsidRPr="00FB6FCC" w:rsidRDefault="00FB6FCC" w:rsidP="00FB6FCC">
      <w:pPr>
        <w:rPr>
          <w:rFonts w:ascii="Arial" w:hAnsi="Arial" w:cs="Arial"/>
          <w:sz w:val="24"/>
          <w:szCs w:val="24"/>
        </w:rPr>
      </w:pPr>
      <w:r w:rsidRPr="004113D3">
        <w:rPr>
          <w:rFonts w:ascii="Arial" w:hAnsi="Arial" w:cs="Arial"/>
          <w:sz w:val="24"/>
          <w:szCs w:val="24"/>
        </w:rPr>
        <w:t>[7]</w:t>
      </w:r>
      <w:r w:rsidRPr="004113D3">
        <w:rPr>
          <w:rFonts w:ascii="Arial" w:hAnsi="Arial" w:cs="Arial"/>
          <w:sz w:val="24"/>
          <w:szCs w:val="24"/>
        </w:rPr>
        <w:tab/>
      </w:r>
      <w:r w:rsidR="00256B1E" w:rsidRPr="00FB6FCC">
        <w:rPr>
          <w:rFonts w:ascii="Arial" w:hAnsi="Arial" w:cs="Arial"/>
          <w:sz w:val="24"/>
          <w:szCs w:val="24"/>
        </w:rPr>
        <w:t>Having considered the defendants’ answering papers</w:t>
      </w:r>
      <w:r w:rsidR="0052037F" w:rsidRPr="00FB6FCC">
        <w:rPr>
          <w:rFonts w:ascii="Arial" w:hAnsi="Arial" w:cs="Arial"/>
          <w:sz w:val="24"/>
          <w:szCs w:val="24"/>
        </w:rPr>
        <w:t>,</w:t>
      </w:r>
      <w:r w:rsidR="00256B1E" w:rsidRPr="00FB6FCC">
        <w:rPr>
          <w:rFonts w:ascii="Arial" w:hAnsi="Arial" w:cs="Arial"/>
          <w:sz w:val="24"/>
          <w:szCs w:val="24"/>
        </w:rPr>
        <w:t xml:space="preserve"> the plaintiffs replied as follows:</w:t>
      </w:r>
    </w:p>
    <w:p w14:paraId="69A1E81B" w14:textId="5DB64093" w:rsidR="00256B1E" w:rsidRPr="00FB6FCC" w:rsidRDefault="00FB6FCC" w:rsidP="00FB6FCC">
      <w:pPr>
        <w:rPr>
          <w:rFonts w:ascii="Arial" w:hAnsi="Arial" w:cs="Arial"/>
          <w:sz w:val="24"/>
          <w:szCs w:val="24"/>
        </w:rPr>
      </w:pPr>
      <w:r w:rsidRPr="004113D3">
        <w:rPr>
          <w:rFonts w:ascii="Arial" w:hAnsi="Arial" w:cs="Arial"/>
          <w:sz w:val="24"/>
          <w:szCs w:val="24"/>
        </w:rPr>
        <w:t>a)</w:t>
      </w:r>
      <w:r w:rsidRPr="004113D3">
        <w:rPr>
          <w:rFonts w:ascii="Arial" w:hAnsi="Arial" w:cs="Arial"/>
          <w:sz w:val="24"/>
          <w:szCs w:val="24"/>
        </w:rPr>
        <w:tab/>
      </w:r>
      <w:r w:rsidR="00256B1E" w:rsidRPr="00FB6FCC">
        <w:rPr>
          <w:rFonts w:ascii="Arial" w:hAnsi="Arial" w:cs="Arial"/>
          <w:sz w:val="24"/>
          <w:szCs w:val="24"/>
        </w:rPr>
        <w:t xml:space="preserve">The second defendant is the biological mother of </w:t>
      </w:r>
      <w:proofErr w:type="spellStart"/>
      <w:r w:rsidR="00256B1E" w:rsidRPr="00FB6FCC">
        <w:rPr>
          <w:rFonts w:ascii="Arial" w:hAnsi="Arial" w:cs="Arial"/>
          <w:sz w:val="24"/>
          <w:szCs w:val="24"/>
        </w:rPr>
        <w:t>Ms</w:t>
      </w:r>
      <w:proofErr w:type="spellEnd"/>
      <w:r w:rsidR="00256B1E" w:rsidRPr="00FB6FCC">
        <w:rPr>
          <w:rFonts w:ascii="Arial" w:hAnsi="Arial" w:cs="Arial"/>
          <w:sz w:val="24"/>
          <w:szCs w:val="24"/>
        </w:rPr>
        <w:t xml:space="preserve"> </w:t>
      </w:r>
      <w:proofErr w:type="spellStart"/>
      <w:r w:rsidR="00256B1E" w:rsidRPr="00FB6FCC">
        <w:rPr>
          <w:rFonts w:ascii="Arial" w:hAnsi="Arial" w:cs="Arial"/>
          <w:sz w:val="24"/>
          <w:szCs w:val="24"/>
        </w:rPr>
        <w:t>Gaoses</w:t>
      </w:r>
      <w:proofErr w:type="spellEnd"/>
      <w:r w:rsidR="00256B1E" w:rsidRPr="00FB6FCC">
        <w:rPr>
          <w:rFonts w:ascii="Arial" w:hAnsi="Arial" w:cs="Arial"/>
          <w:sz w:val="24"/>
          <w:szCs w:val="24"/>
        </w:rPr>
        <w:t xml:space="preserve">, the third </w:t>
      </w:r>
      <w:r w:rsidR="0052037F" w:rsidRPr="00FB6FCC">
        <w:rPr>
          <w:rFonts w:ascii="Arial" w:hAnsi="Arial" w:cs="Arial"/>
          <w:sz w:val="24"/>
          <w:szCs w:val="24"/>
        </w:rPr>
        <w:t>plaintiff and, therefore</w:t>
      </w:r>
      <w:r w:rsidR="00193458" w:rsidRPr="00FB6FCC">
        <w:rPr>
          <w:rFonts w:ascii="Arial" w:hAnsi="Arial" w:cs="Arial"/>
          <w:sz w:val="24"/>
          <w:szCs w:val="24"/>
        </w:rPr>
        <w:t>,</w:t>
      </w:r>
      <w:r w:rsidR="0052037F" w:rsidRPr="00FB6FCC">
        <w:rPr>
          <w:rFonts w:ascii="Arial" w:hAnsi="Arial" w:cs="Arial"/>
          <w:sz w:val="24"/>
          <w:szCs w:val="24"/>
        </w:rPr>
        <w:t xml:space="preserve"> the mother-in-law of the second plaintiff</w:t>
      </w:r>
      <w:r w:rsidR="00256B1E" w:rsidRPr="00FB6FCC">
        <w:rPr>
          <w:rFonts w:ascii="Arial" w:hAnsi="Arial" w:cs="Arial"/>
          <w:sz w:val="24"/>
          <w:szCs w:val="24"/>
        </w:rPr>
        <w:t xml:space="preserve">. The </w:t>
      </w:r>
      <w:r w:rsidR="0052037F" w:rsidRPr="00FB6FCC">
        <w:rPr>
          <w:rFonts w:ascii="Arial" w:hAnsi="Arial" w:cs="Arial"/>
          <w:sz w:val="24"/>
          <w:szCs w:val="24"/>
        </w:rPr>
        <w:t xml:space="preserve">second defendant was married to the </w:t>
      </w:r>
      <w:r w:rsidR="00B378E2" w:rsidRPr="00FB6FCC">
        <w:rPr>
          <w:rFonts w:ascii="Arial" w:hAnsi="Arial" w:cs="Arial"/>
          <w:sz w:val="24"/>
          <w:szCs w:val="24"/>
        </w:rPr>
        <w:t xml:space="preserve">late </w:t>
      </w:r>
      <w:r w:rsidR="00556888" w:rsidRPr="00FB6FCC">
        <w:rPr>
          <w:rFonts w:ascii="Arial" w:hAnsi="Arial" w:cs="Arial"/>
          <w:sz w:val="24"/>
          <w:szCs w:val="24"/>
        </w:rPr>
        <w:t xml:space="preserve">father of </w:t>
      </w:r>
      <w:proofErr w:type="spellStart"/>
      <w:r w:rsidR="00556888" w:rsidRPr="00FB6FCC">
        <w:rPr>
          <w:rFonts w:ascii="Arial" w:hAnsi="Arial" w:cs="Arial"/>
          <w:sz w:val="24"/>
          <w:szCs w:val="24"/>
        </w:rPr>
        <w:t>Ms</w:t>
      </w:r>
      <w:proofErr w:type="spellEnd"/>
      <w:r w:rsidR="00556888" w:rsidRPr="00FB6FCC">
        <w:rPr>
          <w:rFonts w:ascii="Arial" w:hAnsi="Arial" w:cs="Arial"/>
          <w:sz w:val="24"/>
          <w:szCs w:val="24"/>
        </w:rPr>
        <w:t xml:space="preserve"> </w:t>
      </w:r>
      <w:proofErr w:type="spellStart"/>
      <w:r w:rsidR="00556888" w:rsidRPr="00FB6FCC">
        <w:rPr>
          <w:rFonts w:ascii="Arial" w:hAnsi="Arial" w:cs="Arial"/>
          <w:sz w:val="24"/>
          <w:szCs w:val="24"/>
        </w:rPr>
        <w:t>Gao</w:t>
      </w:r>
      <w:r w:rsidR="0052037F" w:rsidRPr="00FB6FCC">
        <w:rPr>
          <w:rFonts w:ascii="Arial" w:hAnsi="Arial" w:cs="Arial"/>
          <w:sz w:val="24"/>
          <w:szCs w:val="24"/>
        </w:rPr>
        <w:t>ses</w:t>
      </w:r>
      <w:proofErr w:type="spellEnd"/>
      <w:r w:rsidR="0052037F" w:rsidRPr="00FB6FCC">
        <w:rPr>
          <w:rFonts w:ascii="Arial" w:hAnsi="Arial" w:cs="Arial"/>
          <w:sz w:val="24"/>
          <w:szCs w:val="24"/>
        </w:rPr>
        <w:t xml:space="preserve">, who was the first </w:t>
      </w:r>
      <w:r w:rsidR="00193458" w:rsidRPr="00FB6FCC">
        <w:rPr>
          <w:rFonts w:ascii="Arial" w:hAnsi="Arial" w:cs="Arial"/>
          <w:sz w:val="24"/>
          <w:szCs w:val="24"/>
        </w:rPr>
        <w:t>Permission to Occupy (</w:t>
      </w:r>
      <w:r w:rsidR="0052037F" w:rsidRPr="00FB6FCC">
        <w:rPr>
          <w:rFonts w:ascii="Arial" w:hAnsi="Arial" w:cs="Arial"/>
          <w:sz w:val="24"/>
          <w:szCs w:val="24"/>
        </w:rPr>
        <w:t>PTO</w:t>
      </w:r>
      <w:r w:rsidR="00193458" w:rsidRPr="00FB6FCC">
        <w:rPr>
          <w:rFonts w:ascii="Arial" w:hAnsi="Arial" w:cs="Arial"/>
          <w:sz w:val="24"/>
          <w:szCs w:val="24"/>
        </w:rPr>
        <w:t>)</w:t>
      </w:r>
      <w:r w:rsidR="0052037F" w:rsidRPr="00FB6FCC">
        <w:rPr>
          <w:rFonts w:ascii="Arial" w:hAnsi="Arial" w:cs="Arial"/>
          <w:sz w:val="24"/>
          <w:szCs w:val="24"/>
        </w:rPr>
        <w:t xml:space="preserve"> </w:t>
      </w:r>
      <w:r w:rsidR="00B378E2" w:rsidRPr="00FB6FCC">
        <w:rPr>
          <w:rFonts w:ascii="Arial" w:hAnsi="Arial" w:cs="Arial"/>
          <w:sz w:val="24"/>
          <w:szCs w:val="24"/>
        </w:rPr>
        <w:t>holder</w:t>
      </w:r>
      <w:r w:rsidR="0052037F" w:rsidRPr="00FB6FCC">
        <w:rPr>
          <w:rFonts w:ascii="Arial" w:hAnsi="Arial" w:cs="Arial"/>
          <w:sz w:val="24"/>
          <w:szCs w:val="24"/>
        </w:rPr>
        <w:t xml:space="preserve"> of the property in question.</w:t>
      </w:r>
      <w:r w:rsidR="00556888" w:rsidRPr="00FB6FCC">
        <w:rPr>
          <w:rFonts w:ascii="Arial" w:hAnsi="Arial" w:cs="Arial"/>
          <w:sz w:val="24"/>
          <w:szCs w:val="24"/>
        </w:rPr>
        <w:t xml:space="preserve"> The first defendant and </w:t>
      </w:r>
      <w:proofErr w:type="spellStart"/>
      <w:r w:rsidR="00556888" w:rsidRPr="00FB6FCC">
        <w:rPr>
          <w:rFonts w:ascii="Arial" w:hAnsi="Arial" w:cs="Arial"/>
          <w:sz w:val="24"/>
          <w:szCs w:val="24"/>
        </w:rPr>
        <w:t>Ms</w:t>
      </w:r>
      <w:proofErr w:type="spellEnd"/>
      <w:r w:rsidR="00556888" w:rsidRPr="00FB6FCC">
        <w:rPr>
          <w:rFonts w:ascii="Arial" w:hAnsi="Arial" w:cs="Arial"/>
          <w:sz w:val="24"/>
          <w:szCs w:val="24"/>
        </w:rPr>
        <w:t xml:space="preserve"> </w:t>
      </w:r>
      <w:proofErr w:type="spellStart"/>
      <w:r w:rsidR="00556888" w:rsidRPr="00FB6FCC">
        <w:rPr>
          <w:rFonts w:ascii="Arial" w:hAnsi="Arial" w:cs="Arial"/>
          <w:sz w:val="24"/>
          <w:szCs w:val="24"/>
        </w:rPr>
        <w:t>Gao</w:t>
      </w:r>
      <w:r w:rsidR="00B378E2" w:rsidRPr="00FB6FCC">
        <w:rPr>
          <w:rFonts w:ascii="Arial" w:hAnsi="Arial" w:cs="Arial"/>
          <w:sz w:val="24"/>
          <w:szCs w:val="24"/>
        </w:rPr>
        <w:t>ses</w:t>
      </w:r>
      <w:proofErr w:type="spellEnd"/>
      <w:r w:rsidR="00B378E2" w:rsidRPr="00FB6FCC">
        <w:rPr>
          <w:rFonts w:ascii="Arial" w:hAnsi="Arial" w:cs="Arial"/>
          <w:sz w:val="24"/>
          <w:szCs w:val="24"/>
        </w:rPr>
        <w:t>’ father were brothers.</w:t>
      </w:r>
    </w:p>
    <w:p w14:paraId="035231FF" w14:textId="5B837DDB" w:rsidR="001F2E7D" w:rsidRPr="00FB6FCC" w:rsidRDefault="00FB6FCC" w:rsidP="00FB6FCC">
      <w:pPr>
        <w:rPr>
          <w:rFonts w:ascii="Arial" w:hAnsi="Arial" w:cs="Arial"/>
          <w:sz w:val="24"/>
          <w:szCs w:val="24"/>
        </w:rPr>
      </w:pPr>
      <w:r w:rsidRPr="004113D3">
        <w:rPr>
          <w:rFonts w:ascii="Arial" w:hAnsi="Arial" w:cs="Arial"/>
          <w:sz w:val="24"/>
          <w:szCs w:val="24"/>
        </w:rPr>
        <w:lastRenderedPageBreak/>
        <w:t>b)</w:t>
      </w:r>
      <w:r w:rsidRPr="004113D3">
        <w:rPr>
          <w:rFonts w:ascii="Arial" w:hAnsi="Arial" w:cs="Arial"/>
          <w:sz w:val="24"/>
          <w:szCs w:val="24"/>
        </w:rPr>
        <w:tab/>
      </w:r>
      <w:r w:rsidR="00F91DCD" w:rsidRPr="00FB6FCC">
        <w:rPr>
          <w:rFonts w:ascii="Arial" w:hAnsi="Arial" w:cs="Arial"/>
          <w:sz w:val="24"/>
          <w:szCs w:val="24"/>
        </w:rPr>
        <w:t>In further amplification</w:t>
      </w:r>
      <w:r w:rsidR="00391C11" w:rsidRPr="00FB6FCC">
        <w:rPr>
          <w:rFonts w:ascii="Arial" w:hAnsi="Arial" w:cs="Arial"/>
          <w:sz w:val="24"/>
          <w:szCs w:val="24"/>
        </w:rPr>
        <w:t>,</w:t>
      </w:r>
      <w:r w:rsidR="00556888" w:rsidRPr="00FB6FCC">
        <w:rPr>
          <w:rFonts w:ascii="Arial" w:hAnsi="Arial" w:cs="Arial"/>
          <w:sz w:val="24"/>
          <w:szCs w:val="24"/>
        </w:rPr>
        <w:t xml:space="preserve"> </w:t>
      </w:r>
      <w:proofErr w:type="spellStart"/>
      <w:r w:rsidR="00556888" w:rsidRPr="00FB6FCC">
        <w:rPr>
          <w:rFonts w:ascii="Arial" w:hAnsi="Arial" w:cs="Arial"/>
          <w:sz w:val="24"/>
          <w:szCs w:val="24"/>
        </w:rPr>
        <w:t>Mr</w:t>
      </w:r>
      <w:proofErr w:type="spellEnd"/>
      <w:r w:rsidR="00556888" w:rsidRPr="00FB6FCC">
        <w:rPr>
          <w:rFonts w:ascii="Arial" w:hAnsi="Arial" w:cs="Arial"/>
          <w:sz w:val="24"/>
          <w:szCs w:val="24"/>
        </w:rPr>
        <w:t xml:space="preserve"> </w:t>
      </w:r>
      <w:proofErr w:type="spellStart"/>
      <w:r w:rsidR="00556888" w:rsidRPr="00FB6FCC">
        <w:rPr>
          <w:rFonts w:ascii="Arial" w:hAnsi="Arial" w:cs="Arial"/>
          <w:sz w:val="24"/>
          <w:szCs w:val="24"/>
        </w:rPr>
        <w:t>Gao</w:t>
      </w:r>
      <w:r w:rsidR="00F91DCD" w:rsidRPr="00FB6FCC">
        <w:rPr>
          <w:rFonts w:ascii="Arial" w:hAnsi="Arial" w:cs="Arial"/>
          <w:sz w:val="24"/>
          <w:szCs w:val="24"/>
        </w:rPr>
        <w:t>seb</w:t>
      </w:r>
      <w:proofErr w:type="spellEnd"/>
      <w:r w:rsidR="00F91DCD" w:rsidRPr="00FB6FCC">
        <w:rPr>
          <w:rFonts w:ascii="Arial" w:hAnsi="Arial" w:cs="Arial"/>
          <w:sz w:val="24"/>
          <w:szCs w:val="24"/>
        </w:rPr>
        <w:t xml:space="preserve"> set out the background that gave rise</w:t>
      </w:r>
      <w:r w:rsidR="00391C11" w:rsidRPr="00FB6FCC">
        <w:rPr>
          <w:rFonts w:ascii="Arial" w:hAnsi="Arial" w:cs="Arial"/>
          <w:sz w:val="24"/>
          <w:szCs w:val="24"/>
        </w:rPr>
        <w:t xml:space="preserve"> </w:t>
      </w:r>
      <w:r w:rsidR="00F91DCD" w:rsidRPr="00FB6FCC">
        <w:rPr>
          <w:rFonts w:ascii="Arial" w:hAnsi="Arial" w:cs="Arial"/>
          <w:sz w:val="24"/>
          <w:szCs w:val="24"/>
        </w:rPr>
        <w:t xml:space="preserve">to the initial agreement between the parties that ultimately gave rise to the institution of the action, in that </w:t>
      </w:r>
      <w:r w:rsidR="00556888" w:rsidRPr="00FB6FCC">
        <w:rPr>
          <w:rFonts w:ascii="Arial" w:hAnsi="Arial" w:cs="Arial"/>
          <w:sz w:val="24"/>
          <w:szCs w:val="24"/>
        </w:rPr>
        <w:t xml:space="preserve">the </w:t>
      </w:r>
      <w:proofErr w:type="spellStart"/>
      <w:r w:rsidR="00556888" w:rsidRPr="00FB6FCC">
        <w:rPr>
          <w:rFonts w:ascii="Arial" w:hAnsi="Arial" w:cs="Arial"/>
          <w:sz w:val="24"/>
          <w:szCs w:val="24"/>
        </w:rPr>
        <w:t>Muroruas</w:t>
      </w:r>
      <w:proofErr w:type="spellEnd"/>
      <w:r w:rsidR="00556888" w:rsidRPr="00FB6FCC">
        <w:rPr>
          <w:rFonts w:ascii="Arial" w:hAnsi="Arial" w:cs="Arial"/>
          <w:sz w:val="24"/>
          <w:szCs w:val="24"/>
        </w:rPr>
        <w:t xml:space="preserve"> requested the </w:t>
      </w:r>
      <w:proofErr w:type="spellStart"/>
      <w:r w:rsidR="00556888" w:rsidRPr="00FB6FCC">
        <w:rPr>
          <w:rFonts w:ascii="Arial" w:hAnsi="Arial" w:cs="Arial"/>
          <w:sz w:val="24"/>
          <w:szCs w:val="24"/>
        </w:rPr>
        <w:t>Gao</w:t>
      </w:r>
      <w:r w:rsidR="000E05F5" w:rsidRPr="00FB6FCC">
        <w:rPr>
          <w:rFonts w:ascii="Arial" w:hAnsi="Arial" w:cs="Arial"/>
          <w:sz w:val="24"/>
          <w:szCs w:val="24"/>
        </w:rPr>
        <w:t>sebs</w:t>
      </w:r>
      <w:proofErr w:type="spellEnd"/>
      <w:r w:rsidR="000E05F5" w:rsidRPr="00FB6FCC">
        <w:rPr>
          <w:rFonts w:ascii="Arial" w:hAnsi="Arial" w:cs="Arial"/>
          <w:sz w:val="24"/>
          <w:szCs w:val="24"/>
        </w:rPr>
        <w:t xml:space="preserve"> to pay for the purchase price of the property when it was set to be sold by the Khorixas Town Council</w:t>
      </w:r>
      <w:r w:rsidR="00B378E2" w:rsidRPr="00FB6FCC">
        <w:rPr>
          <w:rFonts w:ascii="Arial" w:hAnsi="Arial" w:cs="Arial"/>
          <w:sz w:val="24"/>
          <w:szCs w:val="24"/>
        </w:rPr>
        <w:t xml:space="preserve"> as they were unable to do so</w:t>
      </w:r>
      <w:r w:rsidR="000E05F5" w:rsidRPr="00FB6FCC">
        <w:rPr>
          <w:rFonts w:ascii="Arial" w:hAnsi="Arial" w:cs="Arial"/>
          <w:sz w:val="24"/>
          <w:szCs w:val="24"/>
        </w:rPr>
        <w:t xml:space="preserve">. The understanding was that the property would be </w:t>
      </w:r>
      <w:r w:rsidR="00391C11" w:rsidRPr="00FB6FCC">
        <w:rPr>
          <w:rFonts w:ascii="Arial" w:hAnsi="Arial" w:cs="Arial"/>
          <w:sz w:val="24"/>
          <w:szCs w:val="24"/>
        </w:rPr>
        <w:t>subdivided</w:t>
      </w:r>
      <w:r w:rsidR="00587E2F" w:rsidRPr="00FB6FCC">
        <w:rPr>
          <w:rFonts w:ascii="Arial" w:hAnsi="Arial" w:cs="Arial"/>
          <w:sz w:val="24"/>
          <w:szCs w:val="24"/>
        </w:rPr>
        <w:t>,</w:t>
      </w:r>
      <w:r w:rsidR="000E05F5" w:rsidRPr="00FB6FCC">
        <w:rPr>
          <w:rFonts w:ascii="Arial" w:hAnsi="Arial" w:cs="Arial"/>
          <w:sz w:val="24"/>
          <w:szCs w:val="24"/>
        </w:rPr>
        <w:t xml:space="preserve"> and the subdivided portion</w:t>
      </w:r>
      <w:r w:rsidR="00556888" w:rsidRPr="00FB6FCC">
        <w:rPr>
          <w:rFonts w:ascii="Arial" w:hAnsi="Arial" w:cs="Arial"/>
          <w:sz w:val="24"/>
          <w:szCs w:val="24"/>
        </w:rPr>
        <w:t xml:space="preserve"> would be transferred to the </w:t>
      </w:r>
      <w:proofErr w:type="spellStart"/>
      <w:r w:rsidR="00556888" w:rsidRPr="00FB6FCC">
        <w:rPr>
          <w:rFonts w:ascii="Arial" w:hAnsi="Arial" w:cs="Arial"/>
          <w:sz w:val="24"/>
          <w:szCs w:val="24"/>
        </w:rPr>
        <w:t>Gao</w:t>
      </w:r>
      <w:r w:rsidR="000E05F5" w:rsidRPr="00FB6FCC">
        <w:rPr>
          <w:rFonts w:ascii="Arial" w:hAnsi="Arial" w:cs="Arial"/>
          <w:sz w:val="24"/>
          <w:szCs w:val="24"/>
        </w:rPr>
        <w:t>sebs</w:t>
      </w:r>
      <w:proofErr w:type="spellEnd"/>
      <w:r w:rsidR="000E05F5" w:rsidRPr="00FB6FCC">
        <w:rPr>
          <w:rFonts w:ascii="Arial" w:hAnsi="Arial" w:cs="Arial"/>
          <w:sz w:val="24"/>
          <w:szCs w:val="24"/>
        </w:rPr>
        <w:t>.</w:t>
      </w:r>
      <w:r w:rsidR="00391C11" w:rsidRPr="00FB6FCC">
        <w:rPr>
          <w:rFonts w:ascii="Arial" w:hAnsi="Arial" w:cs="Arial"/>
          <w:sz w:val="24"/>
          <w:szCs w:val="24"/>
        </w:rPr>
        <w:t xml:space="preserve"> </w:t>
      </w:r>
      <w:r w:rsidR="001F2E7D" w:rsidRPr="00FB6FCC">
        <w:rPr>
          <w:rFonts w:ascii="Arial" w:hAnsi="Arial" w:cs="Arial"/>
          <w:sz w:val="24"/>
          <w:szCs w:val="24"/>
        </w:rPr>
        <w:t xml:space="preserve">The </w:t>
      </w:r>
      <w:proofErr w:type="spellStart"/>
      <w:r w:rsidR="001F2E7D" w:rsidRPr="00FB6FCC">
        <w:rPr>
          <w:rFonts w:ascii="Arial" w:hAnsi="Arial" w:cs="Arial"/>
          <w:sz w:val="24"/>
          <w:szCs w:val="24"/>
        </w:rPr>
        <w:t>Goasebs</w:t>
      </w:r>
      <w:proofErr w:type="spellEnd"/>
      <w:r w:rsidR="001F2E7D" w:rsidRPr="00FB6FCC">
        <w:rPr>
          <w:rFonts w:ascii="Arial" w:hAnsi="Arial" w:cs="Arial"/>
          <w:sz w:val="24"/>
          <w:szCs w:val="24"/>
        </w:rPr>
        <w:t xml:space="preserve"> paid the purchase price, and in correspondence dated 16 November 2021, the </w:t>
      </w:r>
      <w:proofErr w:type="spellStart"/>
      <w:r w:rsidR="001F2E7D" w:rsidRPr="00FB6FCC">
        <w:rPr>
          <w:rFonts w:ascii="Arial" w:hAnsi="Arial" w:cs="Arial"/>
          <w:sz w:val="24"/>
          <w:szCs w:val="24"/>
        </w:rPr>
        <w:t>Muroruas</w:t>
      </w:r>
      <w:proofErr w:type="spellEnd"/>
      <w:r w:rsidR="001F2E7D" w:rsidRPr="00FB6FCC">
        <w:rPr>
          <w:rFonts w:ascii="Arial" w:hAnsi="Arial" w:cs="Arial"/>
          <w:sz w:val="24"/>
          <w:szCs w:val="24"/>
        </w:rPr>
        <w:t xml:space="preserve"> confirmed that they were fine with signing off the subdivision document.</w:t>
      </w:r>
    </w:p>
    <w:p w14:paraId="0354C37B" w14:textId="69189C25" w:rsidR="001D2366" w:rsidRPr="00FB6FCC" w:rsidRDefault="00FB6FCC" w:rsidP="00FB6FCC">
      <w:pPr>
        <w:rPr>
          <w:rFonts w:ascii="Arial" w:hAnsi="Arial" w:cs="Arial"/>
          <w:sz w:val="24"/>
          <w:szCs w:val="24"/>
        </w:rPr>
      </w:pPr>
      <w:r w:rsidRPr="004113D3">
        <w:rPr>
          <w:rFonts w:ascii="Arial" w:hAnsi="Arial" w:cs="Arial"/>
          <w:sz w:val="24"/>
          <w:szCs w:val="24"/>
        </w:rPr>
        <w:t>c)</w:t>
      </w:r>
      <w:r w:rsidRPr="004113D3">
        <w:rPr>
          <w:rFonts w:ascii="Arial" w:hAnsi="Arial" w:cs="Arial"/>
          <w:sz w:val="24"/>
          <w:szCs w:val="24"/>
        </w:rPr>
        <w:tab/>
      </w:r>
      <w:proofErr w:type="spellStart"/>
      <w:r w:rsidR="00556888" w:rsidRPr="00FB6FCC">
        <w:rPr>
          <w:rFonts w:ascii="Arial" w:hAnsi="Arial" w:cs="Arial"/>
          <w:sz w:val="24"/>
          <w:szCs w:val="24"/>
        </w:rPr>
        <w:t>Mr</w:t>
      </w:r>
      <w:proofErr w:type="spellEnd"/>
      <w:r w:rsidR="00556888" w:rsidRPr="00FB6FCC">
        <w:rPr>
          <w:rFonts w:ascii="Arial" w:hAnsi="Arial" w:cs="Arial"/>
          <w:sz w:val="24"/>
          <w:szCs w:val="24"/>
        </w:rPr>
        <w:t xml:space="preserve"> </w:t>
      </w:r>
      <w:proofErr w:type="spellStart"/>
      <w:r w:rsidR="00556888" w:rsidRPr="00FB6FCC">
        <w:rPr>
          <w:rFonts w:ascii="Arial" w:hAnsi="Arial" w:cs="Arial"/>
          <w:sz w:val="24"/>
          <w:szCs w:val="24"/>
        </w:rPr>
        <w:t>G</w:t>
      </w:r>
      <w:r w:rsidR="00123B66" w:rsidRPr="00FB6FCC">
        <w:rPr>
          <w:rFonts w:ascii="Arial" w:hAnsi="Arial" w:cs="Arial"/>
          <w:sz w:val="24"/>
          <w:szCs w:val="24"/>
        </w:rPr>
        <w:t>a</w:t>
      </w:r>
      <w:r w:rsidR="00556888" w:rsidRPr="00FB6FCC">
        <w:rPr>
          <w:rFonts w:ascii="Arial" w:hAnsi="Arial" w:cs="Arial"/>
          <w:sz w:val="24"/>
          <w:szCs w:val="24"/>
        </w:rPr>
        <w:t>o</w:t>
      </w:r>
      <w:r w:rsidR="00123B66" w:rsidRPr="00FB6FCC">
        <w:rPr>
          <w:rFonts w:ascii="Arial" w:hAnsi="Arial" w:cs="Arial"/>
          <w:sz w:val="24"/>
          <w:szCs w:val="24"/>
        </w:rPr>
        <w:t>seb</w:t>
      </w:r>
      <w:proofErr w:type="spellEnd"/>
      <w:r w:rsidR="00123B66" w:rsidRPr="00FB6FCC">
        <w:rPr>
          <w:rFonts w:ascii="Arial" w:hAnsi="Arial" w:cs="Arial"/>
          <w:sz w:val="24"/>
          <w:szCs w:val="24"/>
        </w:rPr>
        <w:t xml:space="preserve"> further submitted that t</w:t>
      </w:r>
      <w:r w:rsidR="001D2366" w:rsidRPr="00FB6FCC">
        <w:rPr>
          <w:rFonts w:ascii="Arial" w:hAnsi="Arial" w:cs="Arial"/>
          <w:sz w:val="24"/>
          <w:szCs w:val="24"/>
        </w:rPr>
        <w:t>he relief sought relates to a settlement agreement that has been declared binding and valid between the parties</w:t>
      </w:r>
      <w:r w:rsidR="00193458" w:rsidRPr="00FB6FCC">
        <w:rPr>
          <w:rFonts w:ascii="Arial" w:hAnsi="Arial" w:cs="Arial"/>
          <w:sz w:val="24"/>
          <w:szCs w:val="24"/>
        </w:rPr>
        <w:t>. It</w:t>
      </w:r>
      <w:r w:rsidR="001D2366" w:rsidRPr="00FB6FCC">
        <w:rPr>
          <w:rFonts w:ascii="Arial" w:hAnsi="Arial" w:cs="Arial"/>
          <w:sz w:val="24"/>
          <w:szCs w:val="24"/>
        </w:rPr>
        <w:t xml:space="preserve"> is clear from the defendants’ papers that they accept that the agreement reached during mediation is binding and valid but fail to </w:t>
      </w:r>
      <w:r w:rsidR="00193458" w:rsidRPr="00FB6FCC">
        <w:rPr>
          <w:rFonts w:ascii="Arial" w:hAnsi="Arial" w:cs="Arial"/>
          <w:sz w:val="24"/>
          <w:szCs w:val="24"/>
        </w:rPr>
        <w:t>establish</w:t>
      </w:r>
      <w:r w:rsidR="001D2366" w:rsidRPr="00FB6FCC">
        <w:rPr>
          <w:rFonts w:ascii="Arial" w:hAnsi="Arial" w:cs="Arial"/>
          <w:sz w:val="24"/>
          <w:szCs w:val="24"/>
        </w:rPr>
        <w:t xml:space="preserve"> facts upon which they will be entitled to refuse compliance with said agreement. </w:t>
      </w:r>
    </w:p>
    <w:p w14:paraId="65DBEFDE" w14:textId="3D0B5A61" w:rsidR="001D2366" w:rsidRPr="00FB6FCC" w:rsidRDefault="00FB6FCC" w:rsidP="00FB6FCC">
      <w:pPr>
        <w:rPr>
          <w:rFonts w:ascii="Arial" w:hAnsi="Arial" w:cs="Arial"/>
          <w:sz w:val="24"/>
          <w:szCs w:val="24"/>
        </w:rPr>
      </w:pPr>
      <w:r w:rsidRPr="004113D3">
        <w:rPr>
          <w:rFonts w:ascii="Arial" w:hAnsi="Arial" w:cs="Arial"/>
          <w:sz w:val="24"/>
          <w:szCs w:val="24"/>
        </w:rPr>
        <w:t>d)</w:t>
      </w:r>
      <w:r w:rsidRPr="004113D3">
        <w:rPr>
          <w:rFonts w:ascii="Arial" w:hAnsi="Arial" w:cs="Arial"/>
          <w:sz w:val="24"/>
          <w:szCs w:val="24"/>
        </w:rPr>
        <w:tab/>
      </w:r>
      <w:r w:rsidR="001D2366" w:rsidRPr="00FB6FCC">
        <w:rPr>
          <w:rFonts w:ascii="Arial" w:hAnsi="Arial" w:cs="Arial"/>
          <w:sz w:val="24"/>
          <w:szCs w:val="24"/>
        </w:rPr>
        <w:t>The defendants have not taken issue with the other terms of the settlement agreement and</w:t>
      </w:r>
      <w:r w:rsidR="00193458" w:rsidRPr="00FB6FCC">
        <w:rPr>
          <w:rFonts w:ascii="Arial" w:hAnsi="Arial" w:cs="Arial"/>
          <w:sz w:val="24"/>
          <w:szCs w:val="24"/>
        </w:rPr>
        <w:t>,</w:t>
      </w:r>
      <w:r w:rsidR="001D2366" w:rsidRPr="00FB6FCC">
        <w:rPr>
          <w:rFonts w:ascii="Arial" w:hAnsi="Arial" w:cs="Arial"/>
          <w:sz w:val="24"/>
          <w:szCs w:val="24"/>
        </w:rPr>
        <w:t xml:space="preserve"> in their answering papers, admit that a deed of transfer exists between the parties but that they refuse to sign it. </w:t>
      </w:r>
    </w:p>
    <w:p w14:paraId="418E129A" w14:textId="3047B831" w:rsidR="001D2366" w:rsidRPr="00FB6FCC" w:rsidRDefault="00FB6FCC" w:rsidP="00FB6FCC">
      <w:pPr>
        <w:rPr>
          <w:rFonts w:ascii="Arial" w:hAnsi="Arial" w:cs="Arial"/>
          <w:sz w:val="24"/>
          <w:szCs w:val="24"/>
        </w:rPr>
      </w:pPr>
      <w:r w:rsidRPr="004113D3">
        <w:rPr>
          <w:rFonts w:ascii="Arial" w:hAnsi="Arial" w:cs="Arial"/>
          <w:sz w:val="24"/>
          <w:szCs w:val="24"/>
        </w:rPr>
        <w:t>e)</w:t>
      </w:r>
      <w:r w:rsidRPr="004113D3">
        <w:rPr>
          <w:rFonts w:ascii="Arial" w:hAnsi="Arial" w:cs="Arial"/>
          <w:sz w:val="24"/>
          <w:szCs w:val="24"/>
        </w:rPr>
        <w:tab/>
      </w:r>
      <w:r w:rsidR="001D2366" w:rsidRPr="00FB6FCC">
        <w:rPr>
          <w:rFonts w:ascii="Arial" w:hAnsi="Arial" w:cs="Arial"/>
          <w:sz w:val="24"/>
          <w:szCs w:val="24"/>
        </w:rPr>
        <w:t xml:space="preserve">The defendants, duly represented by a legal practitioner, accepted to settle the matter on the basis that the parties would conclude a Deed of Donation </w:t>
      </w:r>
      <w:proofErr w:type="gramStart"/>
      <w:r w:rsidR="001D2366" w:rsidRPr="00FB6FCC">
        <w:rPr>
          <w:rFonts w:ascii="Arial" w:hAnsi="Arial" w:cs="Arial"/>
          <w:sz w:val="24"/>
          <w:szCs w:val="24"/>
        </w:rPr>
        <w:t>in or</w:t>
      </w:r>
      <w:r w:rsidR="00A858E9" w:rsidRPr="00FB6FCC">
        <w:rPr>
          <w:rFonts w:ascii="Arial" w:hAnsi="Arial" w:cs="Arial"/>
          <w:sz w:val="24"/>
          <w:szCs w:val="24"/>
        </w:rPr>
        <w:t>der to</w:t>
      </w:r>
      <w:proofErr w:type="gramEnd"/>
      <w:r w:rsidR="00A858E9" w:rsidRPr="00FB6FCC">
        <w:rPr>
          <w:rFonts w:ascii="Arial" w:hAnsi="Arial" w:cs="Arial"/>
          <w:sz w:val="24"/>
          <w:szCs w:val="24"/>
        </w:rPr>
        <w:t xml:space="preserve"> give transfer to the sub</w:t>
      </w:r>
      <w:r w:rsidR="001D2366" w:rsidRPr="00FB6FCC">
        <w:rPr>
          <w:rFonts w:ascii="Arial" w:hAnsi="Arial" w:cs="Arial"/>
          <w:sz w:val="24"/>
          <w:szCs w:val="24"/>
        </w:rPr>
        <w:t xml:space="preserve">divided portion of the property subject to the plaintiffs being responsible for the transfer costs. </w:t>
      </w:r>
    </w:p>
    <w:p w14:paraId="026C72EB" w14:textId="5E860415" w:rsidR="0009777F" w:rsidRPr="00FB6FCC" w:rsidRDefault="00FB6FCC" w:rsidP="00FB6FCC">
      <w:pPr>
        <w:rPr>
          <w:rFonts w:ascii="Arial" w:hAnsi="Arial" w:cs="Arial"/>
          <w:sz w:val="24"/>
          <w:szCs w:val="24"/>
        </w:rPr>
      </w:pPr>
      <w:r w:rsidRPr="004113D3">
        <w:rPr>
          <w:rFonts w:ascii="Arial" w:hAnsi="Arial" w:cs="Arial"/>
          <w:sz w:val="24"/>
          <w:szCs w:val="24"/>
        </w:rPr>
        <w:t>f)</w:t>
      </w:r>
      <w:r w:rsidRPr="004113D3">
        <w:rPr>
          <w:rFonts w:ascii="Arial" w:hAnsi="Arial" w:cs="Arial"/>
          <w:sz w:val="24"/>
          <w:szCs w:val="24"/>
        </w:rPr>
        <w:tab/>
      </w:r>
      <w:proofErr w:type="spellStart"/>
      <w:r w:rsidR="00556888" w:rsidRPr="00FB6FCC">
        <w:rPr>
          <w:rFonts w:ascii="Arial" w:hAnsi="Arial" w:cs="Arial"/>
          <w:sz w:val="24"/>
          <w:szCs w:val="24"/>
        </w:rPr>
        <w:t>Mr</w:t>
      </w:r>
      <w:proofErr w:type="spellEnd"/>
      <w:r w:rsidR="00556888" w:rsidRPr="00FB6FCC">
        <w:rPr>
          <w:rFonts w:ascii="Arial" w:hAnsi="Arial" w:cs="Arial"/>
          <w:sz w:val="24"/>
          <w:szCs w:val="24"/>
        </w:rPr>
        <w:t xml:space="preserve"> </w:t>
      </w:r>
      <w:proofErr w:type="spellStart"/>
      <w:r w:rsidR="00556888" w:rsidRPr="00FB6FCC">
        <w:rPr>
          <w:rFonts w:ascii="Arial" w:hAnsi="Arial" w:cs="Arial"/>
          <w:sz w:val="24"/>
          <w:szCs w:val="24"/>
        </w:rPr>
        <w:t>G</w:t>
      </w:r>
      <w:r w:rsidR="0009777F" w:rsidRPr="00FB6FCC">
        <w:rPr>
          <w:rFonts w:ascii="Arial" w:hAnsi="Arial" w:cs="Arial"/>
          <w:sz w:val="24"/>
          <w:szCs w:val="24"/>
        </w:rPr>
        <w:t>a</w:t>
      </w:r>
      <w:r w:rsidR="00556888" w:rsidRPr="00FB6FCC">
        <w:rPr>
          <w:rFonts w:ascii="Arial" w:hAnsi="Arial" w:cs="Arial"/>
          <w:sz w:val="24"/>
          <w:szCs w:val="24"/>
        </w:rPr>
        <w:t>o</w:t>
      </w:r>
      <w:r w:rsidR="0009777F" w:rsidRPr="00FB6FCC">
        <w:rPr>
          <w:rFonts w:ascii="Arial" w:hAnsi="Arial" w:cs="Arial"/>
          <w:sz w:val="24"/>
          <w:szCs w:val="24"/>
        </w:rPr>
        <w:t>seb</w:t>
      </w:r>
      <w:proofErr w:type="spellEnd"/>
      <w:r w:rsidR="0009777F" w:rsidRPr="00FB6FCC">
        <w:rPr>
          <w:rFonts w:ascii="Arial" w:hAnsi="Arial" w:cs="Arial"/>
          <w:sz w:val="24"/>
          <w:szCs w:val="24"/>
        </w:rPr>
        <w:t xml:space="preserve"> again reiterated that the plaintiffs’ application is not premised on the Formalities in respect of </w:t>
      </w:r>
      <w:r w:rsidR="00556888" w:rsidRPr="00FB6FCC">
        <w:rPr>
          <w:rFonts w:ascii="Arial" w:hAnsi="Arial" w:cs="Arial"/>
          <w:sz w:val="24"/>
          <w:szCs w:val="24"/>
        </w:rPr>
        <w:t xml:space="preserve">the </w:t>
      </w:r>
      <w:r w:rsidR="0009777F" w:rsidRPr="00FB6FCC">
        <w:rPr>
          <w:rFonts w:ascii="Arial" w:hAnsi="Arial" w:cs="Arial"/>
          <w:sz w:val="24"/>
          <w:szCs w:val="24"/>
        </w:rPr>
        <w:t xml:space="preserve">Sale of Land Act but based on the enforcement of the settlement agreement. </w:t>
      </w:r>
    </w:p>
    <w:p w14:paraId="1581541A" w14:textId="3397FB8D" w:rsidR="00207B9B" w:rsidRPr="00FB6FCC" w:rsidRDefault="00FB6FCC" w:rsidP="00FB6FCC">
      <w:pPr>
        <w:rPr>
          <w:rFonts w:ascii="Arial" w:hAnsi="Arial" w:cs="Arial"/>
          <w:sz w:val="24"/>
          <w:szCs w:val="24"/>
        </w:rPr>
      </w:pPr>
      <w:r w:rsidRPr="004113D3">
        <w:rPr>
          <w:rFonts w:ascii="Arial" w:hAnsi="Arial" w:cs="Arial"/>
          <w:sz w:val="24"/>
          <w:szCs w:val="24"/>
        </w:rPr>
        <w:t>g)</w:t>
      </w:r>
      <w:r w:rsidRPr="004113D3">
        <w:rPr>
          <w:rFonts w:ascii="Arial" w:hAnsi="Arial" w:cs="Arial"/>
          <w:sz w:val="24"/>
          <w:szCs w:val="24"/>
        </w:rPr>
        <w:tab/>
      </w:r>
      <w:proofErr w:type="spellStart"/>
      <w:r w:rsidR="00556888" w:rsidRPr="00FB6FCC">
        <w:rPr>
          <w:rFonts w:ascii="Arial" w:hAnsi="Arial" w:cs="Arial"/>
          <w:sz w:val="24"/>
          <w:szCs w:val="24"/>
        </w:rPr>
        <w:t>Mr</w:t>
      </w:r>
      <w:proofErr w:type="spellEnd"/>
      <w:r w:rsidR="00556888" w:rsidRPr="00FB6FCC">
        <w:rPr>
          <w:rFonts w:ascii="Arial" w:hAnsi="Arial" w:cs="Arial"/>
          <w:sz w:val="24"/>
          <w:szCs w:val="24"/>
        </w:rPr>
        <w:t xml:space="preserve"> </w:t>
      </w:r>
      <w:proofErr w:type="spellStart"/>
      <w:r w:rsidR="00556888" w:rsidRPr="00FB6FCC">
        <w:rPr>
          <w:rFonts w:ascii="Arial" w:hAnsi="Arial" w:cs="Arial"/>
          <w:sz w:val="24"/>
          <w:szCs w:val="24"/>
        </w:rPr>
        <w:t>G</w:t>
      </w:r>
      <w:r w:rsidR="00207B9B" w:rsidRPr="00FB6FCC">
        <w:rPr>
          <w:rFonts w:ascii="Arial" w:hAnsi="Arial" w:cs="Arial"/>
          <w:sz w:val="24"/>
          <w:szCs w:val="24"/>
        </w:rPr>
        <w:t>a</w:t>
      </w:r>
      <w:r w:rsidR="00556888" w:rsidRPr="00FB6FCC">
        <w:rPr>
          <w:rFonts w:ascii="Arial" w:hAnsi="Arial" w:cs="Arial"/>
          <w:sz w:val="24"/>
          <w:szCs w:val="24"/>
        </w:rPr>
        <w:t>o</w:t>
      </w:r>
      <w:r w:rsidR="00207B9B" w:rsidRPr="00FB6FCC">
        <w:rPr>
          <w:rFonts w:ascii="Arial" w:hAnsi="Arial" w:cs="Arial"/>
          <w:sz w:val="24"/>
          <w:szCs w:val="24"/>
        </w:rPr>
        <w:t>seb</w:t>
      </w:r>
      <w:proofErr w:type="spellEnd"/>
      <w:r w:rsidR="00207B9B" w:rsidRPr="00FB6FCC">
        <w:rPr>
          <w:rFonts w:ascii="Arial" w:hAnsi="Arial" w:cs="Arial"/>
          <w:sz w:val="24"/>
          <w:szCs w:val="24"/>
        </w:rPr>
        <w:t xml:space="preserve"> also repeated that the defendants are the nominee owners of the property in question</w:t>
      </w:r>
      <w:r w:rsidR="00193458" w:rsidRPr="00FB6FCC">
        <w:rPr>
          <w:rFonts w:ascii="Arial" w:hAnsi="Arial" w:cs="Arial"/>
          <w:sz w:val="24"/>
          <w:szCs w:val="24"/>
        </w:rPr>
        <w:t>,</w:t>
      </w:r>
      <w:r w:rsidR="00207B9B" w:rsidRPr="00FB6FCC">
        <w:rPr>
          <w:rFonts w:ascii="Arial" w:hAnsi="Arial" w:cs="Arial"/>
          <w:sz w:val="24"/>
          <w:szCs w:val="24"/>
        </w:rPr>
        <w:t xml:space="preserve"> and the parties concluded a partially written, part</w:t>
      </w:r>
      <w:r w:rsidR="00556888" w:rsidRPr="00FB6FCC">
        <w:rPr>
          <w:rFonts w:ascii="Arial" w:hAnsi="Arial" w:cs="Arial"/>
          <w:sz w:val="24"/>
          <w:szCs w:val="24"/>
        </w:rPr>
        <w:t xml:space="preserve">ially oral agreement to have the </w:t>
      </w:r>
      <w:proofErr w:type="spellStart"/>
      <w:r w:rsidR="00556888" w:rsidRPr="00FB6FCC">
        <w:rPr>
          <w:rFonts w:ascii="Arial" w:hAnsi="Arial" w:cs="Arial"/>
          <w:sz w:val="24"/>
          <w:szCs w:val="24"/>
        </w:rPr>
        <w:t>Gao</w:t>
      </w:r>
      <w:r w:rsidR="00207B9B" w:rsidRPr="00FB6FCC">
        <w:rPr>
          <w:rFonts w:ascii="Arial" w:hAnsi="Arial" w:cs="Arial"/>
          <w:sz w:val="24"/>
          <w:szCs w:val="24"/>
        </w:rPr>
        <w:t>sebs</w:t>
      </w:r>
      <w:proofErr w:type="spellEnd"/>
      <w:r w:rsidR="00207B9B" w:rsidRPr="00FB6FCC">
        <w:rPr>
          <w:rFonts w:ascii="Arial" w:hAnsi="Arial" w:cs="Arial"/>
          <w:sz w:val="24"/>
          <w:szCs w:val="24"/>
        </w:rPr>
        <w:t xml:space="preserve"> purchase the property</w:t>
      </w:r>
      <w:r w:rsidR="00193458" w:rsidRPr="00FB6FCC">
        <w:rPr>
          <w:rFonts w:ascii="Arial" w:hAnsi="Arial" w:cs="Arial"/>
          <w:sz w:val="24"/>
          <w:szCs w:val="24"/>
        </w:rPr>
        <w:t>,</w:t>
      </w:r>
      <w:r w:rsidR="00207B9B" w:rsidRPr="00FB6FCC">
        <w:rPr>
          <w:rFonts w:ascii="Arial" w:hAnsi="Arial" w:cs="Arial"/>
          <w:sz w:val="24"/>
          <w:szCs w:val="24"/>
        </w:rPr>
        <w:t xml:space="preserve"> and the plaintiffs signed all the official documents relating to the purchase and subdivision of the property. </w:t>
      </w:r>
    </w:p>
    <w:p w14:paraId="1D841BCD" w14:textId="21CD47D6" w:rsidR="001F2E7D" w:rsidRPr="00FB6FCC" w:rsidRDefault="00FB6FCC" w:rsidP="00FB6FCC">
      <w:pPr>
        <w:rPr>
          <w:rFonts w:ascii="Arial" w:hAnsi="Arial" w:cs="Arial"/>
          <w:sz w:val="24"/>
          <w:szCs w:val="24"/>
        </w:rPr>
      </w:pPr>
      <w:r w:rsidRPr="004113D3">
        <w:rPr>
          <w:rFonts w:ascii="Arial" w:hAnsi="Arial" w:cs="Arial"/>
          <w:sz w:val="24"/>
          <w:szCs w:val="24"/>
        </w:rPr>
        <w:t>h)</w:t>
      </w:r>
      <w:r w:rsidRPr="004113D3">
        <w:rPr>
          <w:rFonts w:ascii="Arial" w:hAnsi="Arial" w:cs="Arial"/>
          <w:sz w:val="24"/>
          <w:szCs w:val="24"/>
        </w:rPr>
        <w:tab/>
      </w:r>
      <w:r w:rsidR="001F2E7D" w:rsidRPr="00FB6FCC">
        <w:rPr>
          <w:rFonts w:ascii="Arial" w:hAnsi="Arial" w:cs="Arial"/>
          <w:sz w:val="24"/>
          <w:szCs w:val="24"/>
        </w:rPr>
        <w:t>The parties agreed to have the property subdivided and the portion transferred to the plaintiffs. A deed of transfer exists on the defendants’ own version, which they refuse to sign. The plaintiffs simply demand that the defendants sign those transfer documents per the agreement to facilitate the transfer of the subdivided plot.</w:t>
      </w:r>
    </w:p>
    <w:p w14:paraId="702B5459" w14:textId="77777777" w:rsidR="0052037F" w:rsidRPr="004113D3" w:rsidRDefault="0052037F" w:rsidP="0052037F">
      <w:pPr>
        <w:rPr>
          <w:rFonts w:ascii="Arial" w:hAnsi="Arial" w:cs="Arial"/>
          <w:sz w:val="24"/>
          <w:szCs w:val="24"/>
        </w:rPr>
      </w:pPr>
    </w:p>
    <w:p w14:paraId="494FC21C" w14:textId="77777777" w:rsidR="003E45FC" w:rsidRPr="004113D3" w:rsidRDefault="003E45FC" w:rsidP="00C57A29">
      <w:pPr>
        <w:pStyle w:val="Heading1"/>
      </w:pPr>
      <w:r w:rsidRPr="004113D3">
        <w:t xml:space="preserve">Arguments </w:t>
      </w:r>
      <w:r w:rsidR="008B1AC6" w:rsidRPr="004113D3">
        <w:t>advanced</w:t>
      </w:r>
      <w:r w:rsidRPr="004113D3">
        <w:t xml:space="preserve"> by the </w:t>
      </w:r>
      <w:proofErr w:type="gramStart"/>
      <w:r w:rsidRPr="004113D3">
        <w:t>parties</w:t>
      </w:r>
      <w:proofErr w:type="gramEnd"/>
    </w:p>
    <w:p w14:paraId="13D675AE" w14:textId="77777777" w:rsidR="000078D0" w:rsidRPr="004113D3" w:rsidRDefault="000078D0" w:rsidP="000078D0"/>
    <w:p w14:paraId="256D4EF5" w14:textId="272CDB93" w:rsidR="007B4344" w:rsidRPr="004113D3" w:rsidRDefault="00FB6FCC" w:rsidP="00FB6FCC">
      <w:pPr>
        <w:pStyle w:val="western"/>
        <w:shd w:val="clear" w:color="auto" w:fill="FFFFFF"/>
        <w:spacing w:before="0" w:beforeAutospacing="0" w:after="0" w:afterAutospacing="0" w:line="360" w:lineRule="auto"/>
        <w:jc w:val="both"/>
        <w:rPr>
          <w:rFonts w:ascii="Arial" w:hAnsi="Arial" w:cs="Arial"/>
          <w:shd w:val="clear" w:color="auto" w:fill="FFFFFF"/>
        </w:rPr>
      </w:pPr>
      <w:r w:rsidRPr="004113D3">
        <w:rPr>
          <w:rFonts w:ascii="Arial" w:hAnsi="Arial" w:cs="Arial"/>
        </w:rPr>
        <w:t>[8]</w:t>
      </w:r>
      <w:r w:rsidRPr="004113D3">
        <w:rPr>
          <w:rFonts w:ascii="Arial" w:hAnsi="Arial" w:cs="Arial"/>
        </w:rPr>
        <w:tab/>
      </w:r>
      <w:r w:rsidR="000078D0" w:rsidRPr="004113D3">
        <w:rPr>
          <w:rFonts w:ascii="Arial" w:hAnsi="Arial" w:cs="Arial"/>
        </w:rPr>
        <w:t>Both counsel</w:t>
      </w:r>
      <w:r w:rsidR="000078D0" w:rsidRPr="004113D3">
        <w:rPr>
          <w:rFonts w:ascii="Arial" w:hAnsi="Arial" w:cs="Arial"/>
          <w:shd w:val="clear" w:color="auto" w:fill="FFFFFF"/>
        </w:rPr>
        <w:t xml:space="preserve"> advanced comprehensive arguments</w:t>
      </w:r>
      <w:r w:rsidR="007B4344" w:rsidRPr="004113D3">
        <w:rPr>
          <w:rFonts w:ascii="Arial" w:hAnsi="Arial" w:cs="Arial"/>
          <w:shd w:val="clear" w:color="auto" w:fill="FFFFFF"/>
        </w:rPr>
        <w:t>,</w:t>
      </w:r>
      <w:r w:rsidR="008B1AC6" w:rsidRPr="004113D3">
        <w:rPr>
          <w:rFonts w:ascii="Arial" w:hAnsi="Arial" w:cs="Arial"/>
          <w:shd w:val="clear" w:color="auto" w:fill="FFFFFF"/>
        </w:rPr>
        <w:t xml:space="preserve"> and at the </w:t>
      </w:r>
      <w:r w:rsidR="00193458" w:rsidRPr="004113D3">
        <w:rPr>
          <w:rFonts w:ascii="Arial" w:hAnsi="Arial" w:cs="Arial"/>
          <w:shd w:val="clear" w:color="auto" w:fill="FFFFFF"/>
        </w:rPr>
        <w:t>court’s request</w:t>
      </w:r>
      <w:r w:rsidR="007B4344" w:rsidRPr="004113D3">
        <w:rPr>
          <w:rFonts w:ascii="Arial" w:hAnsi="Arial" w:cs="Arial"/>
          <w:shd w:val="clear" w:color="auto" w:fill="FFFFFF"/>
        </w:rPr>
        <w:t>,</w:t>
      </w:r>
      <w:r w:rsidR="008B1AC6" w:rsidRPr="004113D3">
        <w:rPr>
          <w:rFonts w:ascii="Arial" w:hAnsi="Arial" w:cs="Arial"/>
          <w:shd w:val="clear" w:color="auto" w:fill="FFFFFF"/>
        </w:rPr>
        <w:t xml:space="preserve"> </w:t>
      </w:r>
      <w:r w:rsidR="007B4344" w:rsidRPr="004113D3">
        <w:rPr>
          <w:rFonts w:ascii="Arial" w:hAnsi="Arial" w:cs="Arial"/>
          <w:shd w:val="clear" w:color="auto" w:fill="FFFFFF"/>
        </w:rPr>
        <w:t xml:space="preserve">the legal practitioners </w:t>
      </w:r>
      <w:r w:rsidR="008B1AC6" w:rsidRPr="004113D3">
        <w:rPr>
          <w:rFonts w:ascii="Arial" w:hAnsi="Arial" w:cs="Arial"/>
          <w:shd w:val="clear" w:color="auto" w:fill="FFFFFF"/>
        </w:rPr>
        <w:t>filed further notes on argument</w:t>
      </w:r>
      <w:r w:rsidR="007B4344" w:rsidRPr="004113D3">
        <w:rPr>
          <w:rFonts w:ascii="Arial" w:hAnsi="Arial" w:cs="Arial"/>
          <w:shd w:val="clear" w:color="auto" w:fill="FFFFFF"/>
        </w:rPr>
        <w:t xml:space="preserve"> on 3 July 2023</w:t>
      </w:r>
      <w:r w:rsidR="00193458" w:rsidRPr="004113D3">
        <w:rPr>
          <w:rFonts w:ascii="Arial" w:hAnsi="Arial" w:cs="Arial"/>
          <w:shd w:val="clear" w:color="auto" w:fill="FFFFFF"/>
        </w:rPr>
        <w:t xml:space="preserve">, </w:t>
      </w:r>
      <w:r w:rsidR="007B4344" w:rsidRPr="004113D3">
        <w:rPr>
          <w:rFonts w:ascii="Arial" w:hAnsi="Arial" w:cs="Arial"/>
          <w:shd w:val="clear" w:color="auto" w:fill="FFFFFF"/>
        </w:rPr>
        <w:t>addressing the issues raised with them on 18 Jun</w:t>
      </w:r>
      <w:r w:rsidR="000F3146" w:rsidRPr="004113D3">
        <w:rPr>
          <w:rFonts w:ascii="Arial" w:hAnsi="Arial" w:cs="Arial"/>
          <w:shd w:val="clear" w:color="auto" w:fill="FFFFFF"/>
        </w:rPr>
        <w:t>e</w:t>
      </w:r>
      <w:r w:rsidR="007B4344" w:rsidRPr="004113D3">
        <w:rPr>
          <w:rFonts w:ascii="Arial" w:hAnsi="Arial" w:cs="Arial"/>
          <w:shd w:val="clear" w:color="auto" w:fill="FFFFFF"/>
        </w:rPr>
        <w:t xml:space="preserve"> 2023. I </w:t>
      </w:r>
      <w:r w:rsidR="00193458" w:rsidRPr="004113D3">
        <w:rPr>
          <w:rFonts w:ascii="Arial" w:hAnsi="Arial" w:cs="Arial"/>
          <w:shd w:val="clear" w:color="auto" w:fill="FFFFFF"/>
        </w:rPr>
        <w:t>want</w:t>
      </w:r>
      <w:r w:rsidR="007B4344" w:rsidRPr="004113D3">
        <w:rPr>
          <w:rFonts w:ascii="Arial" w:hAnsi="Arial" w:cs="Arial"/>
          <w:shd w:val="clear" w:color="auto" w:fill="FFFFFF"/>
        </w:rPr>
        <w:t xml:space="preserve"> to express my gratitude to the legal practitioners for their industry in this regard. </w:t>
      </w:r>
    </w:p>
    <w:p w14:paraId="6D7AD010" w14:textId="77777777" w:rsidR="007B4344" w:rsidRPr="004113D3" w:rsidRDefault="007B4344" w:rsidP="007B4344">
      <w:pPr>
        <w:pStyle w:val="western"/>
        <w:shd w:val="clear" w:color="auto" w:fill="FFFFFF"/>
        <w:spacing w:before="0" w:beforeAutospacing="0" w:after="0" w:afterAutospacing="0" w:line="360" w:lineRule="auto"/>
        <w:jc w:val="both"/>
        <w:rPr>
          <w:rFonts w:ascii="Arial" w:hAnsi="Arial" w:cs="Arial"/>
          <w:shd w:val="clear" w:color="auto" w:fill="FFFFFF"/>
        </w:rPr>
      </w:pPr>
    </w:p>
    <w:p w14:paraId="1B8CE575" w14:textId="33ED06DB" w:rsidR="000078D0" w:rsidRPr="004113D3" w:rsidRDefault="00FB6FCC" w:rsidP="00FB6FCC">
      <w:pPr>
        <w:pStyle w:val="western"/>
        <w:shd w:val="clear" w:color="auto" w:fill="FFFFFF"/>
        <w:spacing w:before="0" w:beforeAutospacing="0" w:after="0" w:afterAutospacing="0" w:line="360" w:lineRule="auto"/>
        <w:jc w:val="both"/>
        <w:rPr>
          <w:rFonts w:ascii="Arial" w:hAnsi="Arial" w:cs="Arial"/>
          <w:shd w:val="clear" w:color="auto" w:fill="FFFFFF"/>
        </w:rPr>
      </w:pPr>
      <w:r w:rsidRPr="004113D3">
        <w:rPr>
          <w:rFonts w:ascii="Arial" w:hAnsi="Arial" w:cs="Arial"/>
        </w:rPr>
        <w:t>[9]</w:t>
      </w:r>
      <w:r w:rsidRPr="004113D3">
        <w:rPr>
          <w:rFonts w:ascii="Arial" w:hAnsi="Arial" w:cs="Arial"/>
        </w:rPr>
        <w:tab/>
      </w:r>
      <w:r w:rsidR="000078D0" w:rsidRPr="004113D3">
        <w:rPr>
          <w:rFonts w:ascii="Arial" w:hAnsi="Arial" w:cs="Arial"/>
          <w:shd w:val="clear" w:color="auto" w:fill="FFFFFF"/>
        </w:rPr>
        <w:t>I intend to refrain from replicating the arguments so advanced. I will, however, refer to the crux of the respective arguments. If, in this judgment, I use the words ‘submit’ and ‘argue’ and their derivatives, they must be understood to encompass both the heads of arguments and the oral submissions made in court.</w:t>
      </w:r>
    </w:p>
    <w:p w14:paraId="074B85DC" w14:textId="77777777" w:rsidR="000078D0" w:rsidRPr="004113D3" w:rsidRDefault="000078D0" w:rsidP="000078D0">
      <w:pPr>
        <w:pStyle w:val="ListParagraph"/>
        <w:spacing w:after="0" w:line="360" w:lineRule="auto"/>
        <w:ind w:left="0"/>
        <w:jc w:val="both"/>
        <w:rPr>
          <w:rFonts w:ascii="Arial" w:hAnsi="Arial" w:cs="Arial"/>
          <w:sz w:val="24"/>
          <w:szCs w:val="24"/>
        </w:rPr>
      </w:pPr>
    </w:p>
    <w:p w14:paraId="775AFFEB" w14:textId="77777777" w:rsidR="003E45FC" w:rsidRPr="004113D3" w:rsidRDefault="001B55DB" w:rsidP="006F22BD">
      <w:pPr>
        <w:pStyle w:val="Heading2"/>
      </w:pPr>
      <w:r w:rsidRPr="004113D3">
        <w:t>On behalf of the plaintiffs</w:t>
      </w:r>
    </w:p>
    <w:p w14:paraId="7918C0A5" w14:textId="77777777" w:rsidR="00BF1730" w:rsidRPr="004113D3" w:rsidRDefault="00BF1730" w:rsidP="006F22BD"/>
    <w:p w14:paraId="45A377E5" w14:textId="268769A8" w:rsidR="001F2E7D" w:rsidRPr="00FB6FCC" w:rsidRDefault="00FB6FCC" w:rsidP="00FB6FCC">
      <w:pPr>
        <w:rPr>
          <w:rFonts w:ascii="Arial" w:hAnsi="Arial" w:cs="Arial"/>
          <w:sz w:val="24"/>
          <w:szCs w:val="24"/>
        </w:rPr>
      </w:pPr>
      <w:r w:rsidRPr="004113D3">
        <w:rPr>
          <w:rFonts w:ascii="Arial" w:hAnsi="Arial" w:cs="Arial"/>
          <w:sz w:val="24"/>
          <w:szCs w:val="24"/>
        </w:rPr>
        <w:t>[10]</w:t>
      </w:r>
      <w:r w:rsidRPr="004113D3">
        <w:rPr>
          <w:rFonts w:ascii="Arial" w:hAnsi="Arial" w:cs="Arial"/>
          <w:sz w:val="24"/>
          <w:szCs w:val="24"/>
        </w:rPr>
        <w:tab/>
      </w:r>
      <w:proofErr w:type="spellStart"/>
      <w:r w:rsidR="001F2E7D" w:rsidRPr="00FB6FCC">
        <w:rPr>
          <w:rFonts w:ascii="Arial" w:hAnsi="Arial" w:cs="Arial"/>
          <w:sz w:val="24"/>
          <w:szCs w:val="24"/>
        </w:rPr>
        <w:t>Mr</w:t>
      </w:r>
      <w:proofErr w:type="spellEnd"/>
      <w:r w:rsidR="001F2E7D" w:rsidRPr="00FB6FCC">
        <w:rPr>
          <w:rFonts w:ascii="Arial" w:hAnsi="Arial" w:cs="Arial"/>
          <w:sz w:val="24"/>
          <w:szCs w:val="24"/>
        </w:rPr>
        <w:t xml:space="preserve"> </w:t>
      </w:r>
      <w:proofErr w:type="spellStart"/>
      <w:r w:rsidR="001F2E7D" w:rsidRPr="00FB6FCC">
        <w:rPr>
          <w:rFonts w:ascii="Arial" w:hAnsi="Arial" w:cs="Arial"/>
          <w:sz w:val="24"/>
          <w:szCs w:val="24"/>
        </w:rPr>
        <w:t>Chibwana</w:t>
      </w:r>
      <w:proofErr w:type="spellEnd"/>
      <w:r w:rsidR="001F2E7D" w:rsidRPr="00FB6FCC">
        <w:rPr>
          <w:rFonts w:ascii="Arial" w:hAnsi="Arial" w:cs="Arial"/>
          <w:sz w:val="24"/>
          <w:szCs w:val="24"/>
        </w:rPr>
        <w:t xml:space="preserve"> submitted that the defendants never disputed the settlement terms reached during mediation</w:t>
      </w:r>
      <w:r w:rsidR="00CE125D" w:rsidRPr="00FB6FCC">
        <w:rPr>
          <w:rFonts w:ascii="Arial" w:hAnsi="Arial" w:cs="Arial"/>
          <w:sz w:val="24"/>
          <w:szCs w:val="24"/>
        </w:rPr>
        <w:t xml:space="preserve"> and did not dispute that the agreement is binding on both </w:t>
      </w:r>
      <w:r w:rsidR="001F2E7D" w:rsidRPr="00FB6FCC">
        <w:rPr>
          <w:rFonts w:ascii="Arial" w:hAnsi="Arial" w:cs="Arial"/>
          <w:sz w:val="24"/>
          <w:szCs w:val="24"/>
        </w:rPr>
        <w:t xml:space="preserve">parties (plaintiffs and defendants). </w:t>
      </w:r>
      <w:proofErr w:type="spellStart"/>
      <w:r w:rsidR="001F2E7D" w:rsidRPr="00FB6FCC">
        <w:rPr>
          <w:rFonts w:ascii="Arial" w:hAnsi="Arial" w:cs="Arial"/>
          <w:sz w:val="24"/>
          <w:szCs w:val="24"/>
        </w:rPr>
        <w:t>Mr</w:t>
      </w:r>
      <w:proofErr w:type="spellEnd"/>
      <w:r w:rsidR="001F2E7D" w:rsidRPr="00FB6FCC">
        <w:rPr>
          <w:rFonts w:ascii="Arial" w:hAnsi="Arial" w:cs="Arial"/>
          <w:sz w:val="24"/>
          <w:szCs w:val="24"/>
        </w:rPr>
        <w:t xml:space="preserve"> </w:t>
      </w:r>
      <w:proofErr w:type="spellStart"/>
      <w:r w:rsidR="001F2E7D" w:rsidRPr="00FB6FCC">
        <w:rPr>
          <w:rFonts w:ascii="Arial" w:hAnsi="Arial" w:cs="Arial"/>
          <w:sz w:val="24"/>
          <w:szCs w:val="24"/>
        </w:rPr>
        <w:t>Chibwana</w:t>
      </w:r>
      <w:proofErr w:type="spellEnd"/>
      <w:r w:rsidR="001F2E7D" w:rsidRPr="00FB6FCC">
        <w:rPr>
          <w:rFonts w:ascii="Arial" w:hAnsi="Arial" w:cs="Arial"/>
          <w:sz w:val="24"/>
          <w:szCs w:val="24"/>
        </w:rPr>
        <w:t xml:space="preserve"> further submitted that the arguments on the settlement are now res judicata.</w:t>
      </w:r>
    </w:p>
    <w:p w14:paraId="2B3B7312" w14:textId="77777777" w:rsidR="001F2E7D" w:rsidRPr="004113D3" w:rsidRDefault="001F2E7D" w:rsidP="004113D3">
      <w:pPr>
        <w:pStyle w:val="ListParagraph"/>
        <w:spacing w:after="0" w:line="360" w:lineRule="auto"/>
        <w:ind w:left="0"/>
        <w:jc w:val="both"/>
        <w:rPr>
          <w:rFonts w:ascii="Arial" w:hAnsi="Arial" w:cs="Arial"/>
          <w:sz w:val="24"/>
          <w:szCs w:val="24"/>
        </w:rPr>
      </w:pPr>
    </w:p>
    <w:p w14:paraId="22BA3C14" w14:textId="409CF25C" w:rsidR="001F2E7D" w:rsidRPr="00FB6FCC" w:rsidRDefault="00FB6FCC" w:rsidP="00FB6FCC">
      <w:pPr>
        <w:rPr>
          <w:rFonts w:ascii="Arial" w:hAnsi="Arial" w:cs="Arial"/>
          <w:sz w:val="24"/>
          <w:szCs w:val="24"/>
        </w:rPr>
      </w:pPr>
      <w:r w:rsidRPr="004113D3">
        <w:rPr>
          <w:rFonts w:ascii="Arial" w:hAnsi="Arial" w:cs="Arial"/>
          <w:sz w:val="24"/>
          <w:szCs w:val="24"/>
        </w:rPr>
        <w:t>[11]</w:t>
      </w:r>
      <w:r w:rsidRPr="004113D3">
        <w:rPr>
          <w:rFonts w:ascii="Arial" w:hAnsi="Arial" w:cs="Arial"/>
          <w:sz w:val="24"/>
          <w:szCs w:val="24"/>
        </w:rPr>
        <w:tab/>
      </w:r>
      <w:proofErr w:type="spellStart"/>
      <w:r w:rsidR="001F2E7D" w:rsidRPr="00FB6FCC">
        <w:rPr>
          <w:rFonts w:ascii="Arial" w:hAnsi="Arial" w:cs="Arial"/>
          <w:sz w:val="24"/>
          <w:szCs w:val="24"/>
        </w:rPr>
        <w:t>Mr</w:t>
      </w:r>
      <w:proofErr w:type="spellEnd"/>
      <w:r w:rsidR="001F2E7D" w:rsidRPr="00FB6FCC">
        <w:rPr>
          <w:rFonts w:ascii="Arial" w:hAnsi="Arial" w:cs="Arial"/>
          <w:sz w:val="24"/>
          <w:szCs w:val="24"/>
        </w:rPr>
        <w:t xml:space="preserve"> </w:t>
      </w:r>
      <w:proofErr w:type="spellStart"/>
      <w:r w:rsidR="001F2E7D" w:rsidRPr="00FB6FCC">
        <w:rPr>
          <w:rFonts w:ascii="Arial" w:hAnsi="Arial" w:cs="Arial"/>
          <w:sz w:val="24"/>
          <w:szCs w:val="24"/>
        </w:rPr>
        <w:t>Chibwana</w:t>
      </w:r>
      <w:proofErr w:type="spellEnd"/>
      <w:r w:rsidR="001F2E7D" w:rsidRPr="00FB6FCC">
        <w:rPr>
          <w:rFonts w:ascii="Arial" w:hAnsi="Arial" w:cs="Arial"/>
          <w:sz w:val="24"/>
          <w:szCs w:val="24"/>
        </w:rPr>
        <w:t xml:space="preserve"> persisted with his argument that the Formalities in respect of the Sale of Land Act does not apply to the facts as the plaintiffs’ claim was not based on the said act either. </w:t>
      </w:r>
    </w:p>
    <w:p w14:paraId="5D9F8A21" w14:textId="77777777" w:rsidR="00262954" w:rsidRPr="004113D3" w:rsidRDefault="00262954" w:rsidP="004113D3">
      <w:pPr>
        <w:pStyle w:val="ListParagraph"/>
        <w:spacing w:after="0" w:line="360" w:lineRule="auto"/>
        <w:ind w:left="0"/>
        <w:jc w:val="both"/>
        <w:rPr>
          <w:rFonts w:ascii="Arial" w:hAnsi="Arial" w:cs="Arial"/>
          <w:sz w:val="24"/>
          <w:szCs w:val="24"/>
        </w:rPr>
      </w:pPr>
    </w:p>
    <w:p w14:paraId="4C82FD0A" w14:textId="2AB6F9B3" w:rsidR="001F2E7D" w:rsidRPr="00FB6FCC" w:rsidRDefault="00FB6FCC" w:rsidP="00FB6FCC">
      <w:pPr>
        <w:rPr>
          <w:rFonts w:ascii="Arial" w:hAnsi="Arial" w:cs="Arial"/>
          <w:sz w:val="24"/>
          <w:szCs w:val="24"/>
        </w:rPr>
      </w:pPr>
      <w:r w:rsidRPr="004113D3">
        <w:rPr>
          <w:rFonts w:ascii="Arial" w:hAnsi="Arial" w:cs="Arial"/>
          <w:sz w:val="24"/>
          <w:szCs w:val="24"/>
        </w:rPr>
        <w:t>[12]</w:t>
      </w:r>
      <w:r w:rsidRPr="004113D3">
        <w:rPr>
          <w:rFonts w:ascii="Arial" w:hAnsi="Arial" w:cs="Arial"/>
          <w:sz w:val="24"/>
          <w:szCs w:val="24"/>
        </w:rPr>
        <w:tab/>
      </w:r>
      <w:r w:rsidR="001F2E7D" w:rsidRPr="00FB6FCC">
        <w:rPr>
          <w:rFonts w:ascii="Arial" w:hAnsi="Arial" w:cs="Arial"/>
          <w:sz w:val="24"/>
          <w:szCs w:val="24"/>
        </w:rPr>
        <w:t xml:space="preserve">Regarding the enforceability of the settlement agreement, </w:t>
      </w:r>
      <w:proofErr w:type="spellStart"/>
      <w:r w:rsidR="001F2E7D" w:rsidRPr="00FB6FCC">
        <w:rPr>
          <w:rFonts w:ascii="Arial" w:hAnsi="Arial" w:cs="Arial"/>
          <w:sz w:val="24"/>
          <w:szCs w:val="24"/>
        </w:rPr>
        <w:t>Mr</w:t>
      </w:r>
      <w:proofErr w:type="spellEnd"/>
      <w:r w:rsidR="001F2E7D" w:rsidRPr="00FB6FCC">
        <w:rPr>
          <w:rFonts w:ascii="Arial" w:hAnsi="Arial" w:cs="Arial"/>
          <w:sz w:val="24"/>
          <w:szCs w:val="24"/>
        </w:rPr>
        <w:t xml:space="preserve"> </w:t>
      </w:r>
      <w:proofErr w:type="spellStart"/>
      <w:r w:rsidR="001F2E7D" w:rsidRPr="00FB6FCC">
        <w:rPr>
          <w:rFonts w:ascii="Arial" w:hAnsi="Arial" w:cs="Arial"/>
          <w:sz w:val="24"/>
          <w:szCs w:val="24"/>
        </w:rPr>
        <w:t>Chibwana</w:t>
      </w:r>
      <w:proofErr w:type="spellEnd"/>
      <w:r w:rsidR="001F2E7D" w:rsidRPr="00FB6FCC">
        <w:rPr>
          <w:rFonts w:ascii="Arial" w:hAnsi="Arial" w:cs="Arial"/>
          <w:sz w:val="24"/>
          <w:szCs w:val="24"/>
        </w:rPr>
        <w:t xml:space="preserve"> contended firstly that the defendants participated in the settlement discussions and proposed and agreed to the settlement terms, which is an insurmountable legal hurdle in the defendants’ </w:t>
      </w:r>
      <w:proofErr w:type="spellStart"/>
      <w:r w:rsidR="001F2E7D" w:rsidRPr="00FB6FCC">
        <w:rPr>
          <w:rFonts w:ascii="Arial" w:hAnsi="Arial" w:cs="Arial"/>
          <w:sz w:val="24"/>
          <w:szCs w:val="24"/>
        </w:rPr>
        <w:t>defence</w:t>
      </w:r>
      <w:proofErr w:type="spellEnd"/>
      <w:r w:rsidR="001F2E7D" w:rsidRPr="00FB6FCC">
        <w:rPr>
          <w:rFonts w:ascii="Arial" w:hAnsi="Arial" w:cs="Arial"/>
          <w:sz w:val="24"/>
          <w:szCs w:val="24"/>
        </w:rPr>
        <w:t xml:space="preserve">. Secondly, the fundamental principle of the law is that the parties must be made to comply with their contractual obligations to avoid far-reaching implications for the country. Thirdly, the effect of the settlement order is to change the status of the rights and obligations between the parties as a substantive contract that exists independent from </w:t>
      </w:r>
      <w:r w:rsidR="001F2E7D" w:rsidRPr="00FB6FCC">
        <w:rPr>
          <w:rFonts w:ascii="Arial" w:hAnsi="Arial" w:cs="Arial"/>
          <w:sz w:val="24"/>
          <w:szCs w:val="24"/>
        </w:rPr>
        <w:lastRenderedPageBreak/>
        <w:t xml:space="preserve">the original cause comes into existence. Fourthly, counsel contended that the defendants are not entitled to go behind the compromise and raise </w:t>
      </w:r>
      <w:proofErr w:type="spellStart"/>
      <w:r w:rsidR="001F2E7D" w:rsidRPr="00FB6FCC">
        <w:rPr>
          <w:rFonts w:ascii="Arial" w:hAnsi="Arial" w:cs="Arial"/>
          <w:sz w:val="24"/>
          <w:szCs w:val="24"/>
        </w:rPr>
        <w:t>defences</w:t>
      </w:r>
      <w:proofErr w:type="spellEnd"/>
      <w:r w:rsidR="001F2E7D" w:rsidRPr="00FB6FCC">
        <w:rPr>
          <w:rFonts w:ascii="Arial" w:hAnsi="Arial" w:cs="Arial"/>
          <w:sz w:val="24"/>
          <w:szCs w:val="24"/>
        </w:rPr>
        <w:t xml:space="preserve"> to the original cause of action. Lastly, the defendants settled the matter and indicated their willingness to and partially complied with the settlement agreement, pre</w:t>
      </w:r>
      <w:r w:rsidR="00CE125D" w:rsidRPr="00FB6FCC">
        <w:rPr>
          <w:rFonts w:ascii="Arial" w:hAnsi="Arial" w:cs="Arial"/>
          <w:sz w:val="24"/>
          <w:szCs w:val="24"/>
        </w:rPr>
        <w:t>-</w:t>
      </w:r>
      <w:r w:rsidR="001F2E7D" w:rsidRPr="00FB6FCC">
        <w:rPr>
          <w:rFonts w:ascii="Arial" w:hAnsi="Arial" w:cs="Arial"/>
          <w:sz w:val="24"/>
          <w:szCs w:val="24"/>
        </w:rPr>
        <w:t>empting their right to attack the settlement agreement.</w:t>
      </w:r>
    </w:p>
    <w:p w14:paraId="5832356F" w14:textId="77777777" w:rsidR="00320791" w:rsidRPr="004113D3" w:rsidRDefault="00320791" w:rsidP="00320791">
      <w:pPr>
        <w:pStyle w:val="ListParagraph"/>
        <w:rPr>
          <w:rFonts w:ascii="Arial" w:hAnsi="Arial" w:cs="Arial"/>
          <w:sz w:val="24"/>
          <w:szCs w:val="24"/>
        </w:rPr>
      </w:pPr>
    </w:p>
    <w:p w14:paraId="1938C422" w14:textId="7036FE57" w:rsidR="00437648" w:rsidRPr="00FB6FCC" w:rsidRDefault="00FB6FCC" w:rsidP="00FB6FCC">
      <w:pPr>
        <w:rPr>
          <w:rFonts w:ascii="Arial" w:hAnsi="Arial" w:cs="Arial"/>
          <w:sz w:val="24"/>
          <w:szCs w:val="24"/>
        </w:rPr>
      </w:pPr>
      <w:r w:rsidRPr="004113D3">
        <w:rPr>
          <w:rFonts w:ascii="Arial" w:hAnsi="Arial" w:cs="Arial"/>
          <w:sz w:val="24"/>
          <w:szCs w:val="24"/>
        </w:rPr>
        <w:t>[13]</w:t>
      </w:r>
      <w:r w:rsidRPr="004113D3">
        <w:rPr>
          <w:rFonts w:ascii="Arial" w:hAnsi="Arial" w:cs="Arial"/>
          <w:sz w:val="24"/>
          <w:szCs w:val="24"/>
        </w:rPr>
        <w:tab/>
      </w:r>
      <w:r w:rsidR="00437648" w:rsidRPr="00FB6FCC">
        <w:rPr>
          <w:rFonts w:ascii="Arial" w:hAnsi="Arial" w:cs="Arial"/>
          <w:sz w:val="24"/>
          <w:szCs w:val="24"/>
        </w:rPr>
        <w:t>On the Formalities in respect of the Sale of Land Act</w:t>
      </w:r>
      <w:r w:rsidR="007B4344" w:rsidRPr="00FB6FCC">
        <w:rPr>
          <w:rFonts w:ascii="Arial" w:hAnsi="Arial" w:cs="Arial"/>
          <w:sz w:val="24"/>
          <w:szCs w:val="24"/>
        </w:rPr>
        <w:t>,</w:t>
      </w:r>
      <w:r w:rsidR="00437648" w:rsidRPr="00FB6FCC">
        <w:rPr>
          <w:rFonts w:ascii="Arial" w:hAnsi="Arial" w:cs="Arial"/>
          <w:sz w:val="24"/>
          <w:szCs w:val="24"/>
        </w:rPr>
        <w:t xml:space="preserve"> </w:t>
      </w:r>
      <w:proofErr w:type="spellStart"/>
      <w:r w:rsidR="00970571" w:rsidRPr="00FB6FCC">
        <w:rPr>
          <w:rFonts w:ascii="Arial" w:hAnsi="Arial" w:cs="Arial"/>
          <w:sz w:val="24"/>
          <w:szCs w:val="24"/>
        </w:rPr>
        <w:t>Mr</w:t>
      </w:r>
      <w:proofErr w:type="spellEnd"/>
      <w:r w:rsidR="00970571" w:rsidRPr="00FB6FCC">
        <w:rPr>
          <w:rFonts w:ascii="Arial" w:hAnsi="Arial" w:cs="Arial"/>
          <w:sz w:val="24"/>
          <w:szCs w:val="24"/>
        </w:rPr>
        <w:t xml:space="preserve"> </w:t>
      </w:r>
      <w:proofErr w:type="spellStart"/>
      <w:r w:rsidR="00970571" w:rsidRPr="00FB6FCC">
        <w:rPr>
          <w:rFonts w:ascii="Arial" w:hAnsi="Arial" w:cs="Arial"/>
          <w:sz w:val="24"/>
          <w:szCs w:val="24"/>
        </w:rPr>
        <w:t>Chibwana</w:t>
      </w:r>
      <w:proofErr w:type="spellEnd"/>
      <w:r w:rsidR="00970571" w:rsidRPr="00FB6FCC">
        <w:rPr>
          <w:rFonts w:ascii="Arial" w:hAnsi="Arial" w:cs="Arial"/>
          <w:sz w:val="24"/>
          <w:szCs w:val="24"/>
        </w:rPr>
        <w:t xml:space="preserve"> submitted that the court </w:t>
      </w:r>
      <w:r w:rsidR="00CE125D" w:rsidRPr="00FB6FCC">
        <w:rPr>
          <w:rFonts w:ascii="Arial" w:hAnsi="Arial" w:cs="Arial"/>
          <w:sz w:val="24"/>
          <w:szCs w:val="24"/>
        </w:rPr>
        <w:t xml:space="preserve">had </w:t>
      </w:r>
      <w:r w:rsidR="000F3146" w:rsidRPr="00FB6FCC">
        <w:rPr>
          <w:rFonts w:ascii="Arial" w:hAnsi="Arial" w:cs="Arial"/>
          <w:sz w:val="24"/>
          <w:szCs w:val="24"/>
        </w:rPr>
        <w:t xml:space="preserve">already </w:t>
      </w:r>
      <w:r w:rsidR="00970571" w:rsidRPr="00FB6FCC">
        <w:rPr>
          <w:rFonts w:ascii="Arial" w:hAnsi="Arial" w:cs="Arial"/>
          <w:sz w:val="24"/>
          <w:szCs w:val="24"/>
        </w:rPr>
        <w:t xml:space="preserve">ruled on this issue and concluded that the Act cannot prevent the enforcement of the settlement agreement. </w:t>
      </w:r>
      <w:proofErr w:type="spellStart"/>
      <w:r w:rsidR="00970571" w:rsidRPr="00FB6FCC">
        <w:rPr>
          <w:rFonts w:ascii="Arial" w:hAnsi="Arial" w:cs="Arial"/>
          <w:sz w:val="24"/>
          <w:szCs w:val="24"/>
        </w:rPr>
        <w:t>Mr</w:t>
      </w:r>
      <w:proofErr w:type="spellEnd"/>
      <w:r w:rsidR="00970571" w:rsidRPr="00FB6FCC">
        <w:rPr>
          <w:rFonts w:ascii="Arial" w:hAnsi="Arial" w:cs="Arial"/>
          <w:sz w:val="24"/>
          <w:szCs w:val="24"/>
        </w:rPr>
        <w:t xml:space="preserve"> </w:t>
      </w:r>
      <w:proofErr w:type="spellStart"/>
      <w:r w:rsidR="00970571" w:rsidRPr="00FB6FCC">
        <w:rPr>
          <w:rFonts w:ascii="Arial" w:hAnsi="Arial" w:cs="Arial"/>
          <w:sz w:val="24"/>
          <w:szCs w:val="24"/>
        </w:rPr>
        <w:t>Chibwana</w:t>
      </w:r>
      <w:proofErr w:type="spellEnd"/>
      <w:r w:rsidR="00970571" w:rsidRPr="00FB6FCC">
        <w:rPr>
          <w:rFonts w:ascii="Arial" w:hAnsi="Arial" w:cs="Arial"/>
          <w:sz w:val="24"/>
          <w:szCs w:val="24"/>
        </w:rPr>
        <w:t xml:space="preserve"> further argued that there was no </w:t>
      </w:r>
      <w:r w:rsidR="000F3146" w:rsidRPr="00FB6FCC">
        <w:rPr>
          <w:rFonts w:ascii="Arial" w:hAnsi="Arial" w:cs="Arial"/>
          <w:sz w:val="24"/>
          <w:szCs w:val="24"/>
        </w:rPr>
        <w:t xml:space="preserve">contract for the </w:t>
      </w:r>
      <w:r w:rsidR="00970571" w:rsidRPr="00FB6FCC">
        <w:rPr>
          <w:rFonts w:ascii="Arial" w:hAnsi="Arial" w:cs="Arial"/>
          <w:sz w:val="24"/>
          <w:szCs w:val="24"/>
        </w:rPr>
        <w:t xml:space="preserve">sale of land or a contract for sale of any interest in land as contemplated under s 1(1) of the Act, and it was pleaded in the particulars of claim how the agreement on the transfer of rights came about. </w:t>
      </w:r>
    </w:p>
    <w:p w14:paraId="31C919E7" w14:textId="77777777" w:rsidR="000078D0" w:rsidRPr="004113D3" w:rsidRDefault="000078D0" w:rsidP="004113D3">
      <w:pPr>
        <w:pStyle w:val="ListParagraph"/>
        <w:spacing w:after="0" w:line="360" w:lineRule="auto"/>
        <w:ind w:left="0"/>
        <w:jc w:val="both"/>
        <w:rPr>
          <w:rFonts w:ascii="Arial" w:hAnsi="Arial" w:cs="Arial"/>
          <w:sz w:val="24"/>
          <w:szCs w:val="24"/>
        </w:rPr>
      </w:pPr>
    </w:p>
    <w:p w14:paraId="0AF38CB0" w14:textId="05BA1DA7" w:rsidR="000078D0" w:rsidRPr="00FB6FCC" w:rsidRDefault="00FB6FCC" w:rsidP="00FB6FCC">
      <w:pPr>
        <w:rPr>
          <w:rFonts w:ascii="Arial" w:hAnsi="Arial" w:cs="Arial"/>
          <w:sz w:val="24"/>
          <w:szCs w:val="24"/>
        </w:rPr>
      </w:pPr>
      <w:r w:rsidRPr="004113D3">
        <w:rPr>
          <w:rFonts w:ascii="Arial" w:hAnsi="Arial" w:cs="Arial"/>
          <w:sz w:val="24"/>
          <w:szCs w:val="24"/>
        </w:rPr>
        <w:t>[14]</w:t>
      </w:r>
      <w:r w:rsidRPr="004113D3">
        <w:rPr>
          <w:rFonts w:ascii="Arial" w:hAnsi="Arial" w:cs="Arial"/>
          <w:sz w:val="24"/>
          <w:szCs w:val="24"/>
        </w:rPr>
        <w:tab/>
      </w:r>
      <w:r w:rsidR="00F1604A" w:rsidRPr="00FB6FCC">
        <w:rPr>
          <w:rFonts w:ascii="Arial" w:hAnsi="Arial" w:cs="Arial"/>
          <w:sz w:val="24"/>
          <w:szCs w:val="24"/>
        </w:rPr>
        <w:t>As a result</w:t>
      </w:r>
      <w:r w:rsidR="007B4344" w:rsidRPr="00FB6FCC">
        <w:rPr>
          <w:rFonts w:ascii="Arial" w:hAnsi="Arial" w:cs="Arial"/>
          <w:sz w:val="24"/>
          <w:szCs w:val="24"/>
        </w:rPr>
        <w:t>,</w:t>
      </w:r>
      <w:r w:rsidR="00F1604A" w:rsidRPr="00FB6FCC">
        <w:rPr>
          <w:rFonts w:ascii="Arial" w:hAnsi="Arial" w:cs="Arial"/>
          <w:sz w:val="24"/>
          <w:szCs w:val="24"/>
        </w:rPr>
        <w:t xml:space="preserve"> </w:t>
      </w:r>
      <w:proofErr w:type="spellStart"/>
      <w:r w:rsidR="00F1604A" w:rsidRPr="00FB6FCC">
        <w:rPr>
          <w:rFonts w:ascii="Arial" w:hAnsi="Arial" w:cs="Arial"/>
          <w:sz w:val="24"/>
          <w:szCs w:val="24"/>
        </w:rPr>
        <w:t>Mr</w:t>
      </w:r>
      <w:proofErr w:type="spellEnd"/>
      <w:r w:rsidR="00F1604A" w:rsidRPr="00FB6FCC">
        <w:rPr>
          <w:rFonts w:ascii="Arial" w:hAnsi="Arial" w:cs="Arial"/>
          <w:sz w:val="24"/>
          <w:szCs w:val="24"/>
        </w:rPr>
        <w:t xml:space="preserve"> </w:t>
      </w:r>
      <w:proofErr w:type="spellStart"/>
      <w:r w:rsidR="00F1604A" w:rsidRPr="00FB6FCC">
        <w:rPr>
          <w:rFonts w:ascii="Arial" w:hAnsi="Arial" w:cs="Arial"/>
          <w:sz w:val="24"/>
          <w:szCs w:val="24"/>
        </w:rPr>
        <w:t>Chibwana</w:t>
      </w:r>
      <w:proofErr w:type="spellEnd"/>
      <w:r w:rsidR="00F1604A" w:rsidRPr="00FB6FCC">
        <w:rPr>
          <w:rFonts w:ascii="Arial" w:hAnsi="Arial" w:cs="Arial"/>
          <w:sz w:val="24"/>
          <w:szCs w:val="24"/>
        </w:rPr>
        <w:t xml:space="preserve"> argued that the court should hold that the settlement agreement is enforceable and </w:t>
      </w:r>
      <w:r w:rsidR="00CE125D" w:rsidRPr="00FB6FCC">
        <w:rPr>
          <w:rFonts w:ascii="Arial" w:hAnsi="Arial" w:cs="Arial"/>
          <w:sz w:val="24"/>
          <w:szCs w:val="24"/>
        </w:rPr>
        <w:t xml:space="preserve">that </w:t>
      </w:r>
      <w:r w:rsidR="00F1604A" w:rsidRPr="00FB6FCC">
        <w:rPr>
          <w:rFonts w:ascii="Arial" w:hAnsi="Arial" w:cs="Arial"/>
          <w:sz w:val="24"/>
          <w:szCs w:val="24"/>
        </w:rPr>
        <w:t xml:space="preserve">the defendants’ conduct, given the facts of the matter, should be held to be </w:t>
      </w:r>
      <w:r w:rsidR="007B4344" w:rsidRPr="00FB6FCC">
        <w:rPr>
          <w:rFonts w:ascii="Arial" w:hAnsi="Arial" w:cs="Arial"/>
          <w:sz w:val="24"/>
          <w:szCs w:val="24"/>
        </w:rPr>
        <w:t>frivolous</w:t>
      </w:r>
      <w:r w:rsidR="00F1604A" w:rsidRPr="00FB6FCC">
        <w:rPr>
          <w:rFonts w:ascii="Arial" w:hAnsi="Arial" w:cs="Arial"/>
          <w:sz w:val="24"/>
          <w:szCs w:val="24"/>
        </w:rPr>
        <w:t>.</w:t>
      </w:r>
    </w:p>
    <w:p w14:paraId="3C68E047" w14:textId="77777777" w:rsidR="00F1604A" w:rsidRPr="004113D3" w:rsidRDefault="00F1604A" w:rsidP="004113D3">
      <w:pPr>
        <w:pStyle w:val="ListParagraph"/>
        <w:spacing w:after="0" w:line="360" w:lineRule="auto"/>
        <w:ind w:left="0"/>
        <w:jc w:val="both"/>
        <w:rPr>
          <w:rFonts w:ascii="Arial" w:hAnsi="Arial" w:cs="Arial"/>
          <w:sz w:val="24"/>
          <w:szCs w:val="24"/>
        </w:rPr>
      </w:pPr>
    </w:p>
    <w:p w14:paraId="1E70E14E" w14:textId="77777777" w:rsidR="001B55DB" w:rsidRPr="004113D3" w:rsidRDefault="001B55DB" w:rsidP="00C57A29">
      <w:pPr>
        <w:pStyle w:val="Heading2"/>
      </w:pPr>
      <w:r w:rsidRPr="004113D3">
        <w:t>On behalf of the defendants</w:t>
      </w:r>
    </w:p>
    <w:p w14:paraId="6B803B2F" w14:textId="77777777" w:rsidR="000F3146" w:rsidRPr="004113D3" w:rsidRDefault="000F3146" w:rsidP="000F3146"/>
    <w:p w14:paraId="316B6FB6" w14:textId="77777777" w:rsidR="003E45FC" w:rsidRPr="004113D3" w:rsidRDefault="00EB2A2A" w:rsidP="00EB2A2A">
      <w:pPr>
        <w:pStyle w:val="ListParagraph"/>
        <w:spacing w:after="0" w:line="360" w:lineRule="auto"/>
        <w:ind w:left="0"/>
        <w:jc w:val="both"/>
        <w:rPr>
          <w:rFonts w:ascii="Arial" w:hAnsi="Arial" w:cs="Arial"/>
          <w:sz w:val="24"/>
          <w:szCs w:val="24"/>
        </w:rPr>
      </w:pPr>
      <w:r w:rsidRPr="004113D3">
        <w:rPr>
          <w:rFonts w:ascii="Arial" w:hAnsi="Arial" w:cs="Arial"/>
          <w:sz w:val="24"/>
          <w:szCs w:val="24"/>
        </w:rPr>
        <w:t>[15]</w:t>
      </w:r>
      <w:r w:rsidRPr="004113D3">
        <w:rPr>
          <w:rFonts w:ascii="Arial" w:hAnsi="Arial" w:cs="Arial"/>
          <w:sz w:val="24"/>
          <w:szCs w:val="24"/>
        </w:rPr>
        <w:tab/>
      </w:r>
      <w:r w:rsidR="003E45FC" w:rsidRPr="004113D3">
        <w:rPr>
          <w:rFonts w:ascii="Arial" w:hAnsi="Arial" w:cs="Arial"/>
          <w:sz w:val="24"/>
          <w:szCs w:val="24"/>
        </w:rPr>
        <w:t xml:space="preserve">It is the argument of </w:t>
      </w:r>
      <w:proofErr w:type="spellStart"/>
      <w:r w:rsidR="003E45FC" w:rsidRPr="004113D3">
        <w:rPr>
          <w:rFonts w:ascii="Arial" w:hAnsi="Arial" w:cs="Arial"/>
          <w:sz w:val="24"/>
          <w:szCs w:val="24"/>
        </w:rPr>
        <w:t>Mr</w:t>
      </w:r>
      <w:proofErr w:type="spellEnd"/>
      <w:r w:rsidR="003E45FC" w:rsidRPr="004113D3">
        <w:rPr>
          <w:rFonts w:ascii="Arial" w:hAnsi="Arial" w:cs="Arial"/>
          <w:sz w:val="24"/>
          <w:szCs w:val="24"/>
        </w:rPr>
        <w:t xml:space="preserve"> </w:t>
      </w:r>
      <w:proofErr w:type="spellStart"/>
      <w:r w:rsidR="003E45FC" w:rsidRPr="004113D3">
        <w:rPr>
          <w:rFonts w:ascii="Arial" w:hAnsi="Arial" w:cs="Arial"/>
          <w:sz w:val="24"/>
          <w:szCs w:val="24"/>
        </w:rPr>
        <w:t>Murorua</w:t>
      </w:r>
      <w:proofErr w:type="spellEnd"/>
      <w:r w:rsidR="00CE125D" w:rsidRPr="004113D3">
        <w:rPr>
          <w:rFonts w:ascii="Arial" w:hAnsi="Arial" w:cs="Arial"/>
          <w:sz w:val="24"/>
          <w:szCs w:val="24"/>
        </w:rPr>
        <w:t>, the defendants’ counsel,</w:t>
      </w:r>
      <w:r w:rsidR="003E45FC" w:rsidRPr="004113D3">
        <w:rPr>
          <w:rFonts w:ascii="Arial" w:hAnsi="Arial" w:cs="Arial"/>
          <w:sz w:val="24"/>
          <w:szCs w:val="24"/>
        </w:rPr>
        <w:t xml:space="preserve"> that the current application is improper as</w:t>
      </w:r>
      <w:r w:rsidR="00CE125D" w:rsidRPr="004113D3">
        <w:rPr>
          <w:rFonts w:ascii="Arial" w:hAnsi="Arial" w:cs="Arial"/>
          <w:sz w:val="24"/>
          <w:szCs w:val="24"/>
        </w:rPr>
        <w:t>,</w:t>
      </w:r>
      <w:r w:rsidR="003E45FC" w:rsidRPr="004113D3">
        <w:rPr>
          <w:rFonts w:ascii="Arial" w:hAnsi="Arial" w:cs="Arial"/>
          <w:sz w:val="24"/>
          <w:szCs w:val="24"/>
        </w:rPr>
        <w:t xml:space="preserve"> firstly</w:t>
      </w:r>
      <w:r w:rsidR="00CE125D" w:rsidRPr="004113D3">
        <w:rPr>
          <w:rFonts w:ascii="Arial" w:hAnsi="Arial" w:cs="Arial"/>
          <w:sz w:val="24"/>
          <w:szCs w:val="24"/>
        </w:rPr>
        <w:t>,</w:t>
      </w:r>
      <w:r w:rsidR="003E45FC" w:rsidRPr="004113D3">
        <w:rPr>
          <w:rFonts w:ascii="Arial" w:hAnsi="Arial" w:cs="Arial"/>
          <w:sz w:val="24"/>
          <w:szCs w:val="24"/>
        </w:rPr>
        <w:t xml:space="preserve"> the matter is res judicata</w:t>
      </w:r>
      <w:r w:rsidR="00CE125D" w:rsidRPr="004113D3">
        <w:rPr>
          <w:rFonts w:ascii="Arial" w:hAnsi="Arial" w:cs="Arial"/>
          <w:sz w:val="24"/>
          <w:szCs w:val="24"/>
        </w:rPr>
        <w:t>. Secondly</w:t>
      </w:r>
      <w:r w:rsidR="002774B0" w:rsidRPr="004113D3">
        <w:rPr>
          <w:rFonts w:ascii="Arial" w:hAnsi="Arial" w:cs="Arial"/>
          <w:sz w:val="24"/>
          <w:szCs w:val="24"/>
        </w:rPr>
        <w:t>,</w:t>
      </w:r>
      <w:r w:rsidR="003E45FC" w:rsidRPr="004113D3">
        <w:rPr>
          <w:rFonts w:ascii="Arial" w:hAnsi="Arial" w:cs="Arial"/>
          <w:sz w:val="24"/>
          <w:szCs w:val="24"/>
        </w:rPr>
        <w:t xml:space="preserve"> the court is functus officio in relation to the order of 24 October 2022</w:t>
      </w:r>
      <w:r w:rsidR="00CE125D" w:rsidRPr="004113D3">
        <w:rPr>
          <w:rFonts w:ascii="Arial" w:hAnsi="Arial" w:cs="Arial"/>
          <w:sz w:val="24"/>
          <w:szCs w:val="24"/>
        </w:rPr>
        <w:t>,</w:t>
      </w:r>
      <w:r w:rsidR="003E45FC" w:rsidRPr="004113D3">
        <w:rPr>
          <w:rFonts w:ascii="Arial" w:hAnsi="Arial" w:cs="Arial"/>
          <w:sz w:val="24"/>
          <w:szCs w:val="24"/>
        </w:rPr>
        <w:t xml:space="preserve"> and thirdly</w:t>
      </w:r>
      <w:r w:rsidR="00CE125D" w:rsidRPr="004113D3">
        <w:rPr>
          <w:rFonts w:ascii="Arial" w:hAnsi="Arial" w:cs="Arial"/>
          <w:sz w:val="24"/>
          <w:szCs w:val="24"/>
        </w:rPr>
        <w:t>,</w:t>
      </w:r>
      <w:r w:rsidR="003E45FC" w:rsidRPr="004113D3">
        <w:rPr>
          <w:rFonts w:ascii="Arial" w:hAnsi="Arial" w:cs="Arial"/>
          <w:sz w:val="24"/>
          <w:szCs w:val="24"/>
        </w:rPr>
        <w:t xml:space="preserve"> there is a violation of the Act</w:t>
      </w:r>
      <w:r w:rsidR="00CE125D" w:rsidRPr="004113D3">
        <w:rPr>
          <w:rFonts w:ascii="Arial" w:hAnsi="Arial" w:cs="Arial"/>
          <w:sz w:val="24"/>
          <w:szCs w:val="24"/>
        </w:rPr>
        <w:t>. As</w:t>
      </w:r>
      <w:r w:rsidR="001B55DB" w:rsidRPr="004113D3">
        <w:rPr>
          <w:rFonts w:ascii="Arial" w:hAnsi="Arial" w:cs="Arial"/>
          <w:sz w:val="24"/>
          <w:szCs w:val="24"/>
        </w:rPr>
        <w:t xml:space="preserve"> a matter of law</w:t>
      </w:r>
      <w:r w:rsidR="00CE125D" w:rsidRPr="004113D3">
        <w:rPr>
          <w:rFonts w:ascii="Arial" w:hAnsi="Arial" w:cs="Arial"/>
          <w:sz w:val="24"/>
          <w:szCs w:val="24"/>
        </w:rPr>
        <w:t>,</w:t>
      </w:r>
      <w:r w:rsidR="001B55DB" w:rsidRPr="004113D3">
        <w:rPr>
          <w:rFonts w:ascii="Arial" w:hAnsi="Arial" w:cs="Arial"/>
          <w:sz w:val="24"/>
          <w:szCs w:val="24"/>
        </w:rPr>
        <w:t xml:space="preserve"> it is not prosecutable </w:t>
      </w:r>
      <w:proofErr w:type="gramStart"/>
      <w:r w:rsidR="001B55DB" w:rsidRPr="004113D3">
        <w:rPr>
          <w:rFonts w:ascii="Arial" w:hAnsi="Arial" w:cs="Arial"/>
          <w:sz w:val="24"/>
          <w:szCs w:val="24"/>
        </w:rPr>
        <w:t>on the basis of</w:t>
      </w:r>
      <w:proofErr w:type="gramEnd"/>
      <w:r w:rsidR="001B55DB" w:rsidRPr="004113D3">
        <w:rPr>
          <w:rFonts w:ascii="Arial" w:hAnsi="Arial" w:cs="Arial"/>
          <w:sz w:val="24"/>
          <w:szCs w:val="24"/>
        </w:rPr>
        <w:t xml:space="preserve"> an interlocutory application. </w:t>
      </w:r>
    </w:p>
    <w:p w14:paraId="01A979DB" w14:textId="77777777" w:rsidR="001B55DB" w:rsidRPr="004113D3" w:rsidRDefault="001B55DB" w:rsidP="001B55DB">
      <w:pPr>
        <w:pStyle w:val="ListParagraph"/>
        <w:spacing w:after="0" w:line="360" w:lineRule="auto"/>
        <w:ind w:left="0"/>
        <w:jc w:val="both"/>
        <w:rPr>
          <w:rFonts w:ascii="Arial" w:hAnsi="Arial" w:cs="Arial"/>
          <w:sz w:val="24"/>
          <w:szCs w:val="24"/>
        </w:rPr>
      </w:pPr>
    </w:p>
    <w:p w14:paraId="5DB466C7" w14:textId="77777777" w:rsidR="001B55DB" w:rsidRPr="004113D3" w:rsidRDefault="00EB2A2A" w:rsidP="00EB2A2A">
      <w:pPr>
        <w:pStyle w:val="ListParagraph"/>
        <w:spacing w:after="0" w:line="360" w:lineRule="auto"/>
        <w:ind w:left="0"/>
        <w:jc w:val="both"/>
        <w:rPr>
          <w:rFonts w:ascii="Arial" w:hAnsi="Arial" w:cs="Arial"/>
          <w:sz w:val="24"/>
          <w:szCs w:val="24"/>
        </w:rPr>
      </w:pPr>
      <w:r w:rsidRPr="004113D3">
        <w:rPr>
          <w:rFonts w:ascii="Arial" w:hAnsi="Arial" w:cs="Arial"/>
          <w:sz w:val="24"/>
          <w:szCs w:val="24"/>
        </w:rPr>
        <w:t>[16]</w:t>
      </w:r>
      <w:r w:rsidRPr="004113D3">
        <w:rPr>
          <w:rFonts w:ascii="Arial" w:hAnsi="Arial" w:cs="Arial"/>
          <w:sz w:val="24"/>
          <w:szCs w:val="24"/>
        </w:rPr>
        <w:tab/>
      </w:r>
      <w:proofErr w:type="spellStart"/>
      <w:r w:rsidR="001B55DB" w:rsidRPr="004113D3">
        <w:rPr>
          <w:rFonts w:ascii="Arial" w:hAnsi="Arial" w:cs="Arial"/>
          <w:sz w:val="24"/>
          <w:szCs w:val="24"/>
        </w:rPr>
        <w:t>Mr</w:t>
      </w:r>
      <w:proofErr w:type="spellEnd"/>
      <w:r w:rsidR="001B55DB" w:rsidRPr="004113D3">
        <w:rPr>
          <w:rFonts w:ascii="Arial" w:hAnsi="Arial" w:cs="Arial"/>
          <w:sz w:val="24"/>
          <w:szCs w:val="24"/>
        </w:rPr>
        <w:t xml:space="preserve"> </w:t>
      </w:r>
      <w:proofErr w:type="spellStart"/>
      <w:r w:rsidR="001B55DB" w:rsidRPr="004113D3">
        <w:rPr>
          <w:rFonts w:ascii="Arial" w:hAnsi="Arial" w:cs="Arial"/>
          <w:sz w:val="24"/>
          <w:szCs w:val="24"/>
        </w:rPr>
        <w:t>Murorua</w:t>
      </w:r>
      <w:proofErr w:type="spellEnd"/>
      <w:r w:rsidR="001B55DB" w:rsidRPr="004113D3">
        <w:rPr>
          <w:rFonts w:ascii="Arial" w:hAnsi="Arial" w:cs="Arial"/>
          <w:sz w:val="24"/>
          <w:szCs w:val="24"/>
        </w:rPr>
        <w:t xml:space="preserve"> again referred the court to s 1(1) of the Formalities in respect of </w:t>
      </w:r>
      <w:r w:rsidR="000F3146" w:rsidRPr="004113D3">
        <w:rPr>
          <w:rFonts w:ascii="Arial" w:hAnsi="Arial" w:cs="Arial"/>
          <w:sz w:val="24"/>
          <w:szCs w:val="24"/>
        </w:rPr>
        <w:t xml:space="preserve">the </w:t>
      </w:r>
      <w:r w:rsidR="001B55DB" w:rsidRPr="004113D3">
        <w:rPr>
          <w:rFonts w:ascii="Arial" w:hAnsi="Arial" w:cs="Arial"/>
          <w:sz w:val="24"/>
          <w:szCs w:val="24"/>
        </w:rPr>
        <w:t xml:space="preserve">Sale of Land Act, which provides that ‘no contract of sale of land or any interest in land (other than a lease, </w:t>
      </w:r>
      <w:proofErr w:type="spellStart"/>
      <w:r w:rsidR="001B55DB" w:rsidRPr="004113D3">
        <w:rPr>
          <w:rFonts w:ascii="Arial" w:hAnsi="Arial" w:cs="Arial"/>
          <w:sz w:val="24"/>
          <w:szCs w:val="24"/>
        </w:rPr>
        <w:t>mynpacht</w:t>
      </w:r>
      <w:proofErr w:type="spellEnd"/>
      <w:r w:rsidR="001B55DB" w:rsidRPr="004113D3">
        <w:rPr>
          <w:rFonts w:ascii="Arial" w:hAnsi="Arial" w:cs="Arial"/>
          <w:sz w:val="24"/>
          <w:szCs w:val="24"/>
        </w:rPr>
        <w:t xml:space="preserve"> or mining claim or stand) shall be of any force or effect if concluded after the commencement of this Act unless it is reduced to writing and signed by the parties thereto or by their agents acting on their written authority’</w:t>
      </w:r>
      <w:r w:rsidR="000F3146" w:rsidRPr="004113D3">
        <w:rPr>
          <w:rFonts w:ascii="Arial" w:hAnsi="Arial" w:cs="Arial"/>
          <w:i/>
          <w:sz w:val="24"/>
          <w:szCs w:val="24"/>
        </w:rPr>
        <w:t>.</w:t>
      </w:r>
    </w:p>
    <w:p w14:paraId="6CD7BE2D" w14:textId="77777777" w:rsidR="001B55DB" w:rsidRPr="004113D3" w:rsidRDefault="001B55DB" w:rsidP="001B55DB">
      <w:pPr>
        <w:pStyle w:val="ListParagraph"/>
        <w:rPr>
          <w:rFonts w:ascii="Arial" w:hAnsi="Arial" w:cs="Arial"/>
          <w:sz w:val="24"/>
          <w:szCs w:val="24"/>
        </w:rPr>
      </w:pPr>
    </w:p>
    <w:p w14:paraId="2BA7C081" w14:textId="77777777" w:rsidR="002D4098" w:rsidRPr="004113D3" w:rsidRDefault="00EB2A2A" w:rsidP="00EB2A2A">
      <w:pPr>
        <w:pStyle w:val="ListParagraph"/>
        <w:spacing w:after="0" w:line="360" w:lineRule="auto"/>
        <w:ind w:left="0"/>
        <w:jc w:val="both"/>
        <w:rPr>
          <w:rFonts w:ascii="Arial" w:hAnsi="Arial" w:cs="Arial"/>
          <w:sz w:val="24"/>
          <w:szCs w:val="24"/>
        </w:rPr>
      </w:pPr>
      <w:r w:rsidRPr="004113D3">
        <w:rPr>
          <w:rFonts w:ascii="Arial" w:hAnsi="Arial" w:cs="Arial"/>
          <w:sz w:val="24"/>
          <w:szCs w:val="24"/>
        </w:rPr>
        <w:lastRenderedPageBreak/>
        <w:t>[17]</w:t>
      </w:r>
      <w:r w:rsidRPr="004113D3">
        <w:rPr>
          <w:rFonts w:ascii="Arial" w:hAnsi="Arial" w:cs="Arial"/>
          <w:sz w:val="24"/>
          <w:szCs w:val="24"/>
        </w:rPr>
        <w:tab/>
      </w:r>
      <w:r w:rsidR="00131E25" w:rsidRPr="004113D3">
        <w:rPr>
          <w:rFonts w:ascii="Arial" w:hAnsi="Arial" w:cs="Arial"/>
          <w:sz w:val="24"/>
          <w:szCs w:val="24"/>
        </w:rPr>
        <w:t xml:space="preserve">He further </w:t>
      </w:r>
      <w:r w:rsidR="001B55DB" w:rsidRPr="004113D3">
        <w:rPr>
          <w:rFonts w:ascii="Arial" w:hAnsi="Arial" w:cs="Arial"/>
          <w:sz w:val="24"/>
          <w:szCs w:val="24"/>
        </w:rPr>
        <w:t>argued that the plaintiffs</w:t>
      </w:r>
      <w:r w:rsidR="00C7351F">
        <w:rPr>
          <w:rFonts w:ascii="Arial" w:hAnsi="Arial" w:cs="Arial"/>
          <w:sz w:val="24"/>
          <w:szCs w:val="24"/>
        </w:rPr>
        <w:t>,</w:t>
      </w:r>
      <w:r w:rsidR="001B55DB" w:rsidRPr="004113D3">
        <w:rPr>
          <w:rFonts w:ascii="Arial" w:hAnsi="Arial" w:cs="Arial"/>
          <w:sz w:val="24"/>
          <w:szCs w:val="24"/>
        </w:rPr>
        <w:t xml:space="preserve"> have for purposes of the current application</w:t>
      </w:r>
      <w:r w:rsidR="00CE125D" w:rsidRPr="004113D3">
        <w:rPr>
          <w:rFonts w:ascii="Arial" w:hAnsi="Arial" w:cs="Arial"/>
          <w:sz w:val="24"/>
          <w:szCs w:val="24"/>
        </w:rPr>
        <w:t>,</w:t>
      </w:r>
      <w:r w:rsidR="001B55DB" w:rsidRPr="004113D3">
        <w:rPr>
          <w:rFonts w:ascii="Arial" w:hAnsi="Arial" w:cs="Arial"/>
          <w:sz w:val="24"/>
          <w:szCs w:val="24"/>
        </w:rPr>
        <w:t xml:space="preserve"> not put up any signed contract of sale of land or a deed of donation</w:t>
      </w:r>
      <w:r w:rsidR="002D4098" w:rsidRPr="004113D3">
        <w:rPr>
          <w:rFonts w:ascii="Arial" w:hAnsi="Arial" w:cs="Arial"/>
          <w:sz w:val="24"/>
          <w:szCs w:val="24"/>
        </w:rPr>
        <w:t xml:space="preserve">, which requires </w:t>
      </w:r>
      <w:r w:rsidR="00131E25" w:rsidRPr="004113D3">
        <w:rPr>
          <w:rFonts w:ascii="Arial" w:hAnsi="Arial" w:cs="Arial"/>
          <w:sz w:val="24"/>
          <w:szCs w:val="24"/>
        </w:rPr>
        <w:t xml:space="preserve">compliance with </w:t>
      </w:r>
      <w:r w:rsidR="002D4098" w:rsidRPr="004113D3">
        <w:rPr>
          <w:rFonts w:ascii="Arial" w:hAnsi="Arial" w:cs="Arial"/>
          <w:sz w:val="24"/>
          <w:szCs w:val="24"/>
        </w:rPr>
        <w:t xml:space="preserve">the aforesaid formalities set out in s 1(1) </w:t>
      </w:r>
      <w:r w:rsidR="00CE125D" w:rsidRPr="004113D3">
        <w:rPr>
          <w:rFonts w:ascii="Arial" w:hAnsi="Arial" w:cs="Arial"/>
          <w:sz w:val="24"/>
          <w:szCs w:val="24"/>
        </w:rPr>
        <w:t>of the Act</w:t>
      </w:r>
      <w:r w:rsidR="002D4098" w:rsidRPr="004113D3">
        <w:rPr>
          <w:rFonts w:ascii="Arial" w:hAnsi="Arial" w:cs="Arial"/>
          <w:sz w:val="24"/>
          <w:szCs w:val="24"/>
        </w:rPr>
        <w:t xml:space="preserve"> and the court cannot compel the defendants to enter into a contract for the sale of land, and the oral </w:t>
      </w:r>
      <w:r w:rsidR="00131E25" w:rsidRPr="004113D3">
        <w:rPr>
          <w:rFonts w:ascii="Arial" w:hAnsi="Arial" w:cs="Arial"/>
          <w:sz w:val="24"/>
          <w:szCs w:val="24"/>
        </w:rPr>
        <w:t xml:space="preserve">agreement reached during </w:t>
      </w:r>
      <w:r w:rsidR="002D4098" w:rsidRPr="004113D3">
        <w:rPr>
          <w:rFonts w:ascii="Arial" w:hAnsi="Arial" w:cs="Arial"/>
          <w:sz w:val="24"/>
          <w:szCs w:val="24"/>
        </w:rPr>
        <w:t xml:space="preserve">mediation is not a deed of sale or deed of donation. </w:t>
      </w:r>
    </w:p>
    <w:p w14:paraId="5D90EDF4" w14:textId="77777777" w:rsidR="002D4098" w:rsidRPr="004113D3" w:rsidRDefault="002D4098" w:rsidP="002D4098">
      <w:pPr>
        <w:pStyle w:val="ListParagraph"/>
        <w:rPr>
          <w:rFonts w:ascii="Arial" w:hAnsi="Arial" w:cs="Arial"/>
          <w:sz w:val="24"/>
          <w:szCs w:val="24"/>
        </w:rPr>
      </w:pPr>
    </w:p>
    <w:p w14:paraId="1C05825C" w14:textId="77777777" w:rsidR="001B55DB" w:rsidRPr="004113D3" w:rsidRDefault="00EB2A2A" w:rsidP="00EB2A2A">
      <w:pPr>
        <w:pStyle w:val="ListParagraph"/>
        <w:spacing w:after="0" w:line="360" w:lineRule="auto"/>
        <w:ind w:left="0"/>
        <w:jc w:val="both"/>
        <w:rPr>
          <w:rFonts w:ascii="Arial" w:hAnsi="Arial" w:cs="Arial"/>
          <w:sz w:val="24"/>
          <w:szCs w:val="24"/>
        </w:rPr>
      </w:pPr>
      <w:r w:rsidRPr="004113D3">
        <w:rPr>
          <w:rFonts w:ascii="Arial" w:hAnsi="Arial" w:cs="Arial"/>
          <w:sz w:val="24"/>
          <w:szCs w:val="24"/>
        </w:rPr>
        <w:t>[18]</w:t>
      </w:r>
      <w:r w:rsidRPr="004113D3">
        <w:rPr>
          <w:rFonts w:ascii="Arial" w:hAnsi="Arial" w:cs="Arial"/>
          <w:sz w:val="24"/>
          <w:szCs w:val="24"/>
        </w:rPr>
        <w:tab/>
      </w:r>
      <w:r w:rsidR="002D4098" w:rsidRPr="004113D3">
        <w:rPr>
          <w:rFonts w:ascii="Arial" w:hAnsi="Arial" w:cs="Arial"/>
          <w:sz w:val="24"/>
          <w:szCs w:val="24"/>
        </w:rPr>
        <w:t xml:space="preserve">Counsel submitted that the effect of </w:t>
      </w:r>
      <w:r w:rsidR="00131E25" w:rsidRPr="004113D3">
        <w:rPr>
          <w:rFonts w:ascii="Arial" w:hAnsi="Arial" w:cs="Arial"/>
          <w:sz w:val="24"/>
          <w:szCs w:val="24"/>
        </w:rPr>
        <w:t xml:space="preserve">the </w:t>
      </w:r>
      <w:r w:rsidR="002D4098" w:rsidRPr="004113D3">
        <w:rPr>
          <w:rFonts w:ascii="Arial" w:hAnsi="Arial" w:cs="Arial"/>
          <w:sz w:val="24"/>
          <w:szCs w:val="24"/>
        </w:rPr>
        <w:t>non-compliance with the requirements of the Act is that the contract shall have no f</w:t>
      </w:r>
      <w:r w:rsidR="00131E25" w:rsidRPr="004113D3">
        <w:rPr>
          <w:rFonts w:ascii="Arial" w:hAnsi="Arial" w:cs="Arial"/>
          <w:sz w:val="24"/>
          <w:szCs w:val="24"/>
        </w:rPr>
        <w:t xml:space="preserve">orce or effect. Further to this, </w:t>
      </w:r>
      <w:proofErr w:type="spellStart"/>
      <w:r w:rsidR="002D4098" w:rsidRPr="004113D3">
        <w:rPr>
          <w:rFonts w:ascii="Arial" w:hAnsi="Arial" w:cs="Arial"/>
          <w:sz w:val="24"/>
          <w:szCs w:val="24"/>
        </w:rPr>
        <w:t>Mr</w:t>
      </w:r>
      <w:proofErr w:type="spellEnd"/>
      <w:r w:rsidR="002D4098" w:rsidRPr="004113D3">
        <w:rPr>
          <w:rFonts w:ascii="Arial" w:hAnsi="Arial" w:cs="Arial"/>
          <w:sz w:val="24"/>
          <w:szCs w:val="24"/>
        </w:rPr>
        <w:t xml:space="preserve"> </w:t>
      </w:r>
      <w:proofErr w:type="spellStart"/>
      <w:r w:rsidR="002D4098" w:rsidRPr="004113D3">
        <w:rPr>
          <w:rFonts w:ascii="Arial" w:hAnsi="Arial" w:cs="Arial"/>
          <w:sz w:val="24"/>
          <w:szCs w:val="24"/>
        </w:rPr>
        <w:t>Murorua</w:t>
      </w:r>
      <w:proofErr w:type="spellEnd"/>
      <w:r w:rsidR="002D4098" w:rsidRPr="004113D3">
        <w:rPr>
          <w:rFonts w:ascii="Arial" w:hAnsi="Arial" w:cs="Arial"/>
          <w:sz w:val="24"/>
          <w:szCs w:val="24"/>
        </w:rPr>
        <w:t xml:space="preserve"> argued that the enforcement of a settlement agreement which </w:t>
      </w:r>
      <w:r w:rsidR="00131E25" w:rsidRPr="004113D3">
        <w:rPr>
          <w:rFonts w:ascii="Arial" w:hAnsi="Arial" w:cs="Arial"/>
          <w:sz w:val="24"/>
          <w:szCs w:val="24"/>
        </w:rPr>
        <w:t>h</w:t>
      </w:r>
      <w:r w:rsidR="002D4098" w:rsidRPr="004113D3">
        <w:rPr>
          <w:rFonts w:ascii="Arial" w:hAnsi="Arial" w:cs="Arial"/>
          <w:sz w:val="24"/>
          <w:szCs w:val="24"/>
        </w:rPr>
        <w:t xml:space="preserve">as already been made an order of court is carried out </w:t>
      </w:r>
      <w:r w:rsidR="00CE125D" w:rsidRPr="004113D3">
        <w:rPr>
          <w:rFonts w:ascii="Arial" w:hAnsi="Arial" w:cs="Arial"/>
          <w:sz w:val="24"/>
          <w:szCs w:val="24"/>
        </w:rPr>
        <w:t>through</w:t>
      </w:r>
      <w:r w:rsidR="002D4098" w:rsidRPr="004113D3">
        <w:rPr>
          <w:rFonts w:ascii="Arial" w:hAnsi="Arial" w:cs="Arial"/>
          <w:sz w:val="24"/>
          <w:szCs w:val="24"/>
        </w:rPr>
        <w:t xml:space="preserve"> execution proceedings with the office of the Deputy Sherriff and not by further interlocutory proceedings to circumvent the Act.  </w:t>
      </w:r>
    </w:p>
    <w:p w14:paraId="1A66B94C" w14:textId="77777777" w:rsidR="00AB7B0C" w:rsidRPr="004113D3" w:rsidRDefault="00AB7B0C" w:rsidP="00AB7B0C">
      <w:pPr>
        <w:pStyle w:val="ListParagraph"/>
        <w:rPr>
          <w:rFonts w:ascii="Arial" w:hAnsi="Arial" w:cs="Arial"/>
          <w:sz w:val="24"/>
          <w:szCs w:val="24"/>
        </w:rPr>
      </w:pPr>
    </w:p>
    <w:p w14:paraId="71DF6316" w14:textId="77777777" w:rsidR="00AB7B0C" w:rsidRPr="004113D3" w:rsidRDefault="00EB2A2A" w:rsidP="00EB2A2A">
      <w:pPr>
        <w:pStyle w:val="ListParagraph"/>
        <w:spacing w:after="0" w:line="360" w:lineRule="auto"/>
        <w:ind w:left="0"/>
        <w:jc w:val="both"/>
        <w:rPr>
          <w:rFonts w:ascii="Arial" w:hAnsi="Arial" w:cs="Arial"/>
          <w:sz w:val="24"/>
          <w:szCs w:val="24"/>
        </w:rPr>
      </w:pPr>
      <w:r w:rsidRPr="004113D3">
        <w:rPr>
          <w:rFonts w:ascii="Arial" w:hAnsi="Arial" w:cs="Arial"/>
          <w:sz w:val="24"/>
          <w:szCs w:val="24"/>
        </w:rPr>
        <w:t>[19]</w:t>
      </w:r>
      <w:r w:rsidRPr="004113D3">
        <w:rPr>
          <w:rFonts w:ascii="Arial" w:hAnsi="Arial" w:cs="Arial"/>
          <w:sz w:val="24"/>
          <w:szCs w:val="24"/>
        </w:rPr>
        <w:tab/>
      </w:r>
      <w:r w:rsidR="00AB7B0C" w:rsidRPr="004113D3">
        <w:rPr>
          <w:rFonts w:ascii="Arial" w:hAnsi="Arial" w:cs="Arial"/>
          <w:sz w:val="24"/>
          <w:szCs w:val="24"/>
        </w:rPr>
        <w:t>It was further argued that the defendants are not nominee owners on behalf of the plaintiffs</w:t>
      </w:r>
      <w:r w:rsidR="00CE125D" w:rsidRPr="004113D3">
        <w:rPr>
          <w:rFonts w:ascii="Arial" w:hAnsi="Arial" w:cs="Arial"/>
          <w:sz w:val="24"/>
          <w:szCs w:val="24"/>
        </w:rPr>
        <w:t>,</w:t>
      </w:r>
      <w:r w:rsidR="00AB7B0C" w:rsidRPr="004113D3">
        <w:rPr>
          <w:rFonts w:ascii="Arial" w:hAnsi="Arial" w:cs="Arial"/>
          <w:sz w:val="24"/>
          <w:szCs w:val="24"/>
        </w:rPr>
        <w:t xml:space="preserve"> and the plaintiffs must first prove title to the property by way of action proceedings before they can claim registration of transfer of the said property. </w:t>
      </w:r>
      <w:proofErr w:type="spellStart"/>
      <w:r w:rsidR="00263E8B" w:rsidRPr="004113D3">
        <w:rPr>
          <w:rFonts w:ascii="Arial" w:hAnsi="Arial" w:cs="Arial"/>
          <w:sz w:val="24"/>
          <w:szCs w:val="24"/>
        </w:rPr>
        <w:t>Mr</w:t>
      </w:r>
      <w:proofErr w:type="spellEnd"/>
      <w:r w:rsidR="00263E8B" w:rsidRPr="004113D3">
        <w:rPr>
          <w:rFonts w:ascii="Arial" w:hAnsi="Arial" w:cs="Arial"/>
          <w:sz w:val="24"/>
          <w:szCs w:val="24"/>
        </w:rPr>
        <w:t xml:space="preserve"> </w:t>
      </w:r>
      <w:proofErr w:type="spellStart"/>
      <w:r w:rsidR="00263E8B" w:rsidRPr="004113D3">
        <w:rPr>
          <w:rFonts w:ascii="Arial" w:hAnsi="Arial" w:cs="Arial"/>
          <w:sz w:val="24"/>
          <w:szCs w:val="24"/>
        </w:rPr>
        <w:t>Murorua</w:t>
      </w:r>
      <w:proofErr w:type="spellEnd"/>
      <w:r w:rsidR="00263E8B" w:rsidRPr="004113D3">
        <w:rPr>
          <w:rFonts w:ascii="Arial" w:hAnsi="Arial" w:cs="Arial"/>
          <w:sz w:val="24"/>
          <w:szCs w:val="24"/>
        </w:rPr>
        <w:t xml:space="preserve"> </w:t>
      </w:r>
      <w:r w:rsidR="00131E25" w:rsidRPr="004113D3">
        <w:rPr>
          <w:rFonts w:ascii="Arial" w:hAnsi="Arial" w:cs="Arial"/>
          <w:sz w:val="24"/>
          <w:szCs w:val="24"/>
        </w:rPr>
        <w:t xml:space="preserve">vehemently </w:t>
      </w:r>
      <w:r w:rsidR="00263E8B" w:rsidRPr="004113D3">
        <w:rPr>
          <w:rFonts w:ascii="Arial" w:hAnsi="Arial" w:cs="Arial"/>
          <w:sz w:val="24"/>
          <w:szCs w:val="24"/>
        </w:rPr>
        <w:t xml:space="preserve">argued that the enforcement of the settlement agreement and the further agreements flowing from the settlement agreement, which is affected by the Act and that the enforcement of the settlement agreement insofar as it involves </w:t>
      </w:r>
      <w:r w:rsidR="00CE125D" w:rsidRPr="004113D3">
        <w:rPr>
          <w:rFonts w:ascii="Arial" w:hAnsi="Arial" w:cs="Arial"/>
          <w:sz w:val="24"/>
          <w:szCs w:val="24"/>
        </w:rPr>
        <w:t xml:space="preserve">the </w:t>
      </w:r>
      <w:r w:rsidR="00263E8B" w:rsidRPr="004113D3">
        <w:rPr>
          <w:rFonts w:ascii="Arial" w:hAnsi="Arial" w:cs="Arial"/>
          <w:sz w:val="24"/>
          <w:szCs w:val="24"/>
        </w:rPr>
        <w:t>transfer of land must take account of the Formalities in respect of the Sal</w:t>
      </w:r>
      <w:r w:rsidR="00131E25" w:rsidRPr="004113D3">
        <w:rPr>
          <w:rFonts w:ascii="Arial" w:hAnsi="Arial" w:cs="Arial"/>
          <w:sz w:val="24"/>
          <w:szCs w:val="24"/>
        </w:rPr>
        <w:t>e</w:t>
      </w:r>
      <w:r w:rsidR="00263E8B" w:rsidRPr="004113D3">
        <w:rPr>
          <w:rFonts w:ascii="Arial" w:hAnsi="Arial" w:cs="Arial"/>
          <w:sz w:val="24"/>
          <w:szCs w:val="24"/>
        </w:rPr>
        <w:t xml:space="preserve"> of Land Act, which legislation is not ousted by enforcement of a settlement agreement.</w:t>
      </w:r>
    </w:p>
    <w:p w14:paraId="21E931F7" w14:textId="77777777" w:rsidR="00263E8B" w:rsidRPr="004113D3" w:rsidRDefault="00263E8B" w:rsidP="00263E8B">
      <w:pPr>
        <w:pStyle w:val="ListParagraph"/>
        <w:rPr>
          <w:rFonts w:ascii="Arial" w:hAnsi="Arial" w:cs="Arial"/>
          <w:sz w:val="24"/>
          <w:szCs w:val="24"/>
        </w:rPr>
      </w:pPr>
    </w:p>
    <w:p w14:paraId="0A2E84A9" w14:textId="77777777" w:rsidR="00263E8B" w:rsidRPr="004113D3" w:rsidRDefault="00EB2A2A" w:rsidP="00EB2A2A">
      <w:pPr>
        <w:pStyle w:val="ListParagraph"/>
        <w:spacing w:after="0" w:line="360" w:lineRule="auto"/>
        <w:ind w:left="0"/>
        <w:jc w:val="both"/>
        <w:rPr>
          <w:rFonts w:ascii="Arial" w:hAnsi="Arial" w:cs="Arial"/>
          <w:sz w:val="24"/>
          <w:szCs w:val="24"/>
        </w:rPr>
      </w:pPr>
      <w:r w:rsidRPr="004113D3">
        <w:rPr>
          <w:rFonts w:ascii="Arial" w:hAnsi="Arial" w:cs="Arial"/>
          <w:sz w:val="24"/>
          <w:szCs w:val="24"/>
        </w:rPr>
        <w:t>[20]</w:t>
      </w:r>
      <w:r w:rsidRPr="004113D3">
        <w:rPr>
          <w:rFonts w:ascii="Arial" w:hAnsi="Arial" w:cs="Arial"/>
          <w:sz w:val="24"/>
          <w:szCs w:val="24"/>
        </w:rPr>
        <w:tab/>
      </w:r>
      <w:r w:rsidR="00263E8B" w:rsidRPr="004113D3">
        <w:rPr>
          <w:rFonts w:ascii="Arial" w:hAnsi="Arial" w:cs="Arial"/>
          <w:sz w:val="24"/>
          <w:szCs w:val="24"/>
        </w:rPr>
        <w:t>The defendants further conclusively established their title to the immovable property</w:t>
      </w:r>
      <w:r w:rsidR="00CE125D" w:rsidRPr="004113D3">
        <w:rPr>
          <w:rFonts w:ascii="Arial" w:hAnsi="Arial" w:cs="Arial"/>
          <w:sz w:val="24"/>
          <w:szCs w:val="24"/>
        </w:rPr>
        <w:t>,</w:t>
      </w:r>
      <w:r w:rsidR="00263E8B" w:rsidRPr="004113D3">
        <w:rPr>
          <w:rFonts w:ascii="Arial" w:hAnsi="Arial" w:cs="Arial"/>
          <w:sz w:val="24"/>
          <w:szCs w:val="24"/>
        </w:rPr>
        <w:t xml:space="preserve"> whereas the plaintiff</w:t>
      </w:r>
      <w:r w:rsidR="00CE125D" w:rsidRPr="004113D3">
        <w:rPr>
          <w:rFonts w:ascii="Arial" w:hAnsi="Arial" w:cs="Arial"/>
          <w:sz w:val="24"/>
          <w:szCs w:val="24"/>
        </w:rPr>
        <w:t>s’</w:t>
      </w:r>
      <w:r w:rsidR="00263E8B" w:rsidRPr="004113D3">
        <w:rPr>
          <w:rFonts w:ascii="Arial" w:hAnsi="Arial" w:cs="Arial"/>
          <w:sz w:val="24"/>
          <w:szCs w:val="24"/>
        </w:rPr>
        <w:t xml:space="preserve"> claim is untested to date. </w:t>
      </w:r>
    </w:p>
    <w:p w14:paraId="35A3F627" w14:textId="77777777" w:rsidR="00AB7B0C" w:rsidRPr="004113D3" w:rsidRDefault="00AB7B0C" w:rsidP="00AB7B0C">
      <w:pPr>
        <w:pStyle w:val="ListParagraph"/>
        <w:rPr>
          <w:rFonts w:ascii="Arial" w:hAnsi="Arial" w:cs="Arial"/>
          <w:sz w:val="24"/>
          <w:szCs w:val="24"/>
        </w:rPr>
      </w:pPr>
    </w:p>
    <w:p w14:paraId="6E26F6D4" w14:textId="77777777" w:rsidR="00AB7B0C" w:rsidRPr="004113D3" w:rsidRDefault="00EB2A2A" w:rsidP="00EB2A2A">
      <w:pPr>
        <w:pStyle w:val="ListParagraph"/>
        <w:spacing w:after="0" w:line="360" w:lineRule="auto"/>
        <w:ind w:left="0"/>
        <w:jc w:val="both"/>
        <w:rPr>
          <w:rFonts w:ascii="Arial" w:hAnsi="Arial" w:cs="Arial"/>
          <w:sz w:val="24"/>
          <w:szCs w:val="24"/>
        </w:rPr>
      </w:pPr>
      <w:r w:rsidRPr="004113D3">
        <w:rPr>
          <w:rFonts w:ascii="Arial" w:hAnsi="Arial" w:cs="Arial"/>
          <w:sz w:val="24"/>
          <w:szCs w:val="24"/>
        </w:rPr>
        <w:t>[21]</w:t>
      </w:r>
      <w:r w:rsidRPr="004113D3">
        <w:rPr>
          <w:rFonts w:ascii="Arial" w:hAnsi="Arial" w:cs="Arial"/>
          <w:sz w:val="24"/>
          <w:szCs w:val="24"/>
        </w:rPr>
        <w:tab/>
      </w:r>
      <w:proofErr w:type="spellStart"/>
      <w:r w:rsidR="00AB7B0C" w:rsidRPr="004113D3">
        <w:rPr>
          <w:rFonts w:ascii="Arial" w:hAnsi="Arial" w:cs="Arial"/>
          <w:sz w:val="24"/>
          <w:szCs w:val="24"/>
        </w:rPr>
        <w:t>Mr</w:t>
      </w:r>
      <w:proofErr w:type="spellEnd"/>
      <w:r w:rsidR="00AB7B0C" w:rsidRPr="004113D3">
        <w:rPr>
          <w:rFonts w:ascii="Arial" w:hAnsi="Arial" w:cs="Arial"/>
          <w:sz w:val="24"/>
          <w:szCs w:val="24"/>
        </w:rPr>
        <w:t xml:space="preserve"> </w:t>
      </w:r>
      <w:proofErr w:type="spellStart"/>
      <w:r w:rsidR="00AB7B0C" w:rsidRPr="004113D3">
        <w:rPr>
          <w:rFonts w:ascii="Arial" w:hAnsi="Arial" w:cs="Arial"/>
          <w:sz w:val="24"/>
          <w:szCs w:val="24"/>
        </w:rPr>
        <w:t>Murorua</w:t>
      </w:r>
      <w:proofErr w:type="spellEnd"/>
      <w:r w:rsidR="00AB7B0C" w:rsidRPr="004113D3">
        <w:rPr>
          <w:rFonts w:ascii="Arial" w:hAnsi="Arial" w:cs="Arial"/>
          <w:sz w:val="24"/>
          <w:szCs w:val="24"/>
        </w:rPr>
        <w:t xml:space="preserve"> further advanced argument in respect of </w:t>
      </w:r>
      <w:r w:rsidR="00CE125D" w:rsidRPr="004113D3">
        <w:rPr>
          <w:rFonts w:ascii="Arial" w:hAnsi="Arial" w:cs="Arial"/>
          <w:sz w:val="24"/>
          <w:szCs w:val="24"/>
        </w:rPr>
        <w:t xml:space="preserve">a </w:t>
      </w:r>
      <w:r w:rsidR="00AB7B0C" w:rsidRPr="004113D3">
        <w:rPr>
          <w:rFonts w:ascii="Arial" w:hAnsi="Arial" w:cs="Arial"/>
          <w:sz w:val="24"/>
          <w:szCs w:val="24"/>
        </w:rPr>
        <w:t xml:space="preserve">vindication action and the principles of rei vindication and submitted that the claim for enforcement of the oral settlement agreement is </w:t>
      </w:r>
      <w:r w:rsidR="00AB7B0C" w:rsidRPr="004113D3">
        <w:rPr>
          <w:rFonts w:ascii="Arial" w:hAnsi="Arial" w:cs="Arial"/>
          <w:i/>
          <w:sz w:val="24"/>
          <w:szCs w:val="24"/>
        </w:rPr>
        <w:t>non sequitur</w:t>
      </w:r>
      <w:r w:rsidR="00AB7B0C" w:rsidRPr="004113D3">
        <w:rPr>
          <w:rFonts w:ascii="Arial" w:hAnsi="Arial" w:cs="Arial"/>
          <w:sz w:val="24"/>
          <w:szCs w:val="24"/>
        </w:rPr>
        <w:t xml:space="preserve"> and res judicata as </w:t>
      </w:r>
      <w:r w:rsidR="000169F1" w:rsidRPr="004113D3">
        <w:rPr>
          <w:rFonts w:ascii="Arial" w:hAnsi="Arial" w:cs="Arial"/>
          <w:sz w:val="24"/>
          <w:szCs w:val="24"/>
        </w:rPr>
        <w:t>the settlement agreement</w:t>
      </w:r>
      <w:r w:rsidR="00AB7B0C" w:rsidRPr="004113D3">
        <w:rPr>
          <w:rFonts w:ascii="Arial" w:hAnsi="Arial" w:cs="Arial"/>
          <w:sz w:val="24"/>
          <w:szCs w:val="24"/>
        </w:rPr>
        <w:t xml:space="preserve"> had already been made an order of court. </w:t>
      </w:r>
    </w:p>
    <w:p w14:paraId="67D819DA" w14:textId="77777777" w:rsidR="003E45FC" w:rsidRDefault="003E45FC" w:rsidP="0009777F">
      <w:pPr>
        <w:rPr>
          <w:rFonts w:ascii="Arial" w:hAnsi="Arial" w:cs="Arial"/>
          <w:sz w:val="24"/>
          <w:szCs w:val="24"/>
        </w:rPr>
      </w:pPr>
    </w:p>
    <w:p w14:paraId="68649D54" w14:textId="77777777" w:rsidR="004113D3" w:rsidRDefault="004113D3" w:rsidP="0009777F">
      <w:pPr>
        <w:rPr>
          <w:rFonts w:ascii="Arial" w:hAnsi="Arial" w:cs="Arial"/>
          <w:sz w:val="24"/>
          <w:szCs w:val="24"/>
        </w:rPr>
      </w:pPr>
    </w:p>
    <w:p w14:paraId="76F4973F" w14:textId="77777777" w:rsidR="004113D3" w:rsidRPr="004113D3" w:rsidRDefault="004113D3" w:rsidP="0009777F">
      <w:pPr>
        <w:rPr>
          <w:rFonts w:ascii="Arial" w:hAnsi="Arial" w:cs="Arial"/>
          <w:sz w:val="24"/>
          <w:szCs w:val="24"/>
        </w:rPr>
      </w:pPr>
    </w:p>
    <w:p w14:paraId="205B5622" w14:textId="77777777" w:rsidR="0009777F" w:rsidRPr="004113D3" w:rsidRDefault="000169F1" w:rsidP="00207B9B">
      <w:pPr>
        <w:pStyle w:val="Heading1"/>
      </w:pPr>
      <w:r w:rsidRPr="004113D3">
        <w:lastRenderedPageBreak/>
        <w:t>Request for f</w:t>
      </w:r>
      <w:r w:rsidR="0009777F" w:rsidRPr="004113D3">
        <w:t>urther arguments</w:t>
      </w:r>
    </w:p>
    <w:p w14:paraId="6B040EC5" w14:textId="77777777" w:rsidR="006A4325" w:rsidRPr="004113D3" w:rsidRDefault="006A4325" w:rsidP="006A4325"/>
    <w:p w14:paraId="15B79328" w14:textId="77777777" w:rsidR="0009777F" w:rsidRPr="004113D3" w:rsidRDefault="00EB2A2A" w:rsidP="00EB2A2A">
      <w:pPr>
        <w:pStyle w:val="ListParagraph"/>
        <w:spacing w:after="0" w:line="360" w:lineRule="auto"/>
        <w:ind w:left="0"/>
        <w:rPr>
          <w:rFonts w:ascii="Arial" w:hAnsi="Arial" w:cs="Arial"/>
          <w:sz w:val="24"/>
          <w:szCs w:val="24"/>
        </w:rPr>
      </w:pPr>
      <w:r w:rsidRPr="004113D3">
        <w:rPr>
          <w:rFonts w:ascii="Arial" w:hAnsi="Arial" w:cs="Arial"/>
          <w:sz w:val="24"/>
          <w:szCs w:val="24"/>
        </w:rPr>
        <w:t>[22]</w:t>
      </w:r>
      <w:r w:rsidRPr="004113D3">
        <w:rPr>
          <w:rFonts w:ascii="Arial" w:hAnsi="Arial" w:cs="Arial"/>
          <w:sz w:val="24"/>
          <w:szCs w:val="24"/>
        </w:rPr>
        <w:tab/>
      </w:r>
      <w:r w:rsidR="0009777F" w:rsidRPr="004113D3">
        <w:rPr>
          <w:rFonts w:ascii="Arial" w:hAnsi="Arial" w:cs="Arial"/>
          <w:sz w:val="24"/>
          <w:szCs w:val="24"/>
        </w:rPr>
        <w:t>Having considered the arguments advanced by the legal practitioners</w:t>
      </w:r>
      <w:r w:rsidR="00CE125D" w:rsidRPr="004113D3">
        <w:rPr>
          <w:rFonts w:ascii="Arial" w:hAnsi="Arial" w:cs="Arial"/>
          <w:sz w:val="24"/>
          <w:szCs w:val="24"/>
        </w:rPr>
        <w:t>,</w:t>
      </w:r>
      <w:r w:rsidR="0009777F" w:rsidRPr="004113D3">
        <w:rPr>
          <w:rFonts w:ascii="Arial" w:hAnsi="Arial" w:cs="Arial"/>
          <w:sz w:val="24"/>
          <w:szCs w:val="24"/>
        </w:rPr>
        <w:t xml:space="preserve"> I posed the following questions to them and directed that they file further notes on argument</w:t>
      </w:r>
      <w:r w:rsidR="006A114E" w:rsidRPr="004113D3">
        <w:rPr>
          <w:rFonts w:ascii="Arial" w:hAnsi="Arial" w:cs="Arial"/>
          <w:sz w:val="24"/>
          <w:szCs w:val="24"/>
        </w:rPr>
        <w:t>:</w:t>
      </w:r>
    </w:p>
    <w:p w14:paraId="3E95151C" w14:textId="77777777" w:rsidR="006A114E" w:rsidRPr="004113D3" w:rsidRDefault="006A114E" w:rsidP="006A114E">
      <w:pPr>
        <w:pStyle w:val="ListParagraph"/>
        <w:spacing w:after="0" w:line="360" w:lineRule="auto"/>
        <w:ind w:left="0"/>
        <w:jc w:val="both"/>
        <w:rPr>
          <w:rFonts w:ascii="Arial" w:hAnsi="Arial" w:cs="Arial"/>
        </w:rPr>
      </w:pPr>
    </w:p>
    <w:p w14:paraId="7857BA1F" w14:textId="77777777" w:rsidR="006A114E" w:rsidRPr="004113D3" w:rsidRDefault="006A114E" w:rsidP="006A114E">
      <w:pPr>
        <w:pStyle w:val="ListParagraph"/>
        <w:spacing w:after="0" w:line="360" w:lineRule="auto"/>
        <w:ind w:left="0" w:firstLine="720"/>
        <w:jc w:val="both"/>
        <w:rPr>
          <w:rFonts w:ascii="Arial" w:hAnsi="Arial" w:cs="Arial"/>
        </w:rPr>
      </w:pPr>
      <w:r w:rsidRPr="004113D3">
        <w:rPr>
          <w:rFonts w:ascii="Arial" w:hAnsi="Arial" w:cs="Arial"/>
        </w:rPr>
        <w:t xml:space="preserve">‘The Parties are to file further notes on argument on or before 3 July 2023 addressing the following: </w:t>
      </w:r>
    </w:p>
    <w:p w14:paraId="588C2721" w14:textId="77777777" w:rsidR="00131E25" w:rsidRPr="004113D3" w:rsidRDefault="00131E25" w:rsidP="00131E25">
      <w:pPr>
        <w:rPr>
          <w:rFonts w:ascii="Arial" w:hAnsi="Arial" w:cs="Arial"/>
        </w:rPr>
      </w:pPr>
    </w:p>
    <w:p w14:paraId="13C5FE2C" w14:textId="77777777" w:rsidR="006A114E" w:rsidRPr="004113D3" w:rsidRDefault="00131E25" w:rsidP="006A114E">
      <w:pPr>
        <w:pStyle w:val="ListParagraph"/>
        <w:spacing w:after="0" w:line="360" w:lineRule="auto"/>
        <w:ind w:left="0"/>
        <w:jc w:val="both"/>
        <w:rPr>
          <w:rFonts w:ascii="Arial" w:hAnsi="Arial" w:cs="Arial"/>
        </w:rPr>
      </w:pPr>
      <w:r w:rsidRPr="004113D3">
        <w:rPr>
          <w:rFonts w:ascii="Arial" w:hAnsi="Arial" w:cs="Arial"/>
        </w:rPr>
        <w:t xml:space="preserve">The relief sought is two-fold </w:t>
      </w:r>
      <w:r w:rsidR="006A114E" w:rsidRPr="004113D3">
        <w:rPr>
          <w:rFonts w:ascii="Arial" w:hAnsi="Arial" w:cs="Arial"/>
        </w:rPr>
        <w:t>firstly</w:t>
      </w:r>
      <w:r w:rsidR="00CE125D" w:rsidRPr="004113D3">
        <w:rPr>
          <w:rFonts w:ascii="Arial" w:hAnsi="Arial" w:cs="Arial"/>
        </w:rPr>
        <w:t>,</w:t>
      </w:r>
      <w:r w:rsidR="006A114E" w:rsidRPr="004113D3">
        <w:rPr>
          <w:rFonts w:ascii="Arial" w:hAnsi="Arial" w:cs="Arial"/>
        </w:rPr>
        <w:t xml:space="preserve"> that the settlement agreement be made an order of the court and secondly</w:t>
      </w:r>
      <w:r w:rsidR="00CE125D" w:rsidRPr="004113D3">
        <w:rPr>
          <w:rFonts w:ascii="Arial" w:hAnsi="Arial" w:cs="Arial"/>
        </w:rPr>
        <w:t>,</w:t>
      </w:r>
      <w:r w:rsidR="006A114E" w:rsidRPr="004113D3">
        <w:rPr>
          <w:rFonts w:ascii="Arial" w:hAnsi="Arial" w:cs="Arial"/>
        </w:rPr>
        <w:t xml:space="preserve"> that the court then grants an order enforcing the said order. </w:t>
      </w:r>
    </w:p>
    <w:p w14:paraId="2DB4A804" w14:textId="77777777" w:rsidR="006A114E" w:rsidRPr="004113D3" w:rsidRDefault="006A114E" w:rsidP="006A114E">
      <w:pPr>
        <w:pStyle w:val="ListParagraph"/>
        <w:spacing w:after="0" w:line="360" w:lineRule="auto"/>
        <w:ind w:left="0"/>
        <w:jc w:val="both"/>
        <w:rPr>
          <w:rFonts w:ascii="Arial" w:hAnsi="Arial" w:cs="Arial"/>
        </w:rPr>
      </w:pPr>
    </w:p>
    <w:p w14:paraId="069E669E" w14:textId="77777777" w:rsidR="006A114E" w:rsidRPr="004113D3" w:rsidRDefault="006A114E" w:rsidP="006A114E">
      <w:pPr>
        <w:pStyle w:val="ListParagraph"/>
        <w:spacing w:after="0" w:line="360" w:lineRule="auto"/>
        <w:ind w:left="0"/>
        <w:jc w:val="both"/>
        <w:rPr>
          <w:rFonts w:ascii="Arial" w:hAnsi="Arial" w:cs="Arial"/>
        </w:rPr>
      </w:pPr>
      <w:r w:rsidRPr="004113D3">
        <w:rPr>
          <w:rFonts w:ascii="Arial" w:hAnsi="Arial" w:cs="Arial"/>
        </w:rPr>
        <w:t xml:space="preserve">It is the court's understanding that the defendants take no issue with ruling on the binding nature of the settlement agreement and the logical effect that flows from that is that the settlement agreement be made an order of court. </w:t>
      </w:r>
    </w:p>
    <w:p w14:paraId="05D3619E" w14:textId="77777777" w:rsidR="00131E25" w:rsidRPr="004113D3" w:rsidRDefault="00131E25" w:rsidP="006A114E">
      <w:pPr>
        <w:pStyle w:val="ListParagraph"/>
        <w:spacing w:after="0" w:line="360" w:lineRule="auto"/>
        <w:ind w:left="0"/>
        <w:jc w:val="both"/>
        <w:rPr>
          <w:rFonts w:ascii="Arial" w:hAnsi="Arial" w:cs="Arial"/>
        </w:rPr>
      </w:pPr>
    </w:p>
    <w:p w14:paraId="19548FF1" w14:textId="77777777" w:rsidR="006A114E" w:rsidRPr="004113D3" w:rsidRDefault="006A114E" w:rsidP="00486E42">
      <w:pPr>
        <w:pStyle w:val="ListParagraph"/>
        <w:spacing w:after="0" w:line="360" w:lineRule="auto"/>
        <w:ind w:left="0"/>
        <w:jc w:val="both"/>
        <w:rPr>
          <w:rFonts w:ascii="Arial" w:hAnsi="Arial" w:cs="Arial"/>
        </w:rPr>
      </w:pPr>
      <w:r w:rsidRPr="004113D3">
        <w:rPr>
          <w:rFonts w:ascii="Arial" w:hAnsi="Arial" w:cs="Arial"/>
        </w:rPr>
        <w:t xml:space="preserve">An argument was advanced on behalf of the defendants that there is a dispute of fact between the parties and further advanced </w:t>
      </w:r>
      <w:proofErr w:type="spellStart"/>
      <w:r w:rsidRPr="004113D3">
        <w:rPr>
          <w:rFonts w:ascii="Arial" w:hAnsi="Arial" w:cs="Arial"/>
        </w:rPr>
        <w:t>defences</w:t>
      </w:r>
      <w:proofErr w:type="spellEnd"/>
      <w:r w:rsidRPr="004113D3">
        <w:rPr>
          <w:rFonts w:ascii="Arial" w:hAnsi="Arial" w:cs="Arial"/>
        </w:rPr>
        <w:t xml:space="preserve"> in respect to the cause of action as set out in the POC (specifically in respect of the Formalities in respect of </w:t>
      </w:r>
      <w:r w:rsidR="00131E25" w:rsidRPr="004113D3">
        <w:rPr>
          <w:rFonts w:ascii="Arial" w:hAnsi="Arial" w:cs="Arial"/>
        </w:rPr>
        <w:t xml:space="preserve">the </w:t>
      </w:r>
      <w:r w:rsidRPr="004113D3">
        <w:rPr>
          <w:rFonts w:ascii="Arial" w:hAnsi="Arial" w:cs="Arial"/>
        </w:rPr>
        <w:t>Sale of Land Act 71 of 1969).</w:t>
      </w:r>
    </w:p>
    <w:p w14:paraId="5C22C41A" w14:textId="77777777" w:rsidR="006A114E" w:rsidRPr="004113D3" w:rsidRDefault="006A114E" w:rsidP="00486E42">
      <w:pPr>
        <w:pStyle w:val="ListParagraph"/>
        <w:spacing w:after="0" w:line="360" w:lineRule="auto"/>
        <w:ind w:left="0"/>
        <w:jc w:val="both"/>
        <w:rPr>
          <w:rFonts w:ascii="Arial" w:hAnsi="Arial" w:cs="Arial"/>
        </w:rPr>
      </w:pPr>
      <w:r w:rsidRPr="004113D3">
        <w:rPr>
          <w:rFonts w:ascii="Arial" w:hAnsi="Arial" w:cs="Arial"/>
        </w:rPr>
        <w:t xml:space="preserve">However, given the settlement agreement: </w:t>
      </w:r>
    </w:p>
    <w:p w14:paraId="3CC9F216" w14:textId="77777777" w:rsidR="00131E25" w:rsidRPr="004113D3" w:rsidRDefault="00131E25" w:rsidP="00486E42">
      <w:pPr>
        <w:pStyle w:val="ListParagraph"/>
        <w:spacing w:after="0" w:line="360" w:lineRule="auto"/>
        <w:ind w:left="0"/>
        <w:jc w:val="both"/>
        <w:rPr>
          <w:rFonts w:ascii="Arial" w:hAnsi="Arial" w:cs="Arial"/>
        </w:rPr>
      </w:pPr>
    </w:p>
    <w:p w14:paraId="2A590B43" w14:textId="77777777" w:rsidR="006A114E" w:rsidRPr="004113D3" w:rsidRDefault="00131E25" w:rsidP="00486E42">
      <w:pPr>
        <w:pStyle w:val="ListParagraph"/>
        <w:spacing w:after="0" w:line="360" w:lineRule="auto"/>
        <w:ind w:left="0"/>
        <w:jc w:val="both"/>
        <w:rPr>
          <w:rFonts w:ascii="Arial" w:hAnsi="Arial" w:cs="Arial"/>
        </w:rPr>
      </w:pPr>
      <w:r w:rsidRPr="004113D3">
        <w:rPr>
          <w:rFonts w:ascii="Arial" w:hAnsi="Arial" w:cs="Arial"/>
        </w:rPr>
        <w:t>a)</w:t>
      </w:r>
      <w:r w:rsidRPr="004113D3">
        <w:rPr>
          <w:rFonts w:ascii="Arial" w:hAnsi="Arial" w:cs="Arial"/>
        </w:rPr>
        <w:tab/>
      </w:r>
      <w:r w:rsidR="006A114E" w:rsidRPr="004113D3">
        <w:rPr>
          <w:rFonts w:ascii="Arial" w:hAnsi="Arial" w:cs="Arial"/>
        </w:rPr>
        <w:t>Does the compromise reached not extinguish the original cause of action?</w:t>
      </w:r>
    </w:p>
    <w:p w14:paraId="3511D7F1" w14:textId="77777777" w:rsidR="00131E25" w:rsidRPr="004113D3" w:rsidRDefault="00131E25" w:rsidP="00486E42">
      <w:pPr>
        <w:pStyle w:val="ListParagraph"/>
        <w:spacing w:after="0" w:line="360" w:lineRule="auto"/>
        <w:ind w:left="0"/>
        <w:jc w:val="both"/>
        <w:rPr>
          <w:rFonts w:ascii="Arial" w:hAnsi="Arial" w:cs="Arial"/>
        </w:rPr>
      </w:pPr>
      <w:r w:rsidRPr="004113D3">
        <w:rPr>
          <w:rFonts w:ascii="Arial" w:hAnsi="Arial" w:cs="Arial"/>
        </w:rPr>
        <w:t>b)</w:t>
      </w:r>
      <w:r w:rsidRPr="004113D3">
        <w:rPr>
          <w:rFonts w:ascii="Arial" w:hAnsi="Arial" w:cs="Arial"/>
        </w:rPr>
        <w:tab/>
      </w:r>
      <w:r w:rsidR="006A114E" w:rsidRPr="004113D3">
        <w:rPr>
          <w:rFonts w:ascii="Arial" w:hAnsi="Arial" w:cs="Arial"/>
        </w:rPr>
        <w:t xml:space="preserve">The effect of a settlement in terms of the principles laid out in </w:t>
      </w:r>
      <w:proofErr w:type="spellStart"/>
      <w:r w:rsidR="006A114E" w:rsidRPr="004113D3">
        <w:rPr>
          <w:rFonts w:ascii="Arial" w:hAnsi="Arial" w:cs="Arial"/>
          <w:i/>
        </w:rPr>
        <w:t>Shaanika</w:t>
      </w:r>
      <w:proofErr w:type="spellEnd"/>
      <w:r w:rsidR="006A114E" w:rsidRPr="004113D3">
        <w:rPr>
          <w:rFonts w:ascii="Arial" w:hAnsi="Arial" w:cs="Arial"/>
          <w:i/>
        </w:rPr>
        <w:t xml:space="preserve"> v JJJ Transport CC</w:t>
      </w:r>
      <w:r w:rsidR="006A114E" w:rsidRPr="004113D3">
        <w:rPr>
          <w:rFonts w:ascii="Arial" w:hAnsi="Arial" w:cs="Arial"/>
        </w:rPr>
        <w:t xml:space="preserve"> (HC-MD-CIV-ACT-CON-2021/01565) [2022] NAHCMD 688 (16 December 2022</w:t>
      </w:r>
      <w:r w:rsidR="001B48B3" w:rsidRPr="004113D3">
        <w:rPr>
          <w:rFonts w:ascii="Arial" w:hAnsi="Arial" w:cs="Arial"/>
        </w:rPr>
        <w:t>)</w:t>
      </w:r>
      <w:r w:rsidR="006A114E" w:rsidRPr="004113D3">
        <w:rPr>
          <w:rFonts w:ascii="Arial" w:hAnsi="Arial" w:cs="Arial"/>
        </w:rPr>
        <w:t xml:space="preserve"> by </w:t>
      </w:r>
      <w:proofErr w:type="spellStart"/>
      <w:r w:rsidR="006A114E" w:rsidRPr="004113D3">
        <w:rPr>
          <w:rFonts w:ascii="Arial" w:hAnsi="Arial" w:cs="Arial"/>
        </w:rPr>
        <w:t>Sibeya</w:t>
      </w:r>
      <w:proofErr w:type="spellEnd"/>
      <w:r w:rsidR="006A114E" w:rsidRPr="004113D3">
        <w:rPr>
          <w:rFonts w:ascii="Arial" w:hAnsi="Arial" w:cs="Arial"/>
        </w:rPr>
        <w:t xml:space="preserve"> J wherein the court dealt with the compromise with reference </w:t>
      </w:r>
      <w:proofErr w:type="gramStart"/>
      <w:r w:rsidR="006A114E" w:rsidRPr="004113D3">
        <w:rPr>
          <w:rFonts w:ascii="Arial" w:hAnsi="Arial" w:cs="Arial"/>
        </w:rPr>
        <w:t>to  </w:t>
      </w:r>
      <w:r w:rsidR="006A114E" w:rsidRPr="004113D3">
        <w:rPr>
          <w:rFonts w:ascii="Arial" w:hAnsi="Arial" w:cs="Arial"/>
          <w:i/>
        </w:rPr>
        <w:t>Hamilton</w:t>
      </w:r>
      <w:proofErr w:type="gramEnd"/>
      <w:r w:rsidR="006A114E" w:rsidRPr="004113D3">
        <w:rPr>
          <w:rFonts w:ascii="Arial" w:hAnsi="Arial" w:cs="Arial"/>
          <w:i/>
        </w:rPr>
        <w:t xml:space="preserve"> v Van Zyl</w:t>
      </w:r>
      <w:r w:rsidR="006A114E" w:rsidRPr="004113D3">
        <w:rPr>
          <w:rFonts w:ascii="Arial" w:hAnsi="Arial" w:cs="Arial"/>
        </w:rPr>
        <w:t>,</w:t>
      </w:r>
      <w:r w:rsidR="006A114E" w:rsidRPr="004113D3">
        <w:rPr>
          <w:rStyle w:val="FootnoteReference"/>
          <w:rFonts w:ascii="Arial" w:hAnsi="Arial" w:cs="Arial"/>
        </w:rPr>
        <w:footnoteReference w:id="2"/>
      </w:r>
      <w:r w:rsidR="006A114E" w:rsidRPr="004113D3">
        <w:rPr>
          <w:rFonts w:ascii="Arial" w:hAnsi="Arial" w:cs="Arial"/>
        </w:rPr>
        <w:t xml:space="preserve"> and </w:t>
      </w:r>
      <w:proofErr w:type="spellStart"/>
      <w:r w:rsidR="006A114E" w:rsidRPr="004113D3">
        <w:rPr>
          <w:rFonts w:ascii="Arial" w:hAnsi="Arial" w:cs="Arial"/>
          <w:i/>
        </w:rPr>
        <w:t>Georgias</w:t>
      </w:r>
      <w:proofErr w:type="spellEnd"/>
      <w:r w:rsidR="006A114E" w:rsidRPr="004113D3">
        <w:rPr>
          <w:rFonts w:ascii="Arial" w:hAnsi="Arial" w:cs="Arial"/>
          <w:i/>
        </w:rPr>
        <w:t xml:space="preserve"> and Another v Standard Chartered Finance Zimbabwe Ltd</w:t>
      </w:r>
      <w:r w:rsidR="006A4325" w:rsidRPr="004113D3">
        <w:rPr>
          <w:rFonts w:ascii="Arial" w:hAnsi="Arial" w:cs="Arial"/>
        </w:rPr>
        <w:t>.</w:t>
      </w:r>
      <w:r w:rsidR="006A114E" w:rsidRPr="004113D3">
        <w:rPr>
          <w:rStyle w:val="FootnoteReference"/>
          <w:rFonts w:ascii="Arial" w:hAnsi="Arial" w:cs="Arial"/>
        </w:rPr>
        <w:footnoteReference w:id="3"/>
      </w:r>
      <w:r w:rsidR="006A114E" w:rsidRPr="004113D3">
        <w:rPr>
          <w:rFonts w:ascii="Arial" w:hAnsi="Arial" w:cs="Arial"/>
        </w:rPr>
        <w:t xml:space="preserve"> </w:t>
      </w:r>
    </w:p>
    <w:p w14:paraId="089600C9" w14:textId="77777777" w:rsidR="006A114E" w:rsidRPr="004113D3" w:rsidRDefault="006A114E" w:rsidP="00486E42">
      <w:pPr>
        <w:pStyle w:val="ListParagraph"/>
        <w:spacing w:after="0" w:line="360" w:lineRule="auto"/>
        <w:ind w:left="0"/>
        <w:jc w:val="both"/>
        <w:rPr>
          <w:rFonts w:ascii="Arial" w:hAnsi="Arial" w:cs="Arial"/>
        </w:rPr>
      </w:pPr>
      <w:r w:rsidRPr="004113D3">
        <w:rPr>
          <w:rFonts w:ascii="Arial" w:hAnsi="Arial" w:cs="Arial"/>
        </w:rPr>
        <w:t>c)</w:t>
      </w:r>
      <w:r w:rsidR="00131E25" w:rsidRPr="004113D3">
        <w:rPr>
          <w:rFonts w:ascii="Arial" w:hAnsi="Arial" w:cs="Arial"/>
        </w:rPr>
        <w:tab/>
      </w:r>
      <w:r w:rsidRPr="004113D3">
        <w:rPr>
          <w:rFonts w:ascii="Arial" w:hAnsi="Arial" w:cs="Arial"/>
        </w:rPr>
        <w:t xml:space="preserve"> In light of the compromise can it still be argued that plaintiffs are seeking to pursue the relief set out in the particulars by way of an interlocutory application? </w:t>
      </w:r>
    </w:p>
    <w:p w14:paraId="7DA8D663" w14:textId="77777777" w:rsidR="006A114E" w:rsidRPr="004113D3" w:rsidRDefault="006A114E" w:rsidP="00486E42">
      <w:pPr>
        <w:pStyle w:val="ListParagraph"/>
        <w:spacing w:after="0" w:line="360" w:lineRule="auto"/>
        <w:ind w:left="0"/>
        <w:jc w:val="both"/>
        <w:rPr>
          <w:rFonts w:ascii="Arial" w:hAnsi="Arial" w:cs="Arial"/>
        </w:rPr>
      </w:pPr>
      <w:r w:rsidRPr="004113D3">
        <w:rPr>
          <w:rFonts w:ascii="Arial" w:hAnsi="Arial" w:cs="Arial"/>
        </w:rPr>
        <w:t>d)</w:t>
      </w:r>
      <w:r w:rsidR="00131E25" w:rsidRPr="004113D3">
        <w:rPr>
          <w:rFonts w:ascii="Arial" w:hAnsi="Arial" w:cs="Arial"/>
        </w:rPr>
        <w:tab/>
      </w:r>
      <w:r w:rsidRPr="004113D3">
        <w:rPr>
          <w:rFonts w:ascii="Arial" w:hAnsi="Arial" w:cs="Arial"/>
        </w:rPr>
        <w:t xml:space="preserve"> Can it be said </w:t>
      </w:r>
      <w:proofErr w:type="gramStart"/>
      <w:r w:rsidRPr="004113D3">
        <w:rPr>
          <w:rFonts w:ascii="Arial" w:hAnsi="Arial" w:cs="Arial"/>
        </w:rPr>
        <w:t>in light of</w:t>
      </w:r>
      <w:proofErr w:type="gramEnd"/>
      <w:r w:rsidRPr="004113D3">
        <w:rPr>
          <w:rFonts w:ascii="Arial" w:hAnsi="Arial" w:cs="Arial"/>
        </w:rPr>
        <w:t xml:space="preserve"> the compromise that there is still a factual dispute between the parties; and</w:t>
      </w:r>
    </w:p>
    <w:p w14:paraId="51359D15" w14:textId="77777777" w:rsidR="006A114E" w:rsidRPr="004113D3" w:rsidRDefault="006A114E" w:rsidP="00486E42">
      <w:pPr>
        <w:pStyle w:val="ListParagraph"/>
        <w:spacing w:after="0" w:line="360" w:lineRule="auto"/>
        <w:ind w:left="0"/>
        <w:jc w:val="both"/>
        <w:rPr>
          <w:rFonts w:ascii="Arial" w:hAnsi="Arial" w:cs="Arial"/>
        </w:rPr>
      </w:pPr>
      <w:r w:rsidRPr="004113D3">
        <w:rPr>
          <w:rFonts w:ascii="Arial" w:hAnsi="Arial" w:cs="Arial"/>
        </w:rPr>
        <w:t>e)</w:t>
      </w:r>
      <w:r w:rsidR="00131E25" w:rsidRPr="004113D3">
        <w:rPr>
          <w:rFonts w:ascii="Arial" w:hAnsi="Arial" w:cs="Arial"/>
        </w:rPr>
        <w:tab/>
      </w:r>
      <w:r w:rsidRPr="004113D3">
        <w:rPr>
          <w:rFonts w:ascii="Arial" w:hAnsi="Arial" w:cs="Arial"/>
        </w:rPr>
        <w:t xml:space="preserve"> Is the court functus officio on the issue of enforcement?’ </w:t>
      </w:r>
    </w:p>
    <w:p w14:paraId="10D8180E" w14:textId="77777777" w:rsidR="006A114E" w:rsidRPr="004113D3" w:rsidRDefault="006A114E" w:rsidP="00486E42">
      <w:pPr>
        <w:rPr>
          <w:rFonts w:ascii="Arial" w:hAnsi="Arial" w:cs="Arial"/>
          <w:sz w:val="24"/>
          <w:szCs w:val="24"/>
        </w:rPr>
      </w:pPr>
    </w:p>
    <w:p w14:paraId="4D1F9A5E" w14:textId="77777777" w:rsidR="006A114E" w:rsidRPr="004113D3" w:rsidRDefault="006A114E" w:rsidP="00486E42">
      <w:pPr>
        <w:pStyle w:val="Heading1"/>
      </w:pPr>
      <w:r w:rsidRPr="004113D3">
        <w:lastRenderedPageBreak/>
        <w:t xml:space="preserve">Discussion </w:t>
      </w:r>
    </w:p>
    <w:p w14:paraId="5071D45A" w14:textId="77777777" w:rsidR="006A114E" w:rsidRPr="004113D3" w:rsidRDefault="006A114E" w:rsidP="00486E42">
      <w:pPr>
        <w:pStyle w:val="ListParagraph"/>
        <w:spacing w:after="0" w:line="360" w:lineRule="auto"/>
        <w:ind w:left="0"/>
        <w:jc w:val="both"/>
        <w:rPr>
          <w:rFonts w:ascii="Arial" w:hAnsi="Arial" w:cs="Arial"/>
          <w:sz w:val="24"/>
          <w:szCs w:val="24"/>
        </w:rPr>
      </w:pPr>
    </w:p>
    <w:p w14:paraId="39EC501F" w14:textId="77777777" w:rsidR="00B1182A" w:rsidRPr="004113D3" w:rsidRDefault="00EB2A2A" w:rsidP="00EB2A2A">
      <w:pPr>
        <w:pStyle w:val="ListParagraph"/>
        <w:spacing w:after="0" w:line="360" w:lineRule="auto"/>
        <w:ind w:left="0"/>
        <w:jc w:val="both"/>
        <w:rPr>
          <w:rFonts w:ascii="Arial" w:hAnsi="Arial" w:cs="Arial"/>
          <w:sz w:val="24"/>
          <w:szCs w:val="24"/>
        </w:rPr>
      </w:pPr>
      <w:r w:rsidRPr="004113D3">
        <w:rPr>
          <w:rFonts w:ascii="Arial" w:hAnsi="Arial" w:cs="Arial"/>
          <w:sz w:val="24"/>
          <w:szCs w:val="24"/>
        </w:rPr>
        <w:t>[23]</w:t>
      </w:r>
      <w:r w:rsidRPr="004113D3">
        <w:rPr>
          <w:rFonts w:ascii="Arial" w:hAnsi="Arial" w:cs="Arial"/>
          <w:sz w:val="24"/>
          <w:szCs w:val="24"/>
        </w:rPr>
        <w:tab/>
      </w:r>
      <w:r w:rsidR="00B1182A" w:rsidRPr="004113D3">
        <w:rPr>
          <w:rFonts w:ascii="Arial" w:hAnsi="Arial" w:cs="Arial"/>
          <w:sz w:val="24"/>
          <w:szCs w:val="24"/>
        </w:rPr>
        <w:t xml:space="preserve">It is common cause that the defendants were duly represented </w:t>
      </w:r>
      <w:proofErr w:type="gramStart"/>
      <w:r w:rsidR="00B1182A" w:rsidRPr="004113D3">
        <w:rPr>
          <w:rFonts w:ascii="Arial" w:hAnsi="Arial" w:cs="Arial"/>
          <w:sz w:val="24"/>
          <w:szCs w:val="24"/>
        </w:rPr>
        <w:t>during the course of</w:t>
      </w:r>
      <w:proofErr w:type="gramEnd"/>
      <w:r w:rsidR="00B1182A" w:rsidRPr="004113D3">
        <w:rPr>
          <w:rFonts w:ascii="Arial" w:hAnsi="Arial" w:cs="Arial"/>
          <w:sz w:val="24"/>
          <w:szCs w:val="24"/>
        </w:rPr>
        <w:t xml:space="preserve"> the mediation proceedings and</w:t>
      </w:r>
      <w:r w:rsidR="00CE125D" w:rsidRPr="004113D3">
        <w:rPr>
          <w:rFonts w:ascii="Arial" w:hAnsi="Arial" w:cs="Arial"/>
          <w:sz w:val="24"/>
          <w:szCs w:val="24"/>
        </w:rPr>
        <w:t>,</w:t>
      </w:r>
      <w:r w:rsidR="00B1182A" w:rsidRPr="004113D3">
        <w:rPr>
          <w:rFonts w:ascii="Arial" w:hAnsi="Arial" w:cs="Arial"/>
          <w:sz w:val="24"/>
          <w:szCs w:val="24"/>
        </w:rPr>
        <w:t xml:space="preserve"> as a result</w:t>
      </w:r>
      <w:r w:rsidR="00A0479C" w:rsidRPr="004113D3">
        <w:rPr>
          <w:rFonts w:ascii="Arial" w:hAnsi="Arial" w:cs="Arial"/>
          <w:sz w:val="24"/>
          <w:szCs w:val="24"/>
        </w:rPr>
        <w:t>,</w:t>
      </w:r>
      <w:r w:rsidR="00B1182A" w:rsidRPr="004113D3">
        <w:rPr>
          <w:rFonts w:ascii="Arial" w:hAnsi="Arial" w:cs="Arial"/>
          <w:sz w:val="24"/>
          <w:szCs w:val="24"/>
        </w:rPr>
        <w:t xml:space="preserve"> </w:t>
      </w:r>
      <w:r w:rsidR="00F17B20" w:rsidRPr="004113D3">
        <w:rPr>
          <w:rFonts w:ascii="Arial" w:hAnsi="Arial" w:cs="Arial"/>
          <w:sz w:val="24"/>
          <w:szCs w:val="24"/>
        </w:rPr>
        <w:t xml:space="preserve">were </w:t>
      </w:r>
      <w:r w:rsidR="00B1182A" w:rsidRPr="004113D3">
        <w:rPr>
          <w:rFonts w:ascii="Arial" w:hAnsi="Arial" w:cs="Arial"/>
          <w:sz w:val="24"/>
          <w:szCs w:val="24"/>
        </w:rPr>
        <w:t xml:space="preserve">properly advised on the </w:t>
      </w:r>
      <w:r w:rsidR="009E74EA" w:rsidRPr="004113D3">
        <w:rPr>
          <w:rFonts w:ascii="Arial" w:hAnsi="Arial" w:cs="Arial"/>
          <w:sz w:val="24"/>
          <w:szCs w:val="24"/>
        </w:rPr>
        <w:t>nature of the settlement proposed and the consequences of the said settlement agreement.</w:t>
      </w:r>
    </w:p>
    <w:p w14:paraId="39CA7D6B" w14:textId="77777777" w:rsidR="001D45FD" w:rsidRPr="004113D3" w:rsidRDefault="001D45FD" w:rsidP="00486E42">
      <w:pPr>
        <w:pStyle w:val="ListParagraph"/>
        <w:jc w:val="both"/>
        <w:rPr>
          <w:rFonts w:ascii="Arial" w:hAnsi="Arial" w:cs="Arial"/>
          <w:sz w:val="24"/>
          <w:szCs w:val="24"/>
        </w:rPr>
      </w:pPr>
    </w:p>
    <w:p w14:paraId="283A48A4" w14:textId="77777777" w:rsidR="001D45FD" w:rsidRPr="004113D3" w:rsidRDefault="00EB2A2A" w:rsidP="00EB2A2A">
      <w:pPr>
        <w:pStyle w:val="ListParagraph"/>
        <w:spacing w:after="0" w:line="360" w:lineRule="auto"/>
        <w:ind w:left="0"/>
        <w:jc w:val="both"/>
        <w:rPr>
          <w:rFonts w:ascii="Arial" w:hAnsi="Arial" w:cs="Arial"/>
          <w:sz w:val="24"/>
          <w:szCs w:val="24"/>
        </w:rPr>
      </w:pPr>
      <w:r w:rsidRPr="004113D3">
        <w:rPr>
          <w:rFonts w:ascii="Arial" w:hAnsi="Arial" w:cs="Arial"/>
          <w:sz w:val="24"/>
          <w:szCs w:val="24"/>
        </w:rPr>
        <w:t>[24]</w:t>
      </w:r>
      <w:r w:rsidRPr="004113D3">
        <w:rPr>
          <w:rFonts w:ascii="Arial" w:hAnsi="Arial" w:cs="Arial"/>
          <w:sz w:val="24"/>
          <w:szCs w:val="24"/>
        </w:rPr>
        <w:tab/>
      </w:r>
      <w:r w:rsidR="001D45FD" w:rsidRPr="004113D3">
        <w:rPr>
          <w:rFonts w:ascii="Arial" w:hAnsi="Arial" w:cs="Arial"/>
          <w:sz w:val="24"/>
          <w:szCs w:val="24"/>
        </w:rPr>
        <w:t>The defendants accepted that the terms of the settlement agreement</w:t>
      </w:r>
      <w:r w:rsidR="00A0479C" w:rsidRPr="004113D3">
        <w:rPr>
          <w:rFonts w:ascii="Arial" w:hAnsi="Arial" w:cs="Arial"/>
          <w:sz w:val="24"/>
          <w:szCs w:val="24"/>
        </w:rPr>
        <w:t>,</w:t>
      </w:r>
      <w:r w:rsidR="001D45FD" w:rsidRPr="004113D3">
        <w:rPr>
          <w:rFonts w:ascii="Arial" w:hAnsi="Arial" w:cs="Arial"/>
          <w:sz w:val="24"/>
          <w:szCs w:val="24"/>
        </w:rPr>
        <w:t xml:space="preserve"> as set out in </w:t>
      </w:r>
      <w:r w:rsidR="006A4325" w:rsidRPr="004113D3">
        <w:rPr>
          <w:rFonts w:ascii="Arial" w:hAnsi="Arial" w:cs="Arial"/>
          <w:sz w:val="24"/>
          <w:szCs w:val="24"/>
        </w:rPr>
        <w:t>para 5 above</w:t>
      </w:r>
      <w:r w:rsidR="00A0479C" w:rsidRPr="004113D3">
        <w:rPr>
          <w:rFonts w:ascii="Arial" w:hAnsi="Arial" w:cs="Arial"/>
          <w:sz w:val="24"/>
          <w:szCs w:val="24"/>
        </w:rPr>
        <w:t>, reflect what the parties agreed upon</w:t>
      </w:r>
      <w:r w:rsidR="001D45FD" w:rsidRPr="004113D3">
        <w:rPr>
          <w:rFonts w:ascii="Arial" w:hAnsi="Arial" w:cs="Arial"/>
          <w:sz w:val="24"/>
          <w:szCs w:val="24"/>
        </w:rPr>
        <w:t>.</w:t>
      </w:r>
    </w:p>
    <w:p w14:paraId="5F017C17" w14:textId="77777777" w:rsidR="009E74EA" w:rsidRPr="004113D3" w:rsidRDefault="009E74EA" w:rsidP="00486E42">
      <w:pPr>
        <w:pStyle w:val="ListParagraph"/>
        <w:jc w:val="both"/>
        <w:rPr>
          <w:rFonts w:ascii="Arial" w:hAnsi="Arial" w:cs="Arial"/>
          <w:sz w:val="24"/>
          <w:szCs w:val="24"/>
        </w:rPr>
      </w:pPr>
    </w:p>
    <w:p w14:paraId="57026741" w14:textId="77777777" w:rsidR="00F17B20" w:rsidRPr="004113D3" w:rsidRDefault="00EB2A2A" w:rsidP="00EB2A2A">
      <w:pPr>
        <w:pStyle w:val="ListParagraph"/>
        <w:spacing w:after="0" w:line="360" w:lineRule="auto"/>
        <w:ind w:left="0"/>
        <w:jc w:val="both"/>
        <w:rPr>
          <w:rFonts w:ascii="Arial" w:hAnsi="Arial" w:cs="Arial"/>
          <w:sz w:val="24"/>
          <w:szCs w:val="24"/>
        </w:rPr>
      </w:pPr>
      <w:r w:rsidRPr="004113D3">
        <w:rPr>
          <w:rFonts w:ascii="Arial" w:hAnsi="Arial" w:cs="Arial"/>
          <w:sz w:val="24"/>
          <w:szCs w:val="24"/>
        </w:rPr>
        <w:t>[25]</w:t>
      </w:r>
      <w:r w:rsidRPr="004113D3">
        <w:rPr>
          <w:rFonts w:ascii="Arial" w:hAnsi="Arial" w:cs="Arial"/>
          <w:sz w:val="24"/>
          <w:szCs w:val="24"/>
        </w:rPr>
        <w:tab/>
      </w:r>
      <w:r w:rsidR="00F17B20" w:rsidRPr="004113D3">
        <w:rPr>
          <w:rFonts w:ascii="Arial" w:hAnsi="Arial" w:cs="Arial"/>
          <w:sz w:val="24"/>
          <w:szCs w:val="24"/>
        </w:rPr>
        <w:t xml:space="preserve">During the previous proceedings, the court was called upon </w:t>
      </w:r>
      <w:r w:rsidR="00880E53" w:rsidRPr="004113D3">
        <w:rPr>
          <w:rFonts w:ascii="Arial" w:hAnsi="Arial" w:cs="Arial"/>
          <w:sz w:val="24"/>
          <w:szCs w:val="24"/>
        </w:rPr>
        <w:t xml:space="preserve">to </w:t>
      </w:r>
      <w:r w:rsidR="00A0479C" w:rsidRPr="004113D3">
        <w:rPr>
          <w:rFonts w:ascii="Arial" w:hAnsi="Arial" w:cs="Arial"/>
          <w:sz w:val="24"/>
          <w:szCs w:val="24"/>
        </w:rPr>
        <w:t>determine</w:t>
      </w:r>
      <w:r w:rsidR="00F17B20" w:rsidRPr="004113D3">
        <w:rPr>
          <w:rFonts w:ascii="Arial" w:hAnsi="Arial" w:cs="Arial"/>
          <w:sz w:val="24"/>
          <w:szCs w:val="24"/>
        </w:rPr>
        <w:t xml:space="preserve"> the status of the oral settlement agreement reached during court-connected mediation and whether it was binding on the parties. </w:t>
      </w:r>
      <w:r w:rsidR="00CA5FC2" w:rsidRPr="004113D3">
        <w:rPr>
          <w:rFonts w:ascii="Arial" w:hAnsi="Arial" w:cs="Arial"/>
          <w:sz w:val="24"/>
          <w:szCs w:val="24"/>
        </w:rPr>
        <w:t>This court held that the oral settlement agreement is binding on the parties</w:t>
      </w:r>
      <w:r w:rsidR="00A0479C" w:rsidRPr="004113D3">
        <w:rPr>
          <w:rFonts w:ascii="Arial" w:hAnsi="Arial" w:cs="Arial"/>
          <w:sz w:val="24"/>
          <w:szCs w:val="24"/>
        </w:rPr>
        <w:t>,</w:t>
      </w:r>
      <w:r w:rsidR="00CA5FC2" w:rsidRPr="004113D3">
        <w:rPr>
          <w:rFonts w:ascii="Arial" w:hAnsi="Arial" w:cs="Arial"/>
          <w:sz w:val="24"/>
          <w:szCs w:val="24"/>
        </w:rPr>
        <w:t xml:space="preserve"> and the defendants accepted this finding made by the court. </w:t>
      </w:r>
    </w:p>
    <w:p w14:paraId="12400DD8" w14:textId="77777777" w:rsidR="00266470" w:rsidRPr="004113D3" w:rsidRDefault="00266470" w:rsidP="00486E42">
      <w:pPr>
        <w:rPr>
          <w:rFonts w:ascii="Arial" w:hAnsi="Arial" w:cs="Arial"/>
          <w:sz w:val="24"/>
          <w:szCs w:val="24"/>
        </w:rPr>
      </w:pPr>
    </w:p>
    <w:p w14:paraId="3E5FDA28" w14:textId="77777777" w:rsidR="00266470" w:rsidRPr="004113D3" w:rsidRDefault="00EB2A2A" w:rsidP="00EB2A2A">
      <w:pPr>
        <w:pStyle w:val="ListParagraph"/>
        <w:spacing w:after="0" w:line="360" w:lineRule="auto"/>
        <w:ind w:left="0"/>
        <w:jc w:val="both"/>
        <w:rPr>
          <w:rFonts w:ascii="Arial" w:hAnsi="Arial" w:cs="Arial"/>
          <w:sz w:val="24"/>
          <w:szCs w:val="24"/>
        </w:rPr>
      </w:pPr>
      <w:r w:rsidRPr="004113D3">
        <w:rPr>
          <w:rFonts w:ascii="Arial" w:hAnsi="Arial" w:cs="Arial"/>
          <w:sz w:val="24"/>
          <w:szCs w:val="24"/>
        </w:rPr>
        <w:t>[26]</w:t>
      </w:r>
      <w:r w:rsidRPr="004113D3">
        <w:rPr>
          <w:rFonts w:ascii="Arial" w:hAnsi="Arial" w:cs="Arial"/>
          <w:sz w:val="24"/>
          <w:szCs w:val="24"/>
        </w:rPr>
        <w:tab/>
      </w:r>
      <w:r w:rsidR="00266470" w:rsidRPr="004113D3">
        <w:rPr>
          <w:rFonts w:ascii="Arial" w:hAnsi="Arial" w:cs="Arial"/>
          <w:sz w:val="24"/>
          <w:szCs w:val="24"/>
        </w:rPr>
        <w:t>Although the defendants are critical of the judgment dated 24 October 2022</w:t>
      </w:r>
      <w:r w:rsidR="00486E42" w:rsidRPr="004113D3">
        <w:rPr>
          <w:rFonts w:ascii="Arial" w:hAnsi="Arial" w:cs="Arial"/>
          <w:sz w:val="24"/>
          <w:szCs w:val="24"/>
        </w:rPr>
        <w:t>,</w:t>
      </w:r>
      <w:r w:rsidR="00266470" w:rsidRPr="004113D3">
        <w:rPr>
          <w:rFonts w:ascii="Arial" w:hAnsi="Arial" w:cs="Arial"/>
          <w:sz w:val="24"/>
          <w:szCs w:val="24"/>
        </w:rPr>
        <w:t xml:space="preserve"> this judgment was not appealed and</w:t>
      </w:r>
      <w:r w:rsidR="00A0479C" w:rsidRPr="004113D3">
        <w:rPr>
          <w:rFonts w:ascii="Arial" w:hAnsi="Arial" w:cs="Arial"/>
          <w:sz w:val="24"/>
          <w:szCs w:val="24"/>
        </w:rPr>
        <w:t>,</w:t>
      </w:r>
      <w:r w:rsidR="00266470" w:rsidRPr="004113D3">
        <w:rPr>
          <w:rFonts w:ascii="Arial" w:hAnsi="Arial" w:cs="Arial"/>
          <w:sz w:val="24"/>
          <w:szCs w:val="24"/>
        </w:rPr>
        <w:t xml:space="preserve"> therefore</w:t>
      </w:r>
      <w:r w:rsidR="00A0479C" w:rsidRPr="004113D3">
        <w:rPr>
          <w:rFonts w:ascii="Arial" w:hAnsi="Arial" w:cs="Arial"/>
          <w:sz w:val="24"/>
          <w:szCs w:val="24"/>
        </w:rPr>
        <w:t>,</w:t>
      </w:r>
      <w:r w:rsidR="00266470" w:rsidRPr="004113D3">
        <w:rPr>
          <w:rFonts w:ascii="Arial" w:hAnsi="Arial" w:cs="Arial"/>
          <w:sz w:val="24"/>
          <w:szCs w:val="24"/>
        </w:rPr>
        <w:t xml:space="preserve"> still stands. </w:t>
      </w:r>
    </w:p>
    <w:p w14:paraId="7E40FD54" w14:textId="77777777" w:rsidR="00CA5FC2" w:rsidRPr="004113D3" w:rsidRDefault="00CA5FC2" w:rsidP="00486E42">
      <w:pPr>
        <w:pStyle w:val="ListParagraph"/>
        <w:jc w:val="both"/>
        <w:rPr>
          <w:rFonts w:ascii="Arial" w:hAnsi="Arial" w:cs="Arial"/>
          <w:sz w:val="24"/>
          <w:szCs w:val="24"/>
        </w:rPr>
      </w:pPr>
    </w:p>
    <w:p w14:paraId="1E4386B0" w14:textId="77777777" w:rsidR="007C616D" w:rsidRPr="004113D3" w:rsidRDefault="00EB2A2A" w:rsidP="00EB2A2A">
      <w:pPr>
        <w:pStyle w:val="ListParagraph"/>
        <w:spacing w:after="0" w:line="360" w:lineRule="auto"/>
        <w:ind w:left="0"/>
        <w:jc w:val="both"/>
        <w:rPr>
          <w:rFonts w:ascii="Arial" w:hAnsi="Arial" w:cs="Arial"/>
          <w:sz w:val="24"/>
          <w:szCs w:val="24"/>
        </w:rPr>
      </w:pPr>
      <w:r w:rsidRPr="004113D3">
        <w:rPr>
          <w:rFonts w:ascii="Arial" w:hAnsi="Arial" w:cs="Arial"/>
          <w:sz w:val="24"/>
          <w:szCs w:val="24"/>
        </w:rPr>
        <w:t>[27]</w:t>
      </w:r>
      <w:r w:rsidRPr="004113D3">
        <w:rPr>
          <w:rFonts w:ascii="Arial" w:hAnsi="Arial" w:cs="Arial"/>
          <w:sz w:val="24"/>
          <w:szCs w:val="24"/>
        </w:rPr>
        <w:tab/>
      </w:r>
      <w:r w:rsidR="00266470" w:rsidRPr="004113D3">
        <w:rPr>
          <w:rFonts w:ascii="Arial" w:hAnsi="Arial" w:cs="Arial"/>
          <w:sz w:val="24"/>
          <w:szCs w:val="24"/>
        </w:rPr>
        <w:t>What now</w:t>
      </w:r>
      <w:r w:rsidR="00FF2A5D" w:rsidRPr="004113D3">
        <w:rPr>
          <w:rFonts w:ascii="Arial" w:hAnsi="Arial" w:cs="Arial"/>
          <w:sz w:val="24"/>
          <w:szCs w:val="24"/>
        </w:rPr>
        <w:t xml:space="preserve"> serves </w:t>
      </w:r>
      <w:r w:rsidR="00266470" w:rsidRPr="004113D3">
        <w:rPr>
          <w:rFonts w:ascii="Arial" w:hAnsi="Arial" w:cs="Arial"/>
          <w:sz w:val="24"/>
          <w:szCs w:val="24"/>
        </w:rPr>
        <w:t>before this court is what would logically follow on the findings made regarding the binding nat</w:t>
      </w:r>
      <w:r w:rsidR="00FF2A5D" w:rsidRPr="004113D3">
        <w:rPr>
          <w:rFonts w:ascii="Arial" w:hAnsi="Arial" w:cs="Arial"/>
          <w:sz w:val="24"/>
          <w:szCs w:val="24"/>
        </w:rPr>
        <w:t xml:space="preserve">ure of the settlement agreement, </w:t>
      </w:r>
      <w:proofErr w:type="gramStart"/>
      <w:r w:rsidR="00FF2A5D" w:rsidRPr="004113D3">
        <w:rPr>
          <w:rFonts w:ascii="Arial" w:hAnsi="Arial" w:cs="Arial"/>
          <w:sz w:val="24"/>
          <w:szCs w:val="24"/>
        </w:rPr>
        <w:t>i.e.</w:t>
      </w:r>
      <w:proofErr w:type="gramEnd"/>
      <w:r w:rsidR="00FF2A5D" w:rsidRPr="004113D3">
        <w:rPr>
          <w:rFonts w:ascii="Arial" w:hAnsi="Arial" w:cs="Arial"/>
          <w:sz w:val="24"/>
          <w:szCs w:val="24"/>
        </w:rPr>
        <w:t xml:space="preserve"> an </w:t>
      </w:r>
      <w:r w:rsidR="00266470" w:rsidRPr="004113D3">
        <w:rPr>
          <w:rFonts w:ascii="Arial" w:hAnsi="Arial" w:cs="Arial"/>
          <w:sz w:val="24"/>
          <w:szCs w:val="24"/>
        </w:rPr>
        <w:t>order declaring the settlement agreement an order of court</w:t>
      </w:r>
      <w:r w:rsidR="00FF2A5D" w:rsidRPr="004113D3">
        <w:rPr>
          <w:rFonts w:ascii="Arial" w:hAnsi="Arial" w:cs="Arial"/>
          <w:sz w:val="24"/>
          <w:szCs w:val="24"/>
        </w:rPr>
        <w:t xml:space="preserve">. </w:t>
      </w:r>
      <w:r w:rsidR="00A0479C" w:rsidRPr="004113D3">
        <w:rPr>
          <w:rFonts w:ascii="Arial" w:hAnsi="Arial" w:cs="Arial"/>
          <w:sz w:val="24"/>
          <w:szCs w:val="24"/>
        </w:rPr>
        <w:t>The defendants do not oppose this</w:t>
      </w:r>
      <w:r w:rsidR="00FF2A5D" w:rsidRPr="004113D3">
        <w:rPr>
          <w:rFonts w:ascii="Arial" w:hAnsi="Arial" w:cs="Arial"/>
          <w:sz w:val="24"/>
          <w:szCs w:val="24"/>
        </w:rPr>
        <w:t>. In fact</w:t>
      </w:r>
      <w:r w:rsidR="00486E42" w:rsidRPr="004113D3">
        <w:rPr>
          <w:rFonts w:ascii="Arial" w:hAnsi="Arial" w:cs="Arial"/>
          <w:sz w:val="24"/>
          <w:szCs w:val="24"/>
        </w:rPr>
        <w:t>,</w:t>
      </w:r>
      <w:r w:rsidR="00FF2A5D" w:rsidRPr="004113D3">
        <w:rPr>
          <w:rFonts w:ascii="Arial" w:hAnsi="Arial" w:cs="Arial"/>
          <w:sz w:val="24"/>
          <w:szCs w:val="24"/>
        </w:rPr>
        <w:t xml:space="preserve"> their argument was advanced from the point of view that the settlement was </w:t>
      </w:r>
      <w:r w:rsidR="007C616D" w:rsidRPr="004113D3">
        <w:rPr>
          <w:rFonts w:ascii="Arial" w:hAnsi="Arial" w:cs="Arial"/>
          <w:sz w:val="24"/>
          <w:szCs w:val="24"/>
        </w:rPr>
        <w:t xml:space="preserve">already made an order of court and that there is no need for the plaintiffs to seek an enforcement order as </w:t>
      </w:r>
      <w:r w:rsidR="00880E53" w:rsidRPr="004113D3">
        <w:rPr>
          <w:rFonts w:ascii="Arial" w:hAnsi="Arial" w:cs="Arial"/>
          <w:sz w:val="24"/>
          <w:szCs w:val="24"/>
        </w:rPr>
        <w:t xml:space="preserve">the </w:t>
      </w:r>
      <w:r w:rsidR="007C616D" w:rsidRPr="004113D3">
        <w:rPr>
          <w:rFonts w:ascii="Arial" w:hAnsi="Arial" w:cs="Arial"/>
          <w:sz w:val="24"/>
          <w:szCs w:val="24"/>
        </w:rPr>
        <w:t xml:space="preserve">said enforcement would be done </w:t>
      </w:r>
      <w:r w:rsidR="00880E53" w:rsidRPr="004113D3">
        <w:rPr>
          <w:rFonts w:ascii="Arial" w:hAnsi="Arial" w:cs="Arial"/>
          <w:sz w:val="24"/>
          <w:szCs w:val="24"/>
        </w:rPr>
        <w:t xml:space="preserve">via </w:t>
      </w:r>
      <w:r w:rsidR="007C616D" w:rsidRPr="004113D3">
        <w:rPr>
          <w:rFonts w:ascii="Arial" w:hAnsi="Arial" w:cs="Arial"/>
          <w:sz w:val="24"/>
          <w:szCs w:val="24"/>
        </w:rPr>
        <w:t xml:space="preserve">the office of the Deputy Sherriff. </w:t>
      </w:r>
    </w:p>
    <w:p w14:paraId="1F92DB7E" w14:textId="77777777" w:rsidR="007C616D" w:rsidRPr="004113D3" w:rsidRDefault="007C616D" w:rsidP="007C616D">
      <w:pPr>
        <w:pStyle w:val="ListParagraph"/>
        <w:rPr>
          <w:rFonts w:ascii="Arial" w:hAnsi="Arial" w:cs="Arial"/>
          <w:sz w:val="24"/>
          <w:szCs w:val="24"/>
        </w:rPr>
      </w:pPr>
    </w:p>
    <w:p w14:paraId="5FFB242C" w14:textId="77777777" w:rsidR="00230D4E" w:rsidRPr="004113D3" w:rsidRDefault="00EB2A2A" w:rsidP="00EB2A2A">
      <w:pPr>
        <w:pStyle w:val="ListParagraph"/>
        <w:shd w:val="clear" w:color="auto" w:fill="FFFFFF"/>
        <w:spacing w:after="171" w:line="360" w:lineRule="auto"/>
        <w:ind w:left="0"/>
        <w:jc w:val="both"/>
        <w:rPr>
          <w:rFonts w:ascii="Arial" w:eastAsia="Times New Roman" w:hAnsi="Arial" w:cs="Arial"/>
          <w:sz w:val="24"/>
          <w:szCs w:val="24"/>
        </w:rPr>
      </w:pPr>
      <w:r w:rsidRPr="004113D3">
        <w:rPr>
          <w:rFonts w:ascii="Arial" w:eastAsia="Times New Roman" w:hAnsi="Arial" w:cs="Arial"/>
          <w:sz w:val="24"/>
          <w:szCs w:val="24"/>
        </w:rPr>
        <w:t>[28]</w:t>
      </w:r>
      <w:r w:rsidRPr="004113D3">
        <w:rPr>
          <w:rFonts w:ascii="Arial" w:eastAsia="Times New Roman" w:hAnsi="Arial" w:cs="Arial"/>
          <w:sz w:val="24"/>
          <w:szCs w:val="24"/>
        </w:rPr>
        <w:tab/>
      </w:r>
      <w:r w:rsidR="00230D4E" w:rsidRPr="004113D3">
        <w:rPr>
          <w:rFonts w:ascii="Arial" w:eastAsia="Times New Roman" w:hAnsi="Arial" w:cs="Arial"/>
          <w:sz w:val="24"/>
          <w:szCs w:val="24"/>
        </w:rPr>
        <w:t>In the October 2022 judgment, the terms of the settlement agreement were not considered as it was not required f</w:t>
      </w:r>
      <w:r w:rsidR="00A0479C" w:rsidRPr="004113D3">
        <w:rPr>
          <w:rFonts w:ascii="Arial" w:eastAsia="Times New Roman" w:hAnsi="Arial" w:cs="Arial"/>
          <w:sz w:val="24"/>
          <w:szCs w:val="24"/>
        </w:rPr>
        <w:t>or</w:t>
      </w:r>
      <w:r w:rsidR="00230D4E" w:rsidRPr="004113D3">
        <w:rPr>
          <w:rFonts w:ascii="Arial" w:eastAsia="Times New Roman" w:hAnsi="Arial" w:cs="Arial"/>
          <w:sz w:val="24"/>
          <w:szCs w:val="24"/>
        </w:rPr>
        <w:t xml:space="preserve"> the court to do so at the time</w:t>
      </w:r>
      <w:r w:rsidR="00A0479C" w:rsidRPr="004113D3">
        <w:rPr>
          <w:rFonts w:ascii="Arial" w:eastAsia="Times New Roman" w:hAnsi="Arial" w:cs="Arial"/>
          <w:sz w:val="24"/>
          <w:szCs w:val="24"/>
        </w:rPr>
        <w:t>. However</w:t>
      </w:r>
      <w:r w:rsidR="00230D4E" w:rsidRPr="004113D3">
        <w:rPr>
          <w:rFonts w:ascii="Arial" w:eastAsia="Times New Roman" w:hAnsi="Arial" w:cs="Arial"/>
          <w:sz w:val="24"/>
          <w:szCs w:val="24"/>
        </w:rPr>
        <w:t>, when the court is requested to make the settlement agreement an order of court</w:t>
      </w:r>
      <w:r w:rsidR="00A0479C" w:rsidRPr="004113D3">
        <w:rPr>
          <w:rFonts w:ascii="Arial" w:eastAsia="Times New Roman" w:hAnsi="Arial" w:cs="Arial"/>
          <w:sz w:val="24"/>
          <w:szCs w:val="24"/>
        </w:rPr>
        <w:t>,</w:t>
      </w:r>
      <w:r w:rsidR="00230D4E" w:rsidRPr="004113D3">
        <w:rPr>
          <w:rFonts w:ascii="Arial" w:eastAsia="Times New Roman" w:hAnsi="Arial" w:cs="Arial"/>
          <w:sz w:val="24"/>
          <w:szCs w:val="24"/>
        </w:rPr>
        <w:t xml:space="preserve"> it is ne</w:t>
      </w:r>
      <w:r w:rsidR="001B368F" w:rsidRPr="004113D3">
        <w:rPr>
          <w:rFonts w:ascii="Arial" w:eastAsia="Times New Roman" w:hAnsi="Arial" w:cs="Arial"/>
          <w:sz w:val="24"/>
          <w:szCs w:val="24"/>
        </w:rPr>
        <w:t xml:space="preserve">cessary to consider the terms of the agreement as part of the </w:t>
      </w:r>
      <w:r w:rsidR="00A0479C" w:rsidRPr="004113D3">
        <w:rPr>
          <w:rFonts w:ascii="Arial" w:eastAsia="Times New Roman" w:hAnsi="Arial" w:cs="Arial"/>
          <w:sz w:val="24"/>
          <w:szCs w:val="24"/>
        </w:rPr>
        <w:t xml:space="preserve">court’s </w:t>
      </w:r>
      <w:r w:rsidR="001B368F" w:rsidRPr="004113D3">
        <w:rPr>
          <w:rFonts w:ascii="Arial" w:eastAsia="Times New Roman" w:hAnsi="Arial" w:cs="Arial"/>
          <w:sz w:val="24"/>
          <w:szCs w:val="24"/>
        </w:rPr>
        <w:t>judicial oversight role</w:t>
      </w:r>
      <w:r w:rsidR="00A0479C" w:rsidRPr="004113D3">
        <w:rPr>
          <w:rFonts w:ascii="Arial" w:eastAsia="Times New Roman" w:hAnsi="Arial" w:cs="Arial"/>
          <w:sz w:val="24"/>
          <w:szCs w:val="24"/>
        </w:rPr>
        <w:t>.</w:t>
      </w:r>
      <w:r w:rsidR="001B368F" w:rsidRPr="004113D3">
        <w:rPr>
          <w:rFonts w:ascii="Arial" w:eastAsia="Times New Roman" w:hAnsi="Arial" w:cs="Arial"/>
          <w:sz w:val="24"/>
          <w:szCs w:val="24"/>
        </w:rPr>
        <w:t xml:space="preserve"> </w:t>
      </w:r>
    </w:p>
    <w:p w14:paraId="40A79D0D" w14:textId="77777777" w:rsidR="001B368F" w:rsidRPr="004113D3" w:rsidRDefault="001B368F" w:rsidP="008A71FB">
      <w:pPr>
        <w:pStyle w:val="ListParagraph"/>
        <w:spacing w:after="0" w:line="360" w:lineRule="auto"/>
        <w:ind w:left="0"/>
        <w:jc w:val="both"/>
        <w:rPr>
          <w:rFonts w:ascii="Arial" w:eastAsia="Times New Roman" w:hAnsi="Arial" w:cs="Arial"/>
          <w:sz w:val="24"/>
          <w:szCs w:val="24"/>
        </w:rPr>
      </w:pPr>
    </w:p>
    <w:p w14:paraId="7940D93B" w14:textId="77777777" w:rsidR="001B368F" w:rsidRPr="004113D3" w:rsidRDefault="00EB2A2A" w:rsidP="00EB2A2A">
      <w:pPr>
        <w:pStyle w:val="NormalWeb"/>
        <w:shd w:val="clear" w:color="auto" w:fill="FFFFFF"/>
        <w:spacing w:before="0" w:beforeAutospacing="0" w:after="0" w:afterAutospacing="0" w:line="360" w:lineRule="auto"/>
        <w:jc w:val="both"/>
        <w:rPr>
          <w:rFonts w:ascii="Arial" w:hAnsi="Arial" w:cs="Arial"/>
        </w:rPr>
      </w:pPr>
      <w:r w:rsidRPr="004113D3">
        <w:rPr>
          <w:rStyle w:val="Emphasis"/>
          <w:rFonts w:ascii="Arial" w:hAnsi="Arial" w:cs="Arial"/>
          <w:i w:val="0"/>
        </w:rPr>
        <w:t>[29]</w:t>
      </w:r>
      <w:r w:rsidRPr="004113D3">
        <w:rPr>
          <w:rStyle w:val="Emphasis"/>
          <w:rFonts w:ascii="Arial" w:hAnsi="Arial" w:cs="Arial"/>
          <w:i w:val="0"/>
        </w:rPr>
        <w:tab/>
      </w:r>
      <w:r w:rsidR="001B368F" w:rsidRPr="004113D3">
        <w:rPr>
          <w:rStyle w:val="Emphasis"/>
          <w:rFonts w:ascii="Arial" w:hAnsi="Arial" w:cs="Arial"/>
          <w:i w:val="0"/>
        </w:rPr>
        <w:t xml:space="preserve">In </w:t>
      </w:r>
      <w:proofErr w:type="spellStart"/>
      <w:r w:rsidR="001B368F" w:rsidRPr="004113D3">
        <w:rPr>
          <w:rStyle w:val="Emphasis"/>
          <w:rFonts w:ascii="Arial" w:hAnsi="Arial" w:cs="Arial"/>
        </w:rPr>
        <w:t>Maswanganyi</w:t>
      </w:r>
      <w:proofErr w:type="spellEnd"/>
      <w:r w:rsidR="001B368F" w:rsidRPr="004113D3">
        <w:rPr>
          <w:rStyle w:val="Emphasis"/>
          <w:rFonts w:ascii="Arial" w:hAnsi="Arial" w:cs="Arial"/>
        </w:rPr>
        <w:t xml:space="preserve"> v Road Accident Fund</w:t>
      </w:r>
      <w:r w:rsidR="00880E53" w:rsidRPr="004113D3">
        <w:rPr>
          <w:rStyle w:val="FootnoteReference"/>
          <w:rFonts w:ascii="Arial" w:hAnsi="Arial" w:cs="Arial"/>
          <w:i/>
          <w:iCs/>
        </w:rPr>
        <w:footnoteReference w:id="4"/>
      </w:r>
      <w:r w:rsidR="001B368F" w:rsidRPr="004113D3">
        <w:rPr>
          <w:rFonts w:ascii="Arial" w:hAnsi="Arial" w:cs="Arial"/>
        </w:rPr>
        <w:t xml:space="preserve"> in the minority judgment, the court at paras 57 and 58, in which Zondi JA and </w:t>
      </w:r>
      <w:proofErr w:type="spellStart"/>
      <w:r w:rsidR="001B368F" w:rsidRPr="004113D3">
        <w:rPr>
          <w:rFonts w:ascii="Arial" w:hAnsi="Arial" w:cs="Arial"/>
        </w:rPr>
        <w:t>Mocumie</w:t>
      </w:r>
      <w:proofErr w:type="spellEnd"/>
      <w:r w:rsidR="001B368F" w:rsidRPr="004113D3">
        <w:rPr>
          <w:rFonts w:ascii="Arial" w:hAnsi="Arial" w:cs="Arial"/>
        </w:rPr>
        <w:t xml:space="preserve"> JA concurred</w:t>
      </w:r>
      <w:r w:rsidR="00A0479C" w:rsidRPr="004113D3">
        <w:rPr>
          <w:rFonts w:ascii="Arial" w:hAnsi="Arial" w:cs="Arial"/>
        </w:rPr>
        <w:t>,</w:t>
      </w:r>
      <w:r w:rsidR="001B368F" w:rsidRPr="004113D3">
        <w:rPr>
          <w:rFonts w:ascii="Arial" w:hAnsi="Arial" w:cs="Arial"/>
        </w:rPr>
        <w:t xml:space="preserve"> held:</w:t>
      </w:r>
    </w:p>
    <w:p w14:paraId="47DAA0A6" w14:textId="77777777" w:rsidR="00880E53" w:rsidRPr="004113D3" w:rsidRDefault="00880E53" w:rsidP="00880E53">
      <w:pPr>
        <w:pStyle w:val="NormalWeb"/>
        <w:shd w:val="clear" w:color="auto" w:fill="FFFFFF"/>
        <w:spacing w:before="0" w:beforeAutospacing="0" w:after="0" w:afterAutospacing="0" w:line="360" w:lineRule="auto"/>
        <w:jc w:val="both"/>
        <w:rPr>
          <w:rFonts w:ascii="Arial" w:hAnsi="Arial" w:cs="Arial"/>
        </w:rPr>
      </w:pPr>
    </w:p>
    <w:p w14:paraId="2951CFA8" w14:textId="77777777" w:rsidR="001B368F" w:rsidRPr="004113D3" w:rsidRDefault="001B368F" w:rsidP="008A71FB">
      <w:pPr>
        <w:pStyle w:val="NormalWeb"/>
        <w:shd w:val="clear" w:color="auto" w:fill="FFFFFF"/>
        <w:spacing w:before="0" w:beforeAutospacing="0" w:after="0" w:afterAutospacing="0" w:line="360" w:lineRule="auto"/>
        <w:ind w:firstLine="720"/>
        <w:jc w:val="both"/>
        <w:rPr>
          <w:rFonts w:ascii="Arial" w:hAnsi="Arial" w:cs="Arial"/>
          <w:sz w:val="22"/>
          <w:szCs w:val="22"/>
        </w:rPr>
      </w:pPr>
      <w:r w:rsidRPr="004113D3">
        <w:rPr>
          <w:rFonts w:ascii="Arial" w:hAnsi="Arial" w:cs="Arial"/>
          <w:sz w:val="22"/>
          <w:szCs w:val="22"/>
        </w:rPr>
        <w:t>‘The court must be satisfied that the order that it is required to make is competent and proper in the sense that it will have the power to compel the person against whom the order is made, to make satisfaction. Secondly, it must satisfy itself that the agreement is not objectionable and that it must hold some practical and legitimate advantage. Where necessary, the court must play an oversight role when it is of the opinion that the terms of the agreement are inadequate. In such instances</w:t>
      </w:r>
      <w:r w:rsidR="006461EA" w:rsidRPr="004113D3">
        <w:rPr>
          <w:rFonts w:ascii="Arial" w:hAnsi="Arial" w:cs="Arial"/>
          <w:sz w:val="22"/>
          <w:szCs w:val="22"/>
        </w:rPr>
        <w:t>,</w:t>
      </w:r>
      <w:r w:rsidRPr="004113D3">
        <w:rPr>
          <w:rFonts w:ascii="Arial" w:hAnsi="Arial" w:cs="Arial"/>
          <w:sz w:val="22"/>
          <w:szCs w:val="22"/>
        </w:rPr>
        <w:t xml:space="preserve"> it may even insist that the parties effect the necessary changes to the terms of the settlement agreement as a condition for the making of the order.’</w:t>
      </w:r>
    </w:p>
    <w:p w14:paraId="42982138" w14:textId="77777777" w:rsidR="00486E42" w:rsidRPr="004113D3" w:rsidRDefault="00486E42" w:rsidP="00486E42">
      <w:pPr>
        <w:pStyle w:val="ListParagraph"/>
        <w:rPr>
          <w:rFonts w:ascii="Arial" w:eastAsia="Times New Roman" w:hAnsi="Arial" w:cs="Arial"/>
          <w:sz w:val="24"/>
          <w:szCs w:val="24"/>
        </w:rPr>
      </w:pPr>
    </w:p>
    <w:p w14:paraId="613F3C3B" w14:textId="77777777" w:rsidR="006461EA" w:rsidRPr="004113D3" w:rsidRDefault="00EB2A2A" w:rsidP="00EB2A2A">
      <w:pPr>
        <w:pStyle w:val="ListParagraph"/>
        <w:shd w:val="clear" w:color="auto" w:fill="FFFFFF"/>
        <w:spacing w:after="0" w:line="360" w:lineRule="auto"/>
        <w:ind w:left="0"/>
        <w:jc w:val="both"/>
        <w:rPr>
          <w:rFonts w:ascii="Arial" w:eastAsia="Times New Roman" w:hAnsi="Arial" w:cs="Arial"/>
          <w:sz w:val="24"/>
          <w:szCs w:val="24"/>
        </w:rPr>
      </w:pPr>
      <w:r w:rsidRPr="004113D3">
        <w:rPr>
          <w:rFonts w:ascii="Arial" w:eastAsia="Times New Roman" w:hAnsi="Arial" w:cs="Arial"/>
          <w:sz w:val="24"/>
          <w:szCs w:val="24"/>
        </w:rPr>
        <w:t>[30]</w:t>
      </w:r>
      <w:r w:rsidRPr="004113D3">
        <w:rPr>
          <w:rFonts w:ascii="Arial" w:eastAsia="Times New Roman" w:hAnsi="Arial" w:cs="Arial"/>
          <w:sz w:val="24"/>
          <w:szCs w:val="24"/>
        </w:rPr>
        <w:tab/>
      </w:r>
      <w:r w:rsidR="006461EA" w:rsidRPr="004113D3">
        <w:rPr>
          <w:rFonts w:ascii="Arial" w:eastAsia="Times New Roman" w:hAnsi="Arial" w:cs="Arial"/>
          <w:sz w:val="24"/>
          <w:szCs w:val="24"/>
        </w:rPr>
        <w:t xml:space="preserve">The terms of the agreement between the parties, as apparently proposed by the defendants if regard is to be had to the argument of </w:t>
      </w:r>
      <w:proofErr w:type="spellStart"/>
      <w:r w:rsidR="006461EA" w:rsidRPr="004113D3">
        <w:rPr>
          <w:rFonts w:ascii="Arial" w:eastAsia="Times New Roman" w:hAnsi="Arial" w:cs="Arial"/>
          <w:sz w:val="24"/>
          <w:szCs w:val="24"/>
        </w:rPr>
        <w:t>Mr</w:t>
      </w:r>
      <w:proofErr w:type="spellEnd"/>
      <w:r w:rsidR="006461EA" w:rsidRPr="004113D3">
        <w:rPr>
          <w:rFonts w:ascii="Arial" w:eastAsia="Times New Roman" w:hAnsi="Arial" w:cs="Arial"/>
          <w:sz w:val="24"/>
          <w:szCs w:val="24"/>
        </w:rPr>
        <w:t xml:space="preserve"> </w:t>
      </w:r>
      <w:proofErr w:type="spellStart"/>
      <w:r w:rsidR="006461EA" w:rsidRPr="004113D3">
        <w:rPr>
          <w:rFonts w:ascii="Arial" w:eastAsia="Times New Roman" w:hAnsi="Arial" w:cs="Arial"/>
          <w:sz w:val="24"/>
          <w:szCs w:val="24"/>
        </w:rPr>
        <w:t>Chibwana</w:t>
      </w:r>
      <w:proofErr w:type="spellEnd"/>
      <w:r w:rsidR="006461EA" w:rsidRPr="004113D3">
        <w:rPr>
          <w:rFonts w:ascii="Arial" w:eastAsia="Times New Roman" w:hAnsi="Arial" w:cs="Arial"/>
          <w:sz w:val="24"/>
          <w:szCs w:val="24"/>
        </w:rPr>
        <w:t xml:space="preserve">, deal with the transfer of rights over the subdivided portion of the immovable property in question and the monetary payment in respect of renovations and the transfer of funds from a family account. </w:t>
      </w:r>
    </w:p>
    <w:p w14:paraId="51F689EF" w14:textId="77777777" w:rsidR="006461EA" w:rsidRPr="004113D3" w:rsidRDefault="006461EA" w:rsidP="006461EA">
      <w:pPr>
        <w:pStyle w:val="ListParagraph"/>
        <w:shd w:val="clear" w:color="auto" w:fill="FFFFFF"/>
        <w:spacing w:after="0" w:line="360" w:lineRule="auto"/>
        <w:ind w:left="0"/>
        <w:jc w:val="both"/>
        <w:rPr>
          <w:rFonts w:ascii="Arial" w:eastAsia="Times New Roman" w:hAnsi="Arial" w:cs="Arial"/>
          <w:sz w:val="24"/>
          <w:szCs w:val="24"/>
        </w:rPr>
      </w:pPr>
    </w:p>
    <w:p w14:paraId="7A16823E" w14:textId="77777777" w:rsidR="006461EA" w:rsidRPr="004113D3" w:rsidRDefault="00EB2A2A" w:rsidP="00EB2A2A">
      <w:pPr>
        <w:pStyle w:val="ListParagraph"/>
        <w:shd w:val="clear" w:color="auto" w:fill="FFFFFF"/>
        <w:spacing w:after="0" w:line="360" w:lineRule="auto"/>
        <w:ind w:left="0"/>
        <w:jc w:val="both"/>
        <w:rPr>
          <w:rFonts w:ascii="Arial" w:eastAsia="Times New Roman" w:hAnsi="Arial" w:cs="Arial"/>
          <w:sz w:val="24"/>
          <w:szCs w:val="24"/>
        </w:rPr>
      </w:pPr>
      <w:r w:rsidRPr="004113D3">
        <w:rPr>
          <w:rFonts w:ascii="Arial" w:eastAsia="Times New Roman" w:hAnsi="Arial" w:cs="Arial"/>
          <w:sz w:val="24"/>
          <w:szCs w:val="24"/>
        </w:rPr>
        <w:t>[31]</w:t>
      </w:r>
      <w:r w:rsidRPr="004113D3">
        <w:rPr>
          <w:rFonts w:ascii="Arial" w:eastAsia="Times New Roman" w:hAnsi="Arial" w:cs="Arial"/>
          <w:sz w:val="24"/>
          <w:szCs w:val="24"/>
        </w:rPr>
        <w:tab/>
      </w:r>
      <w:r w:rsidR="006461EA" w:rsidRPr="004113D3">
        <w:rPr>
          <w:rFonts w:ascii="Arial" w:eastAsia="Times New Roman" w:hAnsi="Arial" w:cs="Arial"/>
          <w:sz w:val="24"/>
          <w:szCs w:val="24"/>
        </w:rPr>
        <w:t xml:space="preserve">This </w:t>
      </w:r>
      <w:r w:rsidR="005B503D" w:rsidRPr="004113D3">
        <w:rPr>
          <w:rFonts w:ascii="Arial" w:eastAsia="Times New Roman" w:hAnsi="Arial" w:cs="Arial"/>
          <w:sz w:val="24"/>
          <w:szCs w:val="24"/>
        </w:rPr>
        <w:t>verbal</w:t>
      </w:r>
      <w:r w:rsidR="00880E53" w:rsidRPr="004113D3">
        <w:rPr>
          <w:rFonts w:ascii="Arial" w:eastAsia="Times New Roman" w:hAnsi="Arial" w:cs="Arial"/>
          <w:sz w:val="24"/>
          <w:szCs w:val="24"/>
        </w:rPr>
        <w:t xml:space="preserve"> </w:t>
      </w:r>
      <w:r w:rsidR="006461EA" w:rsidRPr="004113D3">
        <w:rPr>
          <w:rFonts w:ascii="Arial" w:eastAsia="Times New Roman" w:hAnsi="Arial" w:cs="Arial"/>
          <w:sz w:val="24"/>
          <w:szCs w:val="24"/>
        </w:rPr>
        <w:t>agreement between the parties is brought into perspective by the background facts set out in the original particulars of claim and in the plaintiffs</w:t>
      </w:r>
      <w:r w:rsidR="00A951A1" w:rsidRPr="004113D3">
        <w:rPr>
          <w:rFonts w:ascii="Arial" w:eastAsia="Times New Roman" w:hAnsi="Arial" w:cs="Arial"/>
          <w:sz w:val="24"/>
          <w:szCs w:val="24"/>
        </w:rPr>
        <w:t>’</w:t>
      </w:r>
      <w:r w:rsidR="006461EA" w:rsidRPr="004113D3">
        <w:rPr>
          <w:rFonts w:ascii="Arial" w:eastAsia="Times New Roman" w:hAnsi="Arial" w:cs="Arial"/>
          <w:sz w:val="24"/>
          <w:szCs w:val="24"/>
        </w:rPr>
        <w:t xml:space="preserve"> replying papers. </w:t>
      </w:r>
    </w:p>
    <w:p w14:paraId="4C8F7E5B" w14:textId="77777777" w:rsidR="006461EA" w:rsidRPr="004113D3" w:rsidRDefault="006461EA" w:rsidP="006461EA">
      <w:pPr>
        <w:pStyle w:val="ListParagraph"/>
        <w:shd w:val="clear" w:color="auto" w:fill="FFFFFF"/>
        <w:spacing w:after="0" w:line="360" w:lineRule="auto"/>
        <w:ind w:left="0"/>
        <w:jc w:val="both"/>
        <w:rPr>
          <w:rFonts w:ascii="Arial" w:eastAsia="Times New Roman" w:hAnsi="Arial" w:cs="Arial"/>
          <w:sz w:val="24"/>
          <w:szCs w:val="24"/>
        </w:rPr>
      </w:pPr>
    </w:p>
    <w:p w14:paraId="37EF5063" w14:textId="77777777" w:rsidR="004A7A55" w:rsidRPr="004113D3" w:rsidRDefault="00EB2A2A" w:rsidP="00EB2A2A">
      <w:pPr>
        <w:pStyle w:val="ListParagraph"/>
        <w:shd w:val="clear" w:color="auto" w:fill="FFFFFF"/>
        <w:spacing w:after="0" w:line="360" w:lineRule="auto"/>
        <w:ind w:left="0"/>
        <w:jc w:val="both"/>
        <w:rPr>
          <w:rFonts w:ascii="Arial" w:eastAsia="Times New Roman" w:hAnsi="Arial" w:cs="Arial"/>
          <w:sz w:val="24"/>
          <w:szCs w:val="24"/>
        </w:rPr>
      </w:pPr>
      <w:r w:rsidRPr="004113D3">
        <w:rPr>
          <w:rFonts w:ascii="Arial" w:eastAsia="Times New Roman" w:hAnsi="Arial" w:cs="Arial"/>
          <w:sz w:val="24"/>
          <w:szCs w:val="24"/>
        </w:rPr>
        <w:t>[32]</w:t>
      </w:r>
      <w:r w:rsidRPr="004113D3">
        <w:rPr>
          <w:rFonts w:ascii="Arial" w:eastAsia="Times New Roman" w:hAnsi="Arial" w:cs="Arial"/>
          <w:sz w:val="24"/>
          <w:szCs w:val="24"/>
        </w:rPr>
        <w:tab/>
      </w:r>
      <w:r w:rsidR="006461EA" w:rsidRPr="004113D3">
        <w:rPr>
          <w:rFonts w:ascii="Arial" w:eastAsia="Times New Roman" w:hAnsi="Arial" w:cs="Arial"/>
          <w:sz w:val="24"/>
          <w:szCs w:val="24"/>
        </w:rPr>
        <w:t xml:space="preserve">The </w:t>
      </w:r>
      <w:r w:rsidR="005B503D" w:rsidRPr="004113D3">
        <w:rPr>
          <w:rFonts w:ascii="Arial" w:eastAsia="Times New Roman" w:hAnsi="Arial" w:cs="Arial"/>
          <w:sz w:val="24"/>
          <w:szCs w:val="24"/>
        </w:rPr>
        <w:t xml:space="preserve">verbal </w:t>
      </w:r>
      <w:r w:rsidR="006461EA" w:rsidRPr="004113D3">
        <w:rPr>
          <w:rFonts w:ascii="Arial" w:eastAsia="Times New Roman" w:hAnsi="Arial" w:cs="Arial"/>
          <w:sz w:val="24"/>
          <w:szCs w:val="24"/>
        </w:rPr>
        <w:t xml:space="preserve">agreement does not deal with the sale of immovable property </w:t>
      </w:r>
      <w:r w:rsidR="00A951A1" w:rsidRPr="004113D3">
        <w:rPr>
          <w:rFonts w:ascii="Arial" w:eastAsia="Times New Roman" w:hAnsi="Arial" w:cs="Arial"/>
          <w:sz w:val="24"/>
          <w:szCs w:val="24"/>
        </w:rPr>
        <w:t>or</w:t>
      </w:r>
      <w:r w:rsidR="006461EA" w:rsidRPr="004113D3">
        <w:rPr>
          <w:rFonts w:ascii="Arial" w:eastAsia="Times New Roman" w:hAnsi="Arial" w:cs="Arial"/>
          <w:sz w:val="24"/>
          <w:szCs w:val="24"/>
        </w:rPr>
        <w:t xml:space="preserve"> the </w:t>
      </w:r>
      <w:r w:rsidR="002A07CB" w:rsidRPr="004113D3">
        <w:rPr>
          <w:rFonts w:ascii="Arial" w:eastAsia="Times New Roman" w:hAnsi="Arial" w:cs="Arial"/>
          <w:sz w:val="24"/>
          <w:szCs w:val="24"/>
        </w:rPr>
        <w:t xml:space="preserve">sale of </w:t>
      </w:r>
      <w:r w:rsidR="00A951A1" w:rsidRPr="004113D3">
        <w:rPr>
          <w:rFonts w:ascii="Arial" w:eastAsia="Times New Roman" w:hAnsi="Arial" w:cs="Arial"/>
          <w:sz w:val="24"/>
          <w:szCs w:val="24"/>
        </w:rPr>
        <w:t xml:space="preserve">an </w:t>
      </w:r>
      <w:r w:rsidR="002A07CB" w:rsidRPr="004113D3">
        <w:rPr>
          <w:rFonts w:ascii="Arial" w:eastAsia="Times New Roman" w:hAnsi="Arial" w:cs="Arial"/>
          <w:sz w:val="24"/>
          <w:szCs w:val="24"/>
        </w:rPr>
        <w:t xml:space="preserve">interest in land. I previously held </w:t>
      </w:r>
      <w:proofErr w:type="gramStart"/>
      <w:r w:rsidR="002A07CB" w:rsidRPr="004113D3">
        <w:rPr>
          <w:rFonts w:ascii="Arial" w:eastAsia="Times New Roman" w:hAnsi="Arial" w:cs="Arial"/>
          <w:sz w:val="24"/>
          <w:szCs w:val="24"/>
        </w:rPr>
        <w:t>on</w:t>
      </w:r>
      <w:proofErr w:type="gramEnd"/>
      <w:r w:rsidR="002A07CB" w:rsidRPr="004113D3">
        <w:rPr>
          <w:rFonts w:ascii="Arial" w:eastAsia="Times New Roman" w:hAnsi="Arial" w:cs="Arial"/>
          <w:sz w:val="24"/>
          <w:szCs w:val="24"/>
        </w:rPr>
        <w:t xml:space="preserve"> the argument advanced that the plaintiff’s claim was not premised on the sale of land</w:t>
      </w:r>
      <w:r w:rsidR="00A951A1" w:rsidRPr="004113D3">
        <w:rPr>
          <w:rFonts w:ascii="Arial" w:eastAsia="Times New Roman" w:hAnsi="Arial" w:cs="Arial"/>
          <w:sz w:val="24"/>
          <w:szCs w:val="24"/>
        </w:rPr>
        <w:t>,</w:t>
      </w:r>
      <w:r w:rsidR="002A07CB" w:rsidRPr="004113D3">
        <w:rPr>
          <w:rFonts w:ascii="Arial" w:eastAsia="Times New Roman" w:hAnsi="Arial" w:cs="Arial"/>
          <w:sz w:val="24"/>
          <w:szCs w:val="24"/>
        </w:rPr>
        <w:t xml:space="preserve"> and I stand by that finding. If the settlement agreement related to the sale of land</w:t>
      </w:r>
      <w:r w:rsidR="00A951A1" w:rsidRPr="004113D3">
        <w:rPr>
          <w:rFonts w:ascii="Arial" w:eastAsia="Times New Roman" w:hAnsi="Arial" w:cs="Arial"/>
          <w:sz w:val="24"/>
          <w:szCs w:val="24"/>
        </w:rPr>
        <w:t>,</w:t>
      </w:r>
      <w:r w:rsidR="002A07CB" w:rsidRPr="004113D3">
        <w:rPr>
          <w:rFonts w:ascii="Arial" w:eastAsia="Times New Roman" w:hAnsi="Arial" w:cs="Arial"/>
          <w:sz w:val="24"/>
          <w:szCs w:val="24"/>
        </w:rPr>
        <w:t xml:space="preserve"> one would have expect</w:t>
      </w:r>
      <w:r w:rsidR="00880E53" w:rsidRPr="004113D3">
        <w:rPr>
          <w:rFonts w:ascii="Arial" w:eastAsia="Times New Roman" w:hAnsi="Arial" w:cs="Arial"/>
          <w:sz w:val="24"/>
          <w:szCs w:val="24"/>
        </w:rPr>
        <w:t>ed</w:t>
      </w:r>
      <w:r w:rsidR="002A07CB" w:rsidRPr="004113D3">
        <w:rPr>
          <w:rFonts w:ascii="Arial" w:eastAsia="Times New Roman" w:hAnsi="Arial" w:cs="Arial"/>
          <w:sz w:val="24"/>
          <w:szCs w:val="24"/>
        </w:rPr>
        <w:t xml:space="preserve"> the agreement to deal with it specifically. In fact</w:t>
      </w:r>
      <w:r w:rsidR="004A7A55" w:rsidRPr="004113D3">
        <w:rPr>
          <w:rFonts w:ascii="Arial" w:eastAsia="Times New Roman" w:hAnsi="Arial" w:cs="Arial"/>
          <w:sz w:val="24"/>
          <w:szCs w:val="24"/>
        </w:rPr>
        <w:t>,</w:t>
      </w:r>
      <w:r w:rsidR="002A07CB" w:rsidRPr="004113D3">
        <w:rPr>
          <w:rFonts w:ascii="Arial" w:eastAsia="Times New Roman" w:hAnsi="Arial" w:cs="Arial"/>
          <w:sz w:val="24"/>
          <w:szCs w:val="24"/>
        </w:rPr>
        <w:t xml:space="preserve"> there is no reference to any sales agreement in the terms of the settlement</w:t>
      </w:r>
      <w:r w:rsidR="00A951A1" w:rsidRPr="004113D3">
        <w:rPr>
          <w:rFonts w:ascii="Arial" w:eastAsia="Times New Roman" w:hAnsi="Arial" w:cs="Arial"/>
          <w:sz w:val="24"/>
          <w:szCs w:val="24"/>
        </w:rPr>
        <w:t xml:space="preserve"> and </w:t>
      </w:r>
      <w:r w:rsidR="002A07CB" w:rsidRPr="004113D3">
        <w:rPr>
          <w:rFonts w:ascii="Arial" w:eastAsia="Times New Roman" w:hAnsi="Arial" w:cs="Arial"/>
          <w:sz w:val="24"/>
          <w:szCs w:val="24"/>
        </w:rPr>
        <w:t xml:space="preserve">no reference to payment apart from the </w:t>
      </w:r>
      <w:r w:rsidR="004A7A55" w:rsidRPr="004113D3">
        <w:rPr>
          <w:rFonts w:ascii="Arial" w:eastAsia="Times New Roman" w:hAnsi="Arial" w:cs="Arial"/>
          <w:sz w:val="24"/>
          <w:szCs w:val="24"/>
        </w:rPr>
        <w:t>fact that the plaintiff</w:t>
      </w:r>
      <w:r w:rsidR="00A951A1" w:rsidRPr="004113D3">
        <w:rPr>
          <w:rFonts w:ascii="Arial" w:eastAsia="Times New Roman" w:hAnsi="Arial" w:cs="Arial"/>
          <w:sz w:val="24"/>
          <w:szCs w:val="24"/>
        </w:rPr>
        <w:t>s</w:t>
      </w:r>
      <w:r w:rsidR="004A7A55" w:rsidRPr="004113D3">
        <w:rPr>
          <w:rFonts w:ascii="Arial" w:eastAsia="Times New Roman" w:hAnsi="Arial" w:cs="Arial"/>
          <w:sz w:val="24"/>
          <w:szCs w:val="24"/>
        </w:rPr>
        <w:t xml:space="preserve"> had to pay for the transfer costs. </w:t>
      </w:r>
    </w:p>
    <w:p w14:paraId="72EBABF2" w14:textId="77777777" w:rsidR="004A7A55" w:rsidRPr="004113D3" w:rsidRDefault="004A7A55" w:rsidP="004A7A55">
      <w:pPr>
        <w:pStyle w:val="ListParagraph"/>
        <w:rPr>
          <w:rFonts w:ascii="Arial" w:eastAsia="Times New Roman" w:hAnsi="Arial" w:cs="Arial"/>
          <w:sz w:val="24"/>
          <w:szCs w:val="24"/>
        </w:rPr>
      </w:pPr>
    </w:p>
    <w:p w14:paraId="563055C7" w14:textId="77777777" w:rsidR="006461EA" w:rsidRPr="004113D3" w:rsidRDefault="00EB2A2A" w:rsidP="00EB2A2A">
      <w:pPr>
        <w:pStyle w:val="ListParagraph"/>
        <w:shd w:val="clear" w:color="auto" w:fill="FFFFFF"/>
        <w:spacing w:after="0" w:line="360" w:lineRule="auto"/>
        <w:ind w:left="0"/>
        <w:jc w:val="both"/>
        <w:rPr>
          <w:rFonts w:ascii="Arial" w:eastAsia="Times New Roman" w:hAnsi="Arial" w:cs="Arial"/>
          <w:sz w:val="24"/>
          <w:szCs w:val="24"/>
        </w:rPr>
      </w:pPr>
      <w:r w:rsidRPr="004113D3">
        <w:rPr>
          <w:rFonts w:ascii="Arial" w:eastAsia="Times New Roman" w:hAnsi="Arial" w:cs="Arial"/>
          <w:sz w:val="24"/>
          <w:szCs w:val="24"/>
        </w:rPr>
        <w:t>[33]</w:t>
      </w:r>
      <w:r w:rsidRPr="004113D3">
        <w:rPr>
          <w:rFonts w:ascii="Arial" w:eastAsia="Times New Roman" w:hAnsi="Arial" w:cs="Arial"/>
          <w:sz w:val="24"/>
          <w:szCs w:val="24"/>
        </w:rPr>
        <w:tab/>
      </w:r>
      <w:r w:rsidR="004A7A55" w:rsidRPr="004113D3">
        <w:rPr>
          <w:rFonts w:ascii="Arial" w:eastAsia="Times New Roman" w:hAnsi="Arial" w:cs="Arial"/>
          <w:sz w:val="24"/>
          <w:szCs w:val="24"/>
        </w:rPr>
        <w:t xml:space="preserve">Paragraph 11.1 of the founding papers reads as follows: </w:t>
      </w:r>
    </w:p>
    <w:p w14:paraId="17579EAB" w14:textId="77777777" w:rsidR="004A7A55" w:rsidRPr="004113D3" w:rsidRDefault="004A7A55" w:rsidP="004A7A55">
      <w:pPr>
        <w:pStyle w:val="ListParagraph"/>
        <w:rPr>
          <w:rFonts w:ascii="Arial" w:eastAsia="Times New Roman" w:hAnsi="Arial" w:cs="Arial"/>
          <w:sz w:val="24"/>
          <w:szCs w:val="24"/>
        </w:rPr>
      </w:pPr>
    </w:p>
    <w:p w14:paraId="176EC4C4" w14:textId="77777777" w:rsidR="004A7A55" w:rsidRPr="004113D3" w:rsidRDefault="004A7A55" w:rsidP="004A7A55">
      <w:pPr>
        <w:pStyle w:val="ListParagraph"/>
        <w:shd w:val="clear" w:color="auto" w:fill="FFFFFF"/>
        <w:spacing w:after="0" w:line="360" w:lineRule="auto"/>
        <w:ind w:left="0" w:firstLine="720"/>
        <w:jc w:val="both"/>
        <w:rPr>
          <w:rFonts w:ascii="Arial" w:eastAsia="Times New Roman" w:hAnsi="Arial" w:cs="Arial"/>
          <w:sz w:val="24"/>
          <w:szCs w:val="24"/>
        </w:rPr>
      </w:pPr>
      <w:r w:rsidRPr="004113D3">
        <w:rPr>
          <w:rFonts w:ascii="Arial" w:eastAsia="Times New Roman" w:hAnsi="Arial" w:cs="Arial"/>
          <w:sz w:val="24"/>
          <w:szCs w:val="24"/>
        </w:rPr>
        <w:t>‘</w:t>
      </w:r>
      <w:r w:rsidRPr="004113D3">
        <w:rPr>
          <w:rFonts w:ascii="Arial" w:eastAsia="Times New Roman" w:hAnsi="Arial" w:cs="Arial"/>
        </w:rPr>
        <w:t xml:space="preserve">The First and Second Defendants will cause to sign all documents necessary to permit the registration of the </w:t>
      </w:r>
      <w:r w:rsidRPr="004113D3">
        <w:rPr>
          <w:rFonts w:ascii="Arial" w:eastAsia="Times New Roman" w:hAnsi="Arial" w:cs="Arial"/>
          <w:u w:val="single"/>
        </w:rPr>
        <w:t>Plaintiffs’ rights</w:t>
      </w:r>
      <w:r w:rsidRPr="004113D3">
        <w:rPr>
          <w:rFonts w:ascii="Arial" w:eastAsia="Times New Roman" w:hAnsi="Arial" w:cs="Arial"/>
        </w:rPr>
        <w:t xml:space="preserve"> over a sub-divided portion of Erf 2247, Registration Division “A”, Khorixas, Kunene Region, Republic of Namibia.</w:t>
      </w:r>
      <w:r w:rsidRPr="004113D3">
        <w:rPr>
          <w:rFonts w:ascii="Arial" w:eastAsia="Times New Roman" w:hAnsi="Arial" w:cs="Arial"/>
          <w:sz w:val="24"/>
          <w:szCs w:val="24"/>
        </w:rPr>
        <w:t>’ (</w:t>
      </w:r>
      <w:proofErr w:type="gramStart"/>
      <w:r w:rsidRPr="004113D3">
        <w:rPr>
          <w:rFonts w:ascii="Arial" w:eastAsia="Times New Roman" w:hAnsi="Arial" w:cs="Arial"/>
          <w:sz w:val="24"/>
          <w:szCs w:val="24"/>
        </w:rPr>
        <w:t>my</w:t>
      </w:r>
      <w:proofErr w:type="gramEnd"/>
      <w:r w:rsidRPr="004113D3">
        <w:rPr>
          <w:rFonts w:ascii="Arial" w:eastAsia="Times New Roman" w:hAnsi="Arial" w:cs="Arial"/>
          <w:sz w:val="24"/>
          <w:szCs w:val="24"/>
        </w:rPr>
        <w:t xml:space="preserve"> emphasis)</w:t>
      </w:r>
    </w:p>
    <w:p w14:paraId="0F7F40FD" w14:textId="77777777" w:rsidR="004A7A55" w:rsidRPr="004113D3" w:rsidRDefault="004A7A55" w:rsidP="004A7A55">
      <w:pPr>
        <w:pStyle w:val="ListParagraph"/>
        <w:shd w:val="clear" w:color="auto" w:fill="FFFFFF"/>
        <w:spacing w:after="0" w:line="360" w:lineRule="auto"/>
        <w:ind w:left="0" w:firstLine="720"/>
        <w:jc w:val="both"/>
        <w:rPr>
          <w:rFonts w:ascii="Arial" w:eastAsia="Times New Roman" w:hAnsi="Arial" w:cs="Arial"/>
          <w:sz w:val="24"/>
          <w:szCs w:val="24"/>
        </w:rPr>
      </w:pPr>
    </w:p>
    <w:p w14:paraId="1FECDCB7" w14:textId="77777777" w:rsidR="004A7A55" w:rsidRPr="004113D3" w:rsidRDefault="00EB2A2A" w:rsidP="00EB2A2A">
      <w:pPr>
        <w:pStyle w:val="ListParagraph"/>
        <w:shd w:val="clear" w:color="auto" w:fill="FFFFFF"/>
        <w:spacing w:after="0" w:line="360" w:lineRule="auto"/>
        <w:ind w:left="0"/>
        <w:jc w:val="both"/>
        <w:rPr>
          <w:rFonts w:ascii="Arial" w:eastAsia="Times New Roman" w:hAnsi="Arial" w:cs="Arial"/>
          <w:sz w:val="24"/>
          <w:szCs w:val="24"/>
        </w:rPr>
      </w:pPr>
      <w:r w:rsidRPr="004113D3">
        <w:rPr>
          <w:rFonts w:ascii="Arial" w:eastAsia="Times New Roman" w:hAnsi="Arial" w:cs="Arial"/>
          <w:sz w:val="24"/>
          <w:szCs w:val="24"/>
        </w:rPr>
        <w:lastRenderedPageBreak/>
        <w:t>[34]</w:t>
      </w:r>
      <w:r w:rsidRPr="004113D3">
        <w:rPr>
          <w:rFonts w:ascii="Arial" w:eastAsia="Times New Roman" w:hAnsi="Arial" w:cs="Arial"/>
          <w:sz w:val="24"/>
          <w:szCs w:val="24"/>
        </w:rPr>
        <w:tab/>
      </w:r>
      <w:r w:rsidR="004A7A55" w:rsidRPr="004113D3">
        <w:rPr>
          <w:rFonts w:ascii="Arial" w:eastAsia="Times New Roman" w:hAnsi="Arial" w:cs="Arial"/>
          <w:sz w:val="24"/>
          <w:szCs w:val="24"/>
        </w:rPr>
        <w:t xml:space="preserve">I reiterate </w:t>
      </w:r>
      <w:r w:rsidR="00880E53" w:rsidRPr="004113D3">
        <w:rPr>
          <w:rFonts w:ascii="Arial" w:eastAsia="Times New Roman" w:hAnsi="Arial" w:cs="Arial"/>
          <w:sz w:val="24"/>
          <w:szCs w:val="24"/>
        </w:rPr>
        <w:t xml:space="preserve">that </w:t>
      </w:r>
      <w:r w:rsidR="004A7A55" w:rsidRPr="004113D3">
        <w:rPr>
          <w:rFonts w:ascii="Arial" w:eastAsia="Times New Roman" w:hAnsi="Arial" w:cs="Arial"/>
          <w:sz w:val="24"/>
          <w:szCs w:val="24"/>
        </w:rPr>
        <w:t>these terms were agreed upon with the benefit of legal advice</w:t>
      </w:r>
      <w:r w:rsidR="004113D3" w:rsidRPr="004113D3">
        <w:rPr>
          <w:rFonts w:ascii="Arial" w:eastAsia="Times New Roman" w:hAnsi="Arial" w:cs="Arial"/>
          <w:sz w:val="24"/>
          <w:szCs w:val="24"/>
        </w:rPr>
        <w:t>. If</w:t>
      </w:r>
      <w:r w:rsidR="004A7A55" w:rsidRPr="004113D3">
        <w:rPr>
          <w:rFonts w:ascii="Arial" w:eastAsia="Times New Roman" w:hAnsi="Arial" w:cs="Arial"/>
          <w:sz w:val="24"/>
          <w:szCs w:val="24"/>
        </w:rPr>
        <w:t xml:space="preserve"> </w:t>
      </w:r>
      <w:r w:rsidR="004113D3" w:rsidRPr="004113D3">
        <w:rPr>
          <w:rFonts w:ascii="Arial" w:eastAsia="Times New Roman" w:hAnsi="Arial" w:cs="Arial"/>
          <w:sz w:val="24"/>
          <w:szCs w:val="24"/>
        </w:rPr>
        <w:t xml:space="preserve">the sale of land was </w:t>
      </w:r>
      <w:r w:rsidR="004A7A55" w:rsidRPr="004113D3">
        <w:rPr>
          <w:rFonts w:ascii="Arial" w:eastAsia="Times New Roman" w:hAnsi="Arial" w:cs="Arial"/>
          <w:sz w:val="24"/>
          <w:szCs w:val="24"/>
        </w:rPr>
        <w:t>involved</w:t>
      </w:r>
      <w:r w:rsidR="00A951A1" w:rsidRPr="004113D3">
        <w:rPr>
          <w:rFonts w:ascii="Arial" w:eastAsia="Times New Roman" w:hAnsi="Arial" w:cs="Arial"/>
          <w:sz w:val="24"/>
          <w:szCs w:val="24"/>
        </w:rPr>
        <w:t>,</w:t>
      </w:r>
      <w:r w:rsidR="004A7A55" w:rsidRPr="004113D3">
        <w:rPr>
          <w:rFonts w:ascii="Arial" w:eastAsia="Times New Roman" w:hAnsi="Arial" w:cs="Arial"/>
          <w:sz w:val="24"/>
          <w:szCs w:val="24"/>
        </w:rPr>
        <w:t xml:space="preserve"> I have no doubt it </w:t>
      </w:r>
      <w:r w:rsidR="00880E53" w:rsidRPr="004113D3">
        <w:rPr>
          <w:rFonts w:ascii="Arial" w:eastAsia="Times New Roman" w:hAnsi="Arial" w:cs="Arial"/>
          <w:sz w:val="24"/>
          <w:szCs w:val="24"/>
        </w:rPr>
        <w:t>would</w:t>
      </w:r>
      <w:r w:rsidR="004A7A55" w:rsidRPr="004113D3">
        <w:rPr>
          <w:rFonts w:ascii="Arial" w:eastAsia="Times New Roman" w:hAnsi="Arial" w:cs="Arial"/>
          <w:sz w:val="24"/>
          <w:szCs w:val="24"/>
        </w:rPr>
        <w:t xml:space="preserve"> have been dealt with by the legal practitioners with the necessary </w:t>
      </w:r>
      <w:r w:rsidR="00880E53" w:rsidRPr="004113D3">
        <w:rPr>
          <w:rFonts w:ascii="Arial" w:eastAsia="Times New Roman" w:hAnsi="Arial" w:cs="Arial"/>
          <w:sz w:val="24"/>
          <w:szCs w:val="24"/>
        </w:rPr>
        <w:t>particularity</w:t>
      </w:r>
      <w:r w:rsidR="004A7A55" w:rsidRPr="004113D3">
        <w:rPr>
          <w:rFonts w:ascii="Arial" w:eastAsia="Times New Roman" w:hAnsi="Arial" w:cs="Arial"/>
          <w:sz w:val="24"/>
          <w:szCs w:val="24"/>
        </w:rPr>
        <w:t xml:space="preserve">. </w:t>
      </w:r>
    </w:p>
    <w:p w14:paraId="5CDC11CD" w14:textId="77777777" w:rsidR="004A7A55" w:rsidRPr="004113D3" w:rsidRDefault="004A7A55" w:rsidP="004A7A55">
      <w:pPr>
        <w:pStyle w:val="ListParagraph"/>
        <w:shd w:val="clear" w:color="auto" w:fill="FFFFFF"/>
        <w:spacing w:after="0" w:line="360" w:lineRule="auto"/>
        <w:ind w:left="0"/>
        <w:jc w:val="both"/>
        <w:rPr>
          <w:rFonts w:ascii="Arial" w:eastAsia="Times New Roman" w:hAnsi="Arial" w:cs="Arial"/>
          <w:sz w:val="24"/>
          <w:szCs w:val="24"/>
        </w:rPr>
      </w:pPr>
    </w:p>
    <w:p w14:paraId="01A3BD98" w14:textId="77777777" w:rsidR="001B48B3" w:rsidRPr="004113D3" w:rsidRDefault="00EB2A2A" w:rsidP="00EB2A2A">
      <w:pPr>
        <w:pStyle w:val="ListParagraph"/>
        <w:shd w:val="clear" w:color="auto" w:fill="FFFFFF"/>
        <w:spacing w:after="0" w:line="360" w:lineRule="auto"/>
        <w:ind w:left="0"/>
        <w:jc w:val="both"/>
        <w:rPr>
          <w:rFonts w:ascii="Arial" w:hAnsi="Arial" w:cs="Arial"/>
          <w:sz w:val="24"/>
          <w:szCs w:val="24"/>
        </w:rPr>
      </w:pPr>
      <w:r w:rsidRPr="004113D3">
        <w:rPr>
          <w:rFonts w:ascii="Arial" w:eastAsia="Times New Roman" w:hAnsi="Arial" w:cs="Arial"/>
          <w:sz w:val="24"/>
          <w:szCs w:val="24"/>
        </w:rPr>
        <w:t>[35]</w:t>
      </w:r>
      <w:r w:rsidRPr="004113D3">
        <w:rPr>
          <w:rFonts w:ascii="Arial" w:eastAsia="Times New Roman" w:hAnsi="Arial" w:cs="Arial"/>
          <w:sz w:val="24"/>
          <w:szCs w:val="24"/>
        </w:rPr>
        <w:tab/>
      </w:r>
      <w:r w:rsidR="004A7A55" w:rsidRPr="004113D3">
        <w:rPr>
          <w:rFonts w:ascii="Arial" w:eastAsia="Times New Roman" w:hAnsi="Arial" w:cs="Arial"/>
          <w:sz w:val="24"/>
          <w:szCs w:val="24"/>
        </w:rPr>
        <w:t xml:space="preserve">Therefore, having considered the terms of the settlement agreement, I cannot find it to be objectionable or incompetent in light of </w:t>
      </w:r>
      <w:r w:rsidR="00880E53" w:rsidRPr="004113D3">
        <w:rPr>
          <w:rFonts w:ascii="Arial" w:eastAsia="Times New Roman" w:hAnsi="Arial" w:cs="Arial"/>
          <w:sz w:val="24"/>
          <w:szCs w:val="24"/>
        </w:rPr>
        <w:t>the</w:t>
      </w:r>
      <w:r w:rsidR="004A7A55" w:rsidRPr="004113D3">
        <w:rPr>
          <w:rFonts w:ascii="Arial" w:eastAsia="Times New Roman" w:hAnsi="Arial" w:cs="Arial"/>
          <w:sz w:val="24"/>
          <w:szCs w:val="24"/>
        </w:rPr>
        <w:t xml:space="preserve"> findings in the October 2022 judgment, after having considered the dicta in </w:t>
      </w:r>
      <w:r w:rsidR="004A7A55" w:rsidRPr="004113D3">
        <w:rPr>
          <w:rFonts w:ascii="Arial" w:hAnsi="Arial" w:cs="Arial"/>
          <w:i/>
          <w:sz w:val="24"/>
          <w:szCs w:val="24"/>
          <w:shd w:val="clear" w:color="auto" w:fill="FFFFFF"/>
        </w:rPr>
        <w:t xml:space="preserve">Empire Fishing Company (Pty) Ltd v </w:t>
      </w:r>
      <w:proofErr w:type="spellStart"/>
      <w:r w:rsidR="004A7A55" w:rsidRPr="004113D3">
        <w:rPr>
          <w:rFonts w:ascii="Arial" w:hAnsi="Arial" w:cs="Arial"/>
          <w:i/>
          <w:sz w:val="24"/>
          <w:szCs w:val="24"/>
          <w:shd w:val="clear" w:color="auto" w:fill="FFFFFF"/>
        </w:rPr>
        <w:t>Dumeni</w:t>
      </w:r>
      <w:proofErr w:type="spellEnd"/>
      <w:r w:rsidR="004A7A55" w:rsidRPr="004113D3">
        <w:rPr>
          <w:rStyle w:val="FootnoteReference"/>
          <w:rFonts w:ascii="Arial" w:hAnsi="Arial" w:cs="Arial"/>
          <w:i/>
          <w:sz w:val="24"/>
          <w:szCs w:val="24"/>
          <w:shd w:val="clear" w:color="auto" w:fill="FFFFFF"/>
        </w:rPr>
        <w:footnoteReference w:id="5"/>
      </w:r>
      <w:r w:rsidR="004A7A55" w:rsidRPr="004113D3">
        <w:rPr>
          <w:rFonts w:ascii="Arial" w:hAnsi="Arial" w:cs="Arial"/>
          <w:i/>
          <w:sz w:val="24"/>
          <w:szCs w:val="24"/>
          <w:shd w:val="clear" w:color="auto" w:fill="FFFFFF"/>
        </w:rPr>
        <w:t xml:space="preserve"> </w:t>
      </w:r>
      <w:r w:rsidR="004A7A55" w:rsidRPr="004113D3">
        <w:rPr>
          <w:rFonts w:ascii="Arial" w:hAnsi="Arial" w:cs="Arial"/>
          <w:sz w:val="24"/>
          <w:szCs w:val="24"/>
          <w:shd w:val="clear" w:color="auto" w:fill="FFFFFF"/>
        </w:rPr>
        <w:t>and the cases considered the</w:t>
      </w:r>
      <w:r w:rsidR="00880E53" w:rsidRPr="004113D3">
        <w:rPr>
          <w:rFonts w:ascii="Arial" w:hAnsi="Arial" w:cs="Arial"/>
          <w:sz w:val="24"/>
          <w:szCs w:val="24"/>
          <w:shd w:val="clear" w:color="auto" w:fill="FFFFFF"/>
        </w:rPr>
        <w:t>rein, with specific reference</w:t>
      </w:r>
      <w:r w:rsidR="004A7A55" w:rsidRPr="004113D3">
        <w:rPr>
          <w:rFonts w:ascii="Arial" w:hAnsi="Arial" w:cs="Arial"/>
          <w:sz w:val="24"/>
          <w:szCs w:val="24"/>
          <w:shd w:val="clear" w:color="auto" w:fill="FFFFFF"/>
        </w:rPr>
        <w:t xml:space="preserve"> </w:t>
      </w:r>
      <w:r w:rsidR="00880E53" w:rsidRPr="004113D3">
        <w:rPr>
          <w:rFonts w:ascii="Arial" w:hAnsi="Arial" w:cs="Arial"/>
          <w:sz w:val="24"/>
          <w:szCs w:val="24"/>
          <w:shd w:val="clear" w:color="auto" w:fill="FFFFFF"/>
        </w:rPr>
        <w:t>to</w:t>
      </w:r>
      <w:r w:rsidR="004A7A55" w:rsidRPr="004113D3">
        <w:rPr>
          <w:rFonts w:ascii="Arial" w:hAnsi="Arial" w:cs="Arial"/>
          <w:sz w:val="24"/>
          <w:szCs w:val="24"/>
          <w:shd w:val="clear" w:color="auto" w:fill="FFFFFF"/>
        </w:rPr>
        <w:t xml:space="preserve"> </w:t>
      </w:r>
      <w:r w:rsidR="004A7A55" w:rsidRPr="004113D3">
        <w:rPr>
          <w:rFonts w:ascii="Arial" w:hAnsi="Arial" w:cs="Arial"/>
          <w:i/>
          <w:sz w:val="24"/>
          <w:szCs w:val="24"/>
          <w:shd w:val="clear" w:color="auto" w:fill="FFFFFF"/>
        </w:rPr>
        <w:t>Du Plooy and Another v Du Plooy and Others</w:t>
      </w:r>
      <w:r w:rsidR="004A7A55" w:rsidRPr="004113D3">
        <w:rPr>
          <w:rStyle w:val="FootnoteReference"/>
          <w:rFonts w:ascii="Arial" w:hAnsi="Arial" w:cs="Arial"/>
          <w:i/>
          <w:sz w:val="24"/>
          <w:szCs w:val="24"/>
          <w:shd w:val="clear" w:color="auto" w:fill="FFFFFF"/>
        </w:rPr>
        <w:footnoteReference w:id="6"/>
      </w:r>
      <w:r w:rsidR="004A7A55" w:rsidRPr="004113D3">
        <w:rPr>
          <w:rFonts w:ascii="Arial" w:hAnsi="Arial" w:cs="Arial"/>
          <w:i/>
          <w:sz w:val="24"/>
          <w:szCs w:val="24"/>
          <w:shd w:val="clear" w:color="auto" w:fill="FFFFFF"/>
        </w:rPr>
        <w:t xml:space="preserve"> </w:t>
      </w:r>
      <w:r w:rsidR="004A7A55" w:rsidRPr="004113D3">
        <w:rPr>
          <w:rFonts w:ascii="Arial" w:hAnsi="Arial" w:cs="Arial"/>
          <w:sz w:val="24"/>
          <w:szCs w:val="24"/>
          <w:shd w:val="clear" w:color="auto" w:fill="FFFFFF"/>
        </w:rPr>
        <w:t xml:space="preserve">and </w:t>
      </w:r>
      <w:proofErr w:type="spellStart"/>
      <w:r w:rsidR="004A7A55" w:rsidRPr="004113D3">
        <w:rPr>
          <w:rFonts w:ascii="Arial" w:hAnsi="Arial" w:cs="Arial"/>
          <w:i/>
          <w:iCs/>
          <w:sz w:val="24"/>
          <w:szCs w:val="24"/>
          <w:shd w:val="clear" w:color="auto" w:fill="FFFFFF"/>
        </w:rPr>
        <w:t>Dadabhay</w:t>
      </w:r>
      <w:proofErr w:type="spellEnd"/>
      <w:r w:rsidR="004A7A55" w:rsidRPr="004113D3">
        <w:rPr>
          <w:rFonts w:ascii="Arial" w:hAnsi="Arial" w:cs="Arial"/>
          <w:i/>
          <w:iCs/>
          <w:sz w:val="24"/>
          <w:szCs w:val="24"/>
          <w:shd w:val="clear" w:color="auto" w:fill="FFFFFF"/>
        </w:rPr>
        <w:t xml:space="preserve"> v </w:t>
      </w:r>
      <w:proofErr w:type="spellStart"/>
      <w:r w:rsidR="004A7A55" w:rsidRPr="004113D3">
        <w:rPr>
          <w:rFonts w:ascii="Arial" w:hAnsi="Arial" w:cs="Arial"/>
          <w:i/>
          <w:iCs/>
          <w:sz w:val="24"/>
          <w:szCs w:val="24"/>
          <w:shd w:val="clear" w:color="auto" w:fill="FFFFFF"/>
        </w:rPr>
        <w:t>Dadabhay</w:t>
      </w:r>
      <w:proofErr w:type="spellEnd"/>
      <w:r w:rsidR="00880E53" w:rsidRPr="004113D3">
        <w:rPr>
          <w:rFonts w:ascii="Arial" w:hAnsi="Arial" w:cs="Arial"/>
          <w:i/>
          <w:iCs/>
          <w:sz w:val="24"/>
          <w:szCs w:val="24"/>
          <w:shd w:val="clear" w:color="auto" w:fill="FFFFFF"/>
        </w:rPr>
        <w:t>.</w:t>
      </w:r>
      <w:r w:rsidR="004A7A55" w:rsidRPr="004113D3">
        <w:rPr>
          <w:rStyle w:val="FootnoteReference"/>
          <w:rFonts w:ascii="Arial" w:hAnsi="Arial" w:cs="Arial"/>
          <w:i/>
          <w:iCs/>
          <w:sz w:val="24"/>
          <w:szCs w:val="24"/>
          <w:shd w:val="clear" w:color="auto" w:fill="FFFFFF"/>
        </w:rPr>
        <w:footnoteReference w:id="7"/>
      </w:r>
      <w:r w:rsidR="004A7A55" w:rsidRPr="004113D3">
        <w:rPr>
          <w:rFonts w:ascii="Arial" w:hAnsi="Arial" w:cs="Arial"/>
          <w:i/>
          <w:iCs/>
          <w:sz w:val="24"/>
          <w:szCs w:val="24"/>
          <w:shd w:val="clear" w:color="auto" w:fill="FFFFFF"/>
        </w:rPr>
        <w:t xml:space="preserve"> </w:t>
      </w:r>
      <w:r w:rsidR="004A7A55" w:rsidRPr="004113D3">
        <w:rPr>
          <w:rFonts w:ascii="Arial" w:hAnsi="Arial" w:cs="Arial"/>
          <w:iCs/>
          <w:sz w:val="24"/>
          <w:szCs w:val="24"/>
          <w:shd w:val="clear" w:color="auto" w:fill="FFFFFF"/>
        </w:rPr>
        <w:t xml:space="preserve">The latter </w:t>
      </w:r>
      <w:r w:rsidR="001B48B3" w:rsidRPr="004113D3">
        <w:rPr>
          <w:rFonts w:ascii="Arial" w:hAnsi="Arial" w:cs="Arial"/>
          <w:iCs/>
          <w:sz w:val="24"/>
          <w:szCs w:val="24"/>
          <w:shd w:val="clear" w:color="auto" w:fill="FFFFFF"/>
        </w:rPr>
        <w:t>has</w:t>
      </w:r>
      <w:r w:rsidR="004A7A55" w:rsidRPr="004113D3">
        <w:rPr>
          <w:rFonts w:ascii="Arial" w:hAnsi="Arial" w:cs="Arial"/>
          <w:iCs/>
          <w:sz w:val="24"/>
          <w:szCs w:val="24"/>
          <w:shd w:val="clear" w:color="auto" w:fill="FFFFFF"/>
        </w:rPr>
        <w:t xml:space="preserve"> similar facts to the case before me.</w:t>
      </w:r>
    </w:p>
    <w:p w14:paraId="01AD14B7" w14:textId="77777777" w:rsidR="001B48B3" w:rsidRPr="004113D3" w:rsidRDefault="001B48B3" w:rsidP="001B48B3">
      <w:pPr>
        <w:pStyle w:val="ListParagraph"/>
        <w:rPr>
          <w:rFonts w:ascii="Arial" w:eastAsia="Times New Roman" w:hAnsi="Arial" w:cs="Arial"/>
          <w:sz w:val="24"/>
          <w:szCs w:val="24"/>
        </w:rPr>
      </w:pPr>
    </w:p>
    <w:p w14:paraId="68004F33" w14:textId="77777777" w:rsidR="001B48B3" w:rsidRPr="004113D3" w:rsidRDefault="00EB2A2A" w:rsidP="00EB2A2A">
      <w:pPr>
        <w:pStyle w:val="ListParagraph"/>
        <w:shd w:val="clear" w:color="auto" w:fill="FFFFFF"/>
        <w:spacing w:after="0" w:line="360" w:lineRule="auto"/>
        <w:ind w:left="0"/>
        <w:jc w:val="both"/>
        <w:rPr>
          <w:rFonts w:ascii="Arial" w:hAnsi="Arial" w:cs="Arial"/>
          <w:sz w:val="24"/>
          <w:szCs w:val="24"/>
        </w:rPr>
      </w:pPr>
      <w:r w:rsidRPr="004113D3">
        <w:rPr>
          <w:rFonts w:ascii="Arial" w:eastAsia="Times New Roman" w:hAnsi="Arial" w:cs="Arial"/>
          <w:sz w:val="24"/>
          <w:szCs w:val="24"/>
        </w:rPr>
        <w:t>[36]</w:t>
      </w:r>
      <w:r w:rsidRPr="004113D3">
        <w:rPr>
          <w:rFonts w:ascii="Arial" w:eastAsia="Times New Roman" w:hAnsi="Arial" w:cs="Arial"/>
          <w:sz w:val="24"/>
          <w:szCs w:val="24"/>
        </w:rPr>
        <w:tab/>
      </w:r>
      <w:r w:rsidR="004113D3" w:rsidRPr="004113D3">
        <w:rPr>
          <w:rFonts w:ascii="Arial" w:eastAsia="Times New Roman" w:hAnsi="Arial" w:cs="Arial"/>
          <w:sz w:val="24"/>
          <w:szCs w:val="24"/>
        </w:rPr>
        <w:t>As a result, the oral settlement agreement reached at mediation on 2 June 2022 between the plaintiffs and the first and second defendants is</w:t>
      </w:r>
      <w:r w:rsidR="001B48B3" w:rsidRPr="004113D3">
        <w:rPr>
          <w:rFonts w:ascii="Arial" w:hAnsi="Arial" w:cs="Arial"/>
          <w:sz w:val="24"/>
          <w:szCs w:val="24"/>
        </w:rPr>
        <w:t xml:space="preserve"> hereby</w:t>
      </w:r>
      <w:r w:rsidR="004113D3" w:rsidRPr="004113D3">
        <w:rPr>
          <w:rFonts w:ascii="Arial" w:hAnsi="Arial" w:cs="Arial"/>
          <w:sz w:val="24"/>
          <w:szCs w:val="24"/>
        </w:rPr>
        <w:t>,</w:t>
      </w:r>
      <w:r w:rsidR="001B48B3" w:rsidRPr="004113D3">
        <w:rPr>
          <w:rFonts w:ascii="Arial" w:hAnsi="Arial" w:cs="Arial"/>
          <w:sz w:val="24"/>
          <w:szCs w:val="24"/>
        </w:rPr>
        <w:t xml:space="preserve"> made an order of court. </w:t>
      </w:r>
    </w:p>
    <w:p w14:paraId="6EEB4EFF" w14:textId="77777777" w:rsidR="001B48B3" w:rsidRPr="004113D3" w:rsidRDefault="001B48B3" w:rsidP="001B48B3">
      <w:pPr>
        <w:pStyle w:val="ListParagraph"/>
        <w:rPr>
          <w:rFonts w:ascii="Arial" w:hAnsi="Arial" w:cs="Arial"/>
          <w:i/>
          <w:sz w:val="24"/>
          <w:szCs w:val="24"/>
        </w:rPr>
      </w:pPr>
    </w:p>
    <w:p w14:paraId="54427AB5" w14:textId="77777777" w:rsidR="001B48B3" w:rsidRPr="004113D3" w:rsidRDefault="001B48B3" w:rsidP="001B48B3">
      <w:pPr>
        <w:pStyle w:val="ListParagraph"/>
        <w:shd w:val="clear" w:color="auto" w:fill="FFFFFF"/>
        <w:spacing w:after="0" w:line="360" w:lineRule="auto"/>
        <w:ind w:left="0"/>
        <w:jc w:val="both"/>
        <w:rPr>
          <w:rFonts w:ascii="Arial" w:hAnsi="Arial" w:cs="Arial"/>
          <w:i/>
          <w:sz w:val="24"/>
          <w:szCs w:val="24"/>
        </w:rPr>
      </w:pPr>
      <w:r w:rsidRPr="004113D3">
        <w:rPr>
          <w:rFonts w:ascii="Arial" w:hAnsi="Arial" w:cs="Arial"/>
          <w:i/>
          <w:sz w:val="24"/>
          <w:szCs w:val="24"/>
        </w:rPr>
        <w:t xml:space="preserve">The effect of a settlement agreement </w:t>
      </w:r>
      <w:r w:rsidR="004113D3" w:rsidRPr="004113D3">
        <w:rPr>
          <w:rFonts w:ascii="Arial" w:hAnsi="Arial" w:cs="Arial"/>
          <w:i/>
          <w:sz w:val="24"/>
          <w:szCs w:val="24"/>
        </w:rPr>
        <w:t>which is made</w:t>
      </w:r>
      <w:r w:rsidRPr="004113D3">
        <w:rPr>
          <w:rFonts w:ascii="Arial" w:hAnsi="Arial" w:cs="Arial"/>
          <w:i/>
          <w:sz w:val="24"/>
          <w:szCs w:val="24"/>
        </w:rPr>
        <w:t xml:space="preserve"> an order of </w:t>
      </w:r>
      <w:proofErr w:type="gramStart"/>
      <w:r w:rsidRPr="004113D3">
        <w:rPr>
          <w:rFonts w:ascii="Arial" w:hAnsi="Arial" w:cs="Arial"/>
          <w:i/>
          <w:sz w:val="24"/>
          <w:szCs w:val="24"/>
        </w:rPr>
        <w:t>court</w:t>
      </w:r>
      <w:proofErr w:type="gramEnd"/>
    </w:p>
    <w:p w14:paraId="156A4527" w14:textId="77777777" w:rsidR="001B48B3" w:rsidRPr="004113D3" w:rsidRDefault="001B48B3" w:rsidP="001B48B3">
      <w:pPr>
        <w:pStyle w:val="ListParagraph"/>
        <w:shd w:val="clear" w:color="auto" w:fill="FFFFFF"/>
        <w:spacing w:after="0" w:line="360" w:lineRule="auto"/>
        <w:ind w:left="0"/>
        <w:jc w:val="both"/>
        <w:rPr>
          <w:rFonts w:ascii="Arial" w:eastAsia="Times New Roman" w:hAnsi="Arial" w:cs="Arial"/>
          <w:sz w:val="24"/>
          <w:szCs w:val="24"/>
        </w:rPr>
      </w:pPr>
    </w:p>
    <w:p w14:paraId="28EBA304" w14:textId="77777777" w:rsidR="006A4325" w:rsidRPr="004113D3" w:rsidRDefault="00EB2A2A" w:rsidP="00EB2A2A">
      <w:pPr>
        <w:pStyle w:val="ListParagraph"/>
        <w:shd w:val="clear" w:color="auto" w:fill="FFFFFF"/>
        <w:spacing w:after="0" w:line="360" w:lineRule="auto"/>
        <w:ind w:left="0"/>
        <w:jc w:val="both"/>
        <w:rPr>
          <w:rFonts w:ascii="Arial" w:eastAsia="Times New Roman" w:hAnsi="Arial" w:cs="Arial"/>
          <w:sz w:val="24"/>
          <w:szCs w:val="24"/>
        </w:rPr>
      </w:pPr>
      <w:r w:rsidRPr="004113D3">
        <w:rPr>
          <w:rFonts w:ascii="Arial" w:hAnsi="Arial" w:cs="Arial"/>
          <w:sz w:val="24"/>
          <w:szCs w:val="24"/>
          <w:shd w:val="clear" w:color="auto" w:fill="FFFFFF"/>
        </w:rPr>
        <w:t>[37]</w:t>
      </w:r>
      <w:r w:rsidRPr="004113D3">
        <w:rPr>
          <w:rFonts w:ascii="Arial" w:hAnsi="Arial" w:cs="Arial"/>
          <w:sz w:val="24"/>
          <w:szCs w:val="24"/>
          <w:shd w:val="clear" w:color="auto" w:fill="FFFFFF"/>
        </w:rPr>
        <w:tab/>
      </w:r>
      <w:r w:rsidR="006A4325" w:rsidRPr="004113D3">
        <w:rPr>
          <w:rFonts w:ascii="Arial" w:hAnsi="Arial" w:cs="Arial"/>
          <w:sz w:val="24"/>
          <w:szCs w:val="24"/>
          <w:shd w:val="clear" w:color="auto" w:fill="FFFFFF"/>
        </w:rPr>
        <w:t xml:space="preserve">In </w:t>
      </w:r>
      <w:r w:rsidR="006A4325" w:rsidRPr="004113D3">
        <w:rPr>
          <w:rFonts w:ascii="Arial" w:hAnsi="Arial" w:cs="Arial"/>
          <w:i/>
          <w:sz w:val="24"/>
          <w:szCs w:val="24"/>
          <w:shd w:val="clear" w:color="auto" w:fill="FFFFFF"/>
        </w:rPr>
        <w:t xml:space="preserve">Seagull All-Fish CC v </w:t>
      </w:r>
      <w:proofErr w:type="spellStart"/>
      <w:r w:rsidR="006A4325" w:rsidRPr="004113D3">
        <w:rPr>
          <w:rFonts w:ascii="Arial" w:hAnsi="Arial" w:cs="Arial"/>
          <w:i/>
          <w:sz w:val="24"/>
          <w:szCs w:val="24"/>
          <w:shd w:val="clear" w:color="auto" w:fill="FFFFFF"/>
        </w:rPr>
        <w:t>Tuyeni</w:t>
      </w:r>
      <w:proofErr w:type="spellEnd"/>
      <w:r w:rsidR="006A4325" w:rsidRPr="004113D3">
        <w:rPr>
          <w:rFonts w:ascii="Arial" w:hAnsi="Arial" w:cs="Arial"/>
          <w:i/>
          <w:sz w:val="24"/>
          <w:szCs w:val="24"/>
          <w:shd w:val="clear" w:color="auto" w:fill="FFFFFF"/>
        </w:rPr>
        <w:t xml:space="preserve"> </w:t>
      </w:r>
      <w:proofErr w:type="spellStart"/>
      <w:r w:rsidR="006A4325" w:rsidRPr="004113D3">
        <w:rPr>
          <w:rFonts w:ascii="Arial" w:hAnsi="Arial" w:cs="Arial"/>
          <w:i/>
          <w:sz w:val="24"/>
          <w:szCs w:val="24"/>
          <w:shd w:val="clear" w:color="auto" w:fill="FFFFFF"/>
        </w:rPr>
        <w:t>Kumwe</w:t>
      </w:r>
      <w:proofErr w:type="spellEnd"/>
      <w:r w:rsidR="006A4325" w:rsidRPr="004113D3">
        <w:rPr>
          <w:rFonts w:ascii="Arial" w:hAnsi="Arial" w:cs="Arial"/>
          <w:i/>
          <w:sz w:val="24"/>
          <w:szCs w:val="24"/>
          <w:shd w:val="clear" w:color="auto" w:fill="FFFFFF"/>
        </w:rPr>
        <w:t xml:space="preserve"> Food and Commodity Distributors CC and Others</w:t>
      </w:r>
      <w:r w:rsidR="004113D3" w:rsidRPr="004113D3">
        <w:rPr>
          <w:rFonts w:ascii="Arial" w:hAnsi="Arial" w:cs="Arial"/>
          <w:i/>
          <w:sz w:val="24"/>
          <w:szCs w:val="24"/>
          <w:shd w:val="clear" w:color="auto" w:fill="FFFFFF"/>
        </w:rPr>
        <w:t>,</w:t>
      </w:r>
      <w:r w:rsidR="006A4325" w:rsidRPr="004113D3">
        <w:rPr>
          <w:rStyle w:val="FootnoteReference"/>
          <w:rFonts w:ascii="Arial" w:hAnsi="Arial" w:cs="Arial"/>
          <w:sz w:val="24"/>
          <w:szCs w:val="24"/>
          <w:shd w:val="clear" w:color="auto" w:fill="FFFFFF"/>
        </w:rPr>
        <w:footnoteReference w:id="8"/>
      </w:r>
      <w:r w:rsidR="006A4325" w:rsidRPr="004113D3">
        <w:rPr>
          <w:rFonts w:ascii="Arial" w:hAnsi="Arial" w:cs="Arial"/>
          <w:sz w:val="24"/>
          <w:szCs w:val="24"/>
          <w:shd w:val="clear" w:color="auto" w:fill="FFFFFF"/>
        </w:rPr>
        <w:t xml:space="preserve"> </w:t>
      </w:r>
      <w:proofErr w:type="spellStart"/>
      <w:r w:rsidR="006A4325" w:rsidRPr="004113D3">
        <w:rPr>
          <w:rFonts w:ascii="Arial" w:hAnsi="Arial" w:cs="Arial"/>
          <w:sz w:val="24"/>
          <w:szCs w:val="24"/>
          <w:shd w:val="clear" w:color="auto" w:fill="FFFFFF"/>
        </w:rPr>
        <w:t>Angula</w:t>
      </w:r>
      <w:proofErr w:type="spellEnd"/>
      <w:r w:rsidR="006A4325" w:rsidRPr="004113D3">
        <w:rPr>
          <w:rFonts w:ascii="Arial" w:hAnsi="Arial" w:cs="Arial"/>
          <w:sz w:val="24"/>
          <w:szCs w:val="24"/>
          <w:shd w:val="clear" w:color="auto" w:fill="FFFFFF"/>
        </w:rPr>
        <w:t xml:space="preserve"> DJP stated as follows:</w:t>
      </w:r>
    </w:p>
    <w:p w14:paraId="72D98C9E" w14:textId="77777777" w:rsidR="00880E53" w:rsidRPr="004113D3" w:rsidRDefault="00880E53" w:rsidP="00880E53">
      <w:pPr>
        <w:pStyle w:val="ListParagraph"/>
        <w:shd w:val="clear" w:color="auto" w:fill="FFFFFF"/>
        <w:spacing w:after="0" w:line="360" w:lineRule="auto"/>
        <w:ind w:left="0"/>
        <w:jc w:val="both"/>
        <w:rPr>
          <w:rFonts w:ascii="Arial" w:eastAsia="Times New Roman" w:hAnsi="Arial" w:cs="Arial"/>
          <w:sz w:val="24"/>
          <w:szCs w:val="24"/>
        </w:rPr>
      </w:pPr>
    </w:p>
    <w:p w14:paraId="1EF48422" w14:textId="77777777" w:rsidR="006A4325" w:rsidRPr="004113D3" w:rsidRDefault="006A4325" w:rsidP="006A4325">
      <w:pPr>
        <w:pStyle w:val="ListParagraph"/>
        <w:shd w:val="clear" w:color="auto" w:fill="FFFFFF"/>
        <w:spacing w:after="0" w:line="360" w:lineRule="auto"/>
        <w:ind w:left="0" w:firstLine="720"/>
        <w:jc w:val="both"/>
        <w:rPr>
          <w:rFonts w:ascii="Arial" w:hAnsi="Arial" w:cs="Arial"/>
          <w:shd w:val="clear" w:color="auto" w:fill="FFFFFF"/>
        </w:rPr>
      </w:pPr>
      <w:r w:rsidRPr="004113D3">
        <w:rPr>
          <w:rFonts w:ascii="Arial" w:hAnsi="Arial" w:cs="Arial"/>
          <w:shd w:val="clear" w:color="auto" w:fill="FFFFFF"/>
        </w:rPr>
        <w:t xml:space="preserve">‘[13] The purpose of a settlement agreement being made an order of court is, in the event of non-compliance, the party in whose </w:t>
      </w:r>
      <w:proofErr w:type="spellStart"/>
      <w:r w:rsidRPr="004113D3">
        <w:rPr>
          <w:rFonts w:ascii="Arial" w:hAnsi="Arial" w:cs="Arial"/>
          <w:shd w:val="clear" w:color="auto" w:fill="FFFFFF"/>
        </w:rPr>
        <w:t>favour</w:t>
      </w:r>
      <w:proofErr w:type="spellEnd"/>
      <w:r w:rsidRPr="004113D3">
        <w:rPr>
          <w:rFonts w:ascii="Arial" w:hAnsi="Arial" w:cs="Arial"/>
          <w:shd w:val="clear" w:color="auto" w:fill="FFFFFF"/>
        </w:rPr>
        <w:t xml:space="preserve"> the order operates should be in position to enforce it through execution or contempt proceedings. Once a settlement agreement has been made an order of court, it will be treated like and interpreted like all court orders. The order brings finality to the </w:t>
      </w:r>
      <w:proofErr w:type="spellStart"/>
      <w:r w:rsidRPr="004113D3">
        <w:rPr>
          <w:rFonts w:ascii="Arial" w:hAnsi="Arial" w:cs="Arial"/>
          <w:i/>
          <w:iCs/>
          <w:shd w:val="clear" w:color="auto" w:fill="FFFFFF"/>
        </w:rPr>
        <w:t>lis</w:t>
      </w:r>
      <w:proofErr w:type="spellEnd"/>
      <w:r w:rsidRPr="004113D3">
        <w:rPr>
          <w:rFonts w:ascii="Arial" w:hAnsi="Arial" w:cs="Arial"/>
          <w:shd w:val="clear" w:color="auto" w:fill="FFFFFF"/>
        </w:rPr>
        <w:t> – the lawsuit, between the parties. The dispute thus becomes </w:t>
      </w:r>
      <w:r w:rsidRPr="004113D3">
        <w:rPr>
          <w:rFonts w:ascii="Arial" w:hAnsi="Arial" w:cs="Arial"/>
          <w:i/>
          <w:iCs/>
          <w:shd w:val="clear" w:color="auto" w:fill="FFFFFF"/>
        </w:rPr>
        <w:t>res judicata, </w:t>
      </w:r>
      <w:r w:rsidRPr="004113D3">
        <w:rPr>
          <w:rFonts w:ascii="Arial" w:hAnsi="Arial" w:cs="Arial"/>
          <w:shd w:val="clear" w:color="auto" w:fill="FFFFFF"/>
        </w:rPr>
        <w:t xml:space="preserve">which literally </w:t>
      </w:r>
      <w:r w:rsidRPr="004113D3">
        <w:rPr>
          <w:rFonts w:ascii="Arial" w:hAnsi="Arial" w:cs="Arial"/>
          <w:shd w:val="clear" w:color="auto" w:fill="FFFFFF"/>
        </w:rPr>
        <w:lastRenderedPageBreak/>
        <w:t xml:space="preserve">means the ‘matter is judged’. An order based on a settlement agreement which makes provision for the payment of a judgment debt by installments might pose a challenge in enforcing by way of execution because the amount that remains owed might have to be determined, which may require going back to court just to determine the balance outstanding before the </w:t>
      </w:r>
      <w:proofErr w:type="spellStart"/>
      <w:r w:rsidRPr="004113D3">
        <w:rPr>
          <w:rFonts w:ascii="Arial" w:hAnsi="Arial" w:cs="Arial"/>
          <w:shd w:val="clear" w:color="auto" w:fill="FFFFFF"/>
        </w:rPr>
        <w:t>authorisation</w:t>
      </w:r>
      <w:proofErr w:type="spellEnd"/>
      <w:r w:rsidRPr="004113D3">
        <w:rPr>
          <w:rFonts w:ascii="Arial" w:hAnsi="Arial" w:cs="Arial"/>
          <w:shd w:val="clear" w:color="auto" w:fill="FFFFFF"/>
        </w:rPr>
        <w:t xml:space="preserve"> of a warrant of execution</w:t>
      </w:r>
      <w:bookmarkStart w:id="0" w:name="sdfootnote4anc"/>
      <w:r w:rsidRPr="004113D3">
        <w:rPr>
          <w:rFonts w:ascii="Arial" w:hAnsi="Arial" w:cs="Arial"/>
          <w:shd w:val="clear" w:color="auto" w:fill="FFFFFF"/>
        </w:rPr>
        <w:t>.</w:t>
      </w:r>
      <w:r w:rsidRPr="004113D3">
        <w:rPr>
          <w:rStyle w:val="FootnoteReference"/>
          <w:rFonts w:ascii="Arial" w:hAnsi="Arial" w:cs="Arial"/>
          <w:shd w:val="clear" w:color="auto" w:fill="FFFFFF"/>
        </w:rPr>
        <w:footnoteReference w:id="9"/>
      </w:r>
      <w:r w:rsidRPr="004113D3">
        <w:rPr>
          <w:rFonts w:ascii="Arial" w:hAnsi="Arial" w:cs="Arial"/>
          <w:shd w:val="clear" w:color="auto" w:fill="FFFFFF"/>
        </w:rPr>
        <w:t xml:space="preserve"> </w:t>
      </w:r>
      <w:bookmarkEnd w:id="0"/>
    </w:p>
    <w:p w14:paraId="257DD436" w14:textId="77777777" w:rsidR="001B48B3" w:rsidRPr="004113D3" w:rsidRDefault="001B48B3" w:rsidP="006A4325">
      <w:pPr>
        <w:pStyle w:val="ListParagraph"/>
        <w:shd w:val="clear" w:color="auto" w:fill="FFFFFF"/>
        <w:spacing w:after="0" w:line="360" w:lineRule="auto"/>
        <w:ind w:left="0" w:firstLine="720"/>
        <w:jc w:val="both"/>
        <w:rPr>
          <w:rFonts w:ascii="Arial" w:eastAsia="Times New Roman" w:hAnsi="Arial" w:cs="Arial"/>
        </w:rPr>
      </w:pPr>
    </w:p>
    <w:p w14:paraId="6742D682" w14:textId="77777777" w:rsidR="001B48B3" w:rsidRPr="004113D3" w:rsidRDefault="00EB2A2A" w:rsidP="00EB2A2A">
      <w:pPr>
        <w:pStyle w:val="ListParagraph"/>
        <w:spacing w:after="0" w:line="360" w:lineRule="auto"/>
        <w:ind w:left="0"/>
        <w:jc w:val="both"/>
        <w:rPr>
          <w:rFonts w:ascii="Arial" w:eastAsia="Calibri" w:hAnsi="Arial" w:cs="Arial"/>
          <w:sz w:val="24"/>
          <w:szCs w:val="24"/>
          <w:lang w:eastAsia="zh-CN" w:bidi="hi-IN"/>
        </w:rPr>
      </w:pPr>
      <w:r w:rsidRPr="004113D3">
        <w:rPr>
          <w:rFonts w:ascii="Arial" w:eastAsia="Times New Roman" w:hAnsi="Arial" w:cs="Arial"/>
          <w:sz w:val="24"/>
          <w:szCs w:val="24"/>
        </w:rPr>
        <w:t>[38]</w:t>
      </w:r>
      <w:r w:rsidRPr="004113D3">
        <w:rPr>
          <w:rFonts w:ascii="Arial" w:eastAsia="Times New Roman" w:hAnsi="Arial" w:cs="Arial"/>
          <w:sz w:val="24"/>
          <w:szCs w:val="24"/>
        </w:rPr>
        <w:tab/>
      </w:r>
      <w:r w:rsidR="001B48B3" w:rsidRPr="004113D3">
        <w:rPr>
          <w:rFonts w:ascii="Arial" w:eastAsia="Times New Roman" w:hAnsi="Arial" w:cs="Arial"/>
          <w:sz w:val="24"/>
          <w:szCs w:val="24"/>
        </w:rPr>
        <w:t xml:space="preserve">In a more recent judgment of </w:t>
      </w:r>
      <w:proofErr w:type="spellStart"/>
      <w:r w:rsidR="001B48B3" w:rsidRPr="004113D3">
        <w:rPr>
          <w:rFonts w:ascii="Arial" w:eastAsia="Times New Roman" w:hAnsi="Arial" w:cs="Arial"/>
          <w:i/>
          <w:sz w:val="24"/>
          <w:szCs w:val="24"/>
        </w:rPr>
        <w:t>Shaanika</w:t>
      </w:r>
      <w:proofErr w:type="spellEnd"/>
      <w:r w:rsidR="001B48B3" w:rsidRPr="004113D3">
        <w:rPr>
          <w:rFonts w:ascii="Arial" w:eastAsia="Times New Roman" w:hAnsi="Arial" w:cs="Arial"/>
          <w:i/>
          <w:sz w:val="24"/>
          <w:szCs w:val="24"/>
        </w:rPr>
        <w:t xml:space="preserve"> v JJJ Transport CC</w:t>
      </w:r>
      <w:r w:rsidR="002F2B52" w:rsidRPr="004113D3">
        <w:rPr>
          <w:rStyle w:val="FootnoteReference"/>
          <w:rFonts w:ascii="Arial" w:eastAsia="Times New Roman" w:hAnsi="Arial" w:cs="Arial"/>
          <w:i/>
          <w:sz w:val="24"/>
          <w:szCs w:val="24"/>
        </w:rPr>
        <w:footnoteReference w:id="10"/>
      </w:r>
      <w:r w:rsidR="001B48B3" w:rsidRPr="004113D3">
        <w:rPr>
          <w:rFonts w:ascii="Arial" w:eastAsia="Times New Roman" w:hAnsi="Arial" w:cs="Arial"/>
          <w:sz w:val="24"/>
          <w:szCs w:val="24"/>
        </w:rPr>
        <w:t xml:space="preserve"> </w:t>
      </w:r>
      <w:proofErr w:type="spellStart"/>
      <w:r w:rsidR="001B48B3" w:rsidRPr="004113D3">
        <w:rPr>
          <w:rFonts w:ascii="Arial" w:eastAsia="Times New Roman" w:hAnsi="Arial" w:cs="Arial"/>
          <w:sz w:val="24"/>
          <w:szCs w:val="24"/>
        </w:rPr>
        <w:t>Sibeya</w:t>
      </w:r>
      <w:proofErr w:type="spellEnd"/>
      <w:r w:rsidR="001B48B3" w:rsidRPr="004113D3">
        <w:rPr>
          <w:rFonts w:ascii="Arial" w:eastAsia="Times New Roman" w:hAnsi="Arial" w:cs="Arial"/>
          <w:sz w:val="24"/>
          <w:szCs w:val="24"/>
        </w:rPr>
        <w:t xml:space="preserve"> J stated as follows in respect of compromise:</w:t>
      </w:r>
    </w:p>
    <w:p w14:paraId="0A2C3097" w14:textId="77777777" w:rsidR="001B48B3" w:rsidRPr="004113D3" w:rsidRDefault="001B48B3" w:rsidP="001B48B3">
      <w:pPr>
        <w:rPr>
          <w:rFonts w:ascii="Arial" w:hAnsi="Arial" w:cs="Arial"/>
          <w:sz w:val="24"/>
          <w:szCs w:val="24"/>
          <w:lang w:eastAsia="zh-CN" w:bidi="hi-IN"/>
        </w:rPr>
      </w:pPr>
    </w:p>
    <w:p w14:paraId="5C50D1E4" w14:textId="77777777" w:rsidR="001B48B3" w:rsidRPr="004113D3" w:rsidRDefault="001B48B3" w:rsidP="001B48B3">
      <w:pPr>
        <w:ind w:firstLine="720"/>
        <w:rPr>
          <w:rStyle w:val="FontStyle13"/>
          <w:rFonts w:ascii="Arial" w:eastAsia="Calibri" w:hAnsi="Arial" w:cs="Arial"/>
        </w:rPr>
      </w:pPr>
      <w:r w:rsidRPr="004113D3">
        <w:rPr>
          <w:rFonts w:ascii="Arial" w:hAnsi="Arial" w:cs="Arial"/>
          <w:lang w:eastAsia="zh-CN" w:bidi="hi-IN"/>
        </w:rPr>
        <w:t>‘[76]</w:t>
      </w:r>
      <w:r w:rsidRPr="004113D3">
        <w:rPr>
          <w:rFonts w:ascii="Arial" w:hAnsi="Arial" w:cs="Arial"/>
          <w:lang w:eastAsia="zh-CN" w:bidi="hi-IN"/>
        </w:rPr>
        <w:tab/>
        <w:t xml:space="preserve">Furthermore, the settlement agreement was a valid compromise between the plaintiff and the defendant concluded at the proposal and instance of the defendant. </w:t>
      </w:r>
      <w:r w:rsidRPr="004113D3">
        <w:rPr>
          <w:rStyle w:val="FontStyle13"/>
          <w:rFonts w:ascii="Arial" w:eastAsia="Calibri" w:hAnsi="Arial" w:cs="Arial"/>
        </w:rPr>
        <w:t xml:space="preserve">In </w:t>
      </w:r>
      <w:r w:rsidRPr="004113D3">
        <w:rPr>
          <w:rStyle w:val="FontStyle13"/>
          <w:rFonts w:ascii="Arial" w:eastAsia="Calibri" w:hAnsi="Arial" w:cs="Arial"/>
          <w:i/>
        </w:rPr>
        <w:t>Karson v Minister of Public Works,</w:t>
      </w:r>
      <w:r w:rsidRPr="004113D3">
        <w:rPr>
          <w:rStyle w:val="FootnoteReference"/>
          <w:rFonts w:ascii="Arial" w:hAnsi="Arial" w:cs="Arial"/>
          <w:i/>
        </w:rPr>
        <w:footnoteReference w:id="11"/>
      </w:r>
      <w:r w:rsidRPr="004113D3">
        <w:rPr>
          <w:rStyle w:val="FontStyle13"/>
          <w:rFonts w:ascii="Arial" w:eastAsia="Calibri" w:hAnsi="Arial" w:cs="Arial"/>
        </w:rPr>
        <w:t xml:space="preserve"> the nature of a compromise was stated as follows: </w:t>
      </w:r>
    </w:p>
    <w:p w14:paraId="23910B25" w14:textId="77777777" w:rsidR="001B48B3" w:rsidRPr="004113D3" w:rsidRDefault="001B48B3" w:rsidP="001B48B3">
      <w:pPr>
        <w:pStyle w:val="ListParagraph"/>
        <w:rPr>
          <w:rStyle w:val="FontStyle13"/>
          <w:rFonts w:ascii="Arial" w:eastAsia="Calibri" w:hAnsi="Arial" w:cs="Arial"/>
        </w:rPr>
      </w:pPr>
    </w:p>
    <w:p w14:paraId="0E6552D3" w14:textId="77777777" w:rsidR="001B48B3" w:rsidRPr="004113D3" w:rsidRDefault="00880E53" w:rsidP="001B48B3">
      <w:pPr>
        <w:pStyle w:val="ListParagraph"/>
        <w:spacing w:line="360" w:lineRule="auto"/>
        <w:ind w:left="0" w:firstLine="720"/>
        <w:jc w:val="both"/>
        <w:rPr>
          <w:rStyle w:val="FontStyle13"/>
          <w:rFonts w:ascii="Arial" w:eastAsia="Calibri" w:hAnsi="Arial" w:cs="Arial"/>
        </w:rPr>
      </w:pPr>
      <w:r w:rsidRPr="004113D3">
        <w:rPr>
          <w:rStyle w:val="FontStyle13"/>
          <w:rFonts w:ascii="Arial" w:eastAsia="Calibri" w:hAnsi="Arial" w:cs="Arial"/>
        </w:rPr>
        <w:t>“</w:t>
      </w:r>
      <w:r w:rsidR="001B48B3" w:rsidRPr="004113D3">
        <w:rPr>
          <w:rStyle w:val="FontStyle13"/>
          <w:rFonts w:ascii="Arial" w:eastAsia="Calibri" w:hAnsi="Arial" w:cs="Arial"/>
        </w:rPr>
        <w:t xml:space="preserve">It is well settled that the agreement of compromise, also known as </w:t>
      </w:r>
      <w:r w:rsidR="00587E2F" w:rsidRPr="004113D3">
        <w:rPr>
          <w:rStyle w:val="FontStyle13"/>
          <w:rFonts w:ascii="Arial" w:eastAsia="Calibri" w:hAnsi="Arial" w:cs="Arial"/>
        </w:rPr>
        <w:t xml:space="preserve">a </w:t>
      </w:r>
      <w:r w:rsidR="001B48B3" w:rsidRPr="004113D3">
        <w:rPr>
          <w:rStyle w:val="FontStyle13"/>
          <w:rFonts w:ascii="Arial" w:eastAsia="Calibri" w:hAnsi="Arial" w:cs="Arial"/>
        </w:rPr>
        <w:t xml:space="preserve">transaction, is an agreement between the parties to an obligation, the terms of which are in dispute, or between parties to a lawsuit, the issue of which is uncertain, settling the matter in dispute, each party receding from his previous position and conceding something, either by dismissing his claim </w:t>
      </w:r>
      <w:r w:rsidRPr="004113D3">
        <w:rPr>
          <w:rStyle w:val="FontStyle13"/>
          <w:rFonts w:ascii="Arial" w:eastAsia="Calibri" w:hAnsi="Arial" w:cs="Arial"/>
        </w:rPr>
        <w:t>or by increasing his liability.”</w:t>
      </w:r>
    </w:p>
    <w:p w14:paraId="60272DF6" w14:textId="77777777" w:rsidR="001B48B3" w:rsidRPr="004113D3" w:rsidRDefault="001B48B3" w:rsidP="00587E2F">
      <w:pPr>
        <w:rPr>
          <w:rFonts w:ascii="Arial" w:hAnsi="Arial" w:cs="Arial"/>
          <w:lang w:eastAsia="zh-CN" w:bidi="hi-IN"/>
        </w:rPr>
      </w:pPr>
      <w:r w:rsidRPr="004113D3">
        <w:rPr>
          <w:rFonts w:ascii="Arial" w:hAnsi="Arial" w:cs="Arial"/>
          <w:lang w:eastAsia="zh-CN" w:bidi="hi-IN"/>
        </w:rPr>
        <w:t>[77]</w:t>
      </w:r>
      <w:r w:rsidRPr="004113D3">
        <w:rPr>
          <w:rFonts w:ascii="Arial" w:hAnsi="Arial" w:cs="Arial"/>
          <w:lang w:eastAsia="zh-CN" w:bidi="hi-IN"/>
        </w:rPr>
        <w:tab/>
        <w:t xml:space="preserve">The legal challenge of illegality was not raised before Oosthuizen J when the parties settled their disputes and had the settlement agreement made an order of court. The defendant had an opportunity to raise the illegality issue which it failed to do. </w:t>
      </w:r>
      <w:proofErr w:type="gramStart"/>
      <w:r w:rsidRPr="004113D3">
        <w:rPr>
          <w:rFonts w:ascii="Arial" w:hAnsi="Arial" w:cs="Arial"/>
          <w:lang w:eastAsia="zh-CN" w:bidi="hi-IN"/>
        </w:rPr>
        <w:t>On the basis of</w:t>
      </w:r>
      <w:proofErr w:type="gramEnd"/>
      <w:r w:rsidRPr="004113D3">
        <w:rPr>
          <w:rFonts w:ascii="Arial" w:hAnsi="Arial" w:cs="Arial"/>
          <w:lang w:eastAsia="zh-CN" w:bidi="hi-IN"/>
        </w:rPr>
        <w:t xml:space="preserve"> </w:t>
      </w:r>
      <w:r w:rsidR="006C17A5" w:rsidRPr="004113D3">
        <w:rPr>
          <w:rFonts w:ascii="Arial" w:hAnsi="Arial" w:cs="Arial"/>
          <w:lang w:eastAsia="zh-CN" w:bidi="hi-IN"/>
        </w:rPr>
        <w:t xml:space="preserve">the </w:t>
      </w:r>
      <w:r w:rsidRPr="004113D3">
        <w:rPr>
          <w:rFonts w:ascii="Arial" w:hAnsi="Arial" w:cs="Arial"/>
          <w:lang w:eastAsia="zh-CN" w:bidi="hi-IN"/>
        </w:rPr>
        <w:t>once and for all rule, which discourages hearing matters on a piecemeal basis, the defendant could be found not to succeed to escape the obligations from the settlement agreement whi</w:t>
      </w:r>
      <w:r w:rsidR="00880E53" w:rsidRPr="004113D3">
        <w:rPr>
          <w:rFonts w:ascii="Arial" w:hAnsi="Arial" w:cs="Arial"/>
          <w:lang w:eastAsia="zh-CN" w:bidi="hi-IN"/>
        </w:rPr>
        <w:t xml:space="preserve">ch was made an order of court. </w:t>
      </w:r>
    </w:p>
    <w:p w14:paraId="5A1B10E1" w14:textId="77777777" w:rsidR="00880E53" w:rsidRPr="004113D3" w:rsidRDefault="00880E53" w:rsidP="001B48B3">
      <w:pPr>
        <w:rPr>
          <w:rStyle w:val="FontStyle13"/>
          <w:rFonts w:ascii="Arial" w:eastAsia="Calibri" w:hAnsi="Arial" w:cs="Arial"/>
        </w:rPr>
      </w:pPr>
    </w:p>
    <w:p w14:paraId="5B6371C3" w14:textId="77777777" w:rsidR="001B48B3" w:rsidRPr="004113D3" w:rsidRDefault="001B48B3" w:rsidP="001B48B3">
      <w:pPr>
        <w:rPr>
          <w:rStyle w:val="FontStyle13"/>
          <w:rFonts w:ascii="Arial" w:eastAsia="Calibri" w:hAnsi="Arial" w:cs="Arial"/>
        </w:rPr>
      </w:pPr>
      <w:r w:rsidRPr="004113D3">
        <w:rPr>
          <w:rStyle w:val="FontStyle13"/>
          <w:rFonts w:ascii="Arial" w:eastAsia="Calibri" w:hAnsi="Arial" w:cs="Arial"/>
        </w:rPr>
        <w:lastRenderedPageBreak/>
        <w:t>[78]</w:t>
      </w:r>
      <w:r w:rsidRPr="004113D3">
        <w:rPr>
          <w:rStyle w:val="FontStyle13"/>
          <w:rFonts w:ascii="Arial" w:eastAsia="Calibri" w:hAnsi="Arial" w:cs="Arial"/>
        </w:rPr>
        <w:tab/>
        <w:t xml:space="preserve">In </w:t>
      </w:r>
      <w:r w:rsidRPr="004113D3">
        <w:rPr>
          <w:rStyle w:val="FontStyle13"/>
          <w:rFonts w:ascii="Arial" w:eastAsia="Calibri" w:hAnsi="Arial" w:cs="Arial"/>
          <w:i/>
        </w:rPr>
        <w:t>Hamilton v Van Zyl,</w:t>
      </w:r>
      <w:r w:rsidRPr="004113D3">
        <w:rPr>
          <w:rStyle w:val="FootnoteReference"/>
          <w:rFonts w:ascii="Arial" w:hAnsi="Arial" w:cs="Arial"/>
          <w:lang w:eastAsia="zh-CN" w:bidi="hi-IN"/>
        </w:rPr>
        <w:footnoteReference w:id="12"/>
      </w:r>
      <w:r w:rsidRPr="004113D3">
        <w:rPr>
          <w:rStyle w:val="FontStyle13"/>
          <w:rFonts w:ascii="Arial" w:eastAsia="Calibri" w:hAnsi="Arial" w:cs="Arial"/>
        </w:rPr>
        <w:t xml:space="preserve"> it was held that not only can the original cause of action no longer be relied upon, but a defendant is not entitled to go behind the compromise and raise </w:t>
      </w:r>
      <w:proofErr w:type="spellStart"/>
      <w:r w:rsidRPr="004113D3">
        <w:rPr>
          <w:rStyle w:val="FontStyle13"/>
          <w:rFonts w:ascii="Arial" w:eastAsia="Calibri" w:hAnsi="Arial" w:cs="Arial"/>
        </w:rPr>
        <w:t>defences</w:t>
      </w:r>
      <w:proofErr w:type="spellEnd"/>
      <w:r w:rsidRPr="004113D3">
        <w:rPr>
          <w:rStyle w:val="FontStyle13"/>
          <w:rFonts w:ascii="Arial" w:eastAsia="Calibri" w:hAnsi="Arial" w:cs="Arial"/>
        </w:rPr>
        <w:t xml:space="preserve"> to the original cause of action when sued on the compromise.</w:t>
      </w:r>
    </w:p>
    <w:p w14:paraId="11102082" w14:textId="77777777" w:rsidR="001B48B3" w:rsidRPr="004113D3" w:rsidRDefault="001B48B3" w:rsidP="001B48B3">
      <w:pPr>
        <w:rPr>
          <w:rStyle w:val="FontStyle13"/>
          <w:rFonts w:ascii="Arial" w:eastAsia="Calibri" w:hAnsi="Arial" w:cs="Arial"/>
        </w:rPr>
      </w:pPr>
    </w:p>
    <w:p w14:paraId="32BBC676" w14:textId="77777777" w:rsidR="001B48B3" w:rsidRPr="004113D3" w:rsidRDefault="001B48B3" w:rsidP="001B48B3">
      <w:pPr>
        <w:rPr>
          <w:rStyle w:val="FontStyle13"/>
          <w:rFonts w:ascii="Arial" w:eastAsia="Calibri" w:hAnsi="Arial" w:cs="Arial"/>
        </w:rPr>
      </w:pPr>
      <w:r w:rsidRPr="004113D3">
        <w:rPr>
          <w:rStyle w:val="FontStyle13"/>
          <w:rFonts w:ascii="Arial" w:eastAsia="Calibri" w:hAnsi="Arial" w:cs="Arial"/>
        </w:rPr>
        <w:t>[79]</w:t>
      </w:r>
      <w:r w:rsidRPr="004113D3">
        <w:rPr>
          <w:rStyle w:val="FontStyle13"/>
          <w:rFonts w:ascii="Arial" w:eastAsia="Calibri" w:hAnsi="Arial" w:cs="Arial"/>
        </w:rPr>
        <w:tab/>
        <w:t xml:space="preserve">In </w:t>
      </w:r>
      <w:proofErr w:type="spellStart"/>
      <w:r w:rsidRPr="004113D3">
        <w:rPr>
          <w:rStyle w:val="FontStyle13"/>
          <w:rFonts w:ascii="Arial" w:eastAsia="Calibri" w:hAnsi="Arial" w:cs="Arial"/>
          <w:i/>
        </w:rPr>
        <w:t>Georgias</w:t>
      </w:r>
      <w:proofErr w:type="spellEnd"/>
      <w:r w:rsidRPr="004113D3">
        <w:rPr>
          <w:rStyle w:val="FontStyle13"/>
          <w:rFonts w:ascii="Arial" w:eastAsia="Calibri" w:hAnsi="Arial" w:cs="Arial"/>
          <w:i/>
        </w:rPr>
        <w:t xml:space="preserve"> and Another v Standard Chartered Finance Zimbabwe Ltd</w:t>
      </w:r>
      <w:r w:rsidRPr="004113D3">
        <w:rPr>
          <w:rStyle w:val="FontStyle13"/>
          <w:rFonts w:ascii="Arial" w:eastAsia="Calibri" w:hAnsi="Arial" w:cs="Arial"/>
        </w:rPr>
        <w:t>,</w:t>
      </w:r>
      <w:r w:rsidRPr="004113D3">
        <w:rPr>
          <w:rStyle w:val="FootnoteReference"/>
          <w:rFonts w:ascii="Arial" w:hAnsi="Arial" w:cs="Arial"/>
        </w:rPr>
        <w:footnoteReference w:id="13"/>
      </w:r>
      <w:r w:rsidRPr="004113D3">
        <w:rPr>
          <w:rStyle w:val="FontStyle13"/>
          <w:rFonts w:ascii="Arial" w:eastAsia="Calibri" w:hAnsi="Arial" w:cs="Arial"/>
        </w:rPr>
        <w:t xml:space="preserve"> Gubbay CJ in the Supreme Court of Zimbabwe explained the effect of a compromise as follows at 139 A:</w:t>
      </w:r>
    </w:p>
    <w:p w14:paraId="68B96F49" w14:textId="77777777" w:rsidR="001B48B3" w:rsidRPr="004113D3" w:rsidRDefault="001B48B3" w:rsidP="001B48B3">
      <w:pPr>
        <w:pStyle w:val="ListParagraph"/>
        <w:rPr>
          <w:rStyle w:val="FontStyle13"/>
          <w:rFonts w:ascii="Arial" w:eastAsia="Calibri" w:hAnsi="Arial" w:cs="Arial"/>
        </w:rPr>
      </w:pPr>
    </w:p>
    <w:p w14:paraId="2CEF3C3B" w14:textId="77777777" w:rsidR="001B48B3" w:rsidRPr="004113D3" w:rsidRDefault="007B4CE0" w:rsidP="001B48B3">
      <w:pPr>
        <w:pStyle w:val="ListParagraph"/>
        <w:spacing w:line="360" w:lineRule="auto"/>
        <w:ind w:left="0" w:firstLine="720"/>
        <w:jc w:val="both"/>
        <w:rPr>
          <w:rStyle w:val="FontStyle13"/>
          <w:rFonts w:ascii="Arial" w:eastAsia="Calibri" w:hAnsi="Arial" w:cs="Arial"/>
        </w:rPr>
      </w:pPr>
      <w:r>
        <w:rPr>
          <w:rStyle w:val="FontStyle13"/>
          <w:rFonts w:ascii="Arial" w:eastAsia="Calibri" w:hAnsi="Arial" w:cs="Arial"/>
        </w:rPr>
        <w:t>“</w:t>
      </w:r>
      <w:r w:rsidR="001B48B3" w:rsidRPr="004113D3">
        <w:rPr>
          <w:rStyle w:val="FontStyle13"/>
          <w:rFonts w:ascii="Arial" w:eastAsia="Calibri" w:hAnsi="Arial" w:cs="Arial"/>
        </w:rPr>
        <w:t xml:space="preserve">Its effect is the same as res judicata on a judgment given by consent. It extinguishes </w:t>
      </w:r>
      <w:r w:rsidR="001B48B3" w:rsidRPr="004113D3">
        <w:rPr>
          <w:rStyle w:val="FontStyle13"/>
          <w:rFonts w:ascii="Arial" w:eastAsia="Calibri" w:hAnsi="Arial" w:cs="Arial"/>
          <w:i/>
        </w:rPr>
        <w:t>ipso jure</w:t>
      </w:r>
      <w:r w:rsidR="001B48B3" w:rsidRPr="004113D3">
        <w:rPr>
          <w:rStyle w:val="FontStyle13"/>
          <w:rFonts w:ascii="Arial" w:eastAsia="Calibri" w:hAnsi="Arial" w:cs="Arial"/>
        </w:rPr>
        <w:t xml:space="preserve"> any cause of action that previously may have existed between the </w:t>
      </w:r>
      <w:proofErr w:type="gramStart"/>
      <w:r w:rsidR="001B48B3" w:rsidRPr="004113D3">
        <w:rPr>
          <w:rStyle w:val="FontStyle13"/>
          <w:rFonts w:ascii="Arial" w:eastAsia="Calibri" w:hAnsi="Arial" w:cs="Arial"/>
        </w:rPr>
        <w:t>parties, unless</w:t>
      </w:r>
      <w:proofErr w:type="gramEnd"/>
      <w:r w:rsidR="001B48B3" w:rsidRPr="004113D3">
        <w:rPr>
          <w:rStyle w:val="FontStyle13"/>
          <w:rFonts w:ascii="Arial" w:eastAsia="Calibri" w:hAnsi="Arial" w:cs="Arial"/>
        </w:rPr>
        <w:t xml:space="preserve"> the right to rely thereon was </w:t>
      </w:r>
      <w:r>
        <w:rPr>
          <w:rStyle w:val="FontStyle13"/>
          <w:rFonts w:ascii="Arial" w:eastAsia="Calibri" w:hAnsi="Arial" w:cs="Arial"/>
        </w:rPr>
        <w:t>reserved.”</w:t>
      </w:r>
    </w:p>
    <w:p w14:paraId="70E66ECF" w14:textId="77777777" w:rsidR="001B48B3" w:rsidRPr="004113D3" w:rsidRDefault="001B48B3" w:rsidP="001B48B3">
      <w:pPr>
        <w:rPr>
          <w:rStyle w:val="FontStyle13"/>
          <w:rFonts w:ascii="Arial" w:eastAsia="Calibri" w:hAnsi="Arial" w:cs="Arial"/>
        </w:rPr>
      </w:pPr>
      <w:r w:rsidRPr="004113D3">
        <w:rPr>
          <w:rStyle w:val="FontStyle13"/>
          <w:rFonts w:ascii="Arial" w:eastAsia="Calibri" w:hAnsi="Arial" w:cs="Arial"/>
        </w:rPr>
        <w:t>[80]</w:t>
      </w:r>
      <w:r w:rsidRPr="004113D3">
        <w:rPr>
          <w:rStyle w:val="FontStyle13"/>
          <w:rFonts w:ascii="Arial" w:eastAsia="Calibri" w:hAnsi="Arial" w:cs="Arial"/>
        </w:rPr>
        <w:tab/>
        <w:t>Gubbay CJ continues at 139 B that:</w:t>
      </w:r>
    </w:p>
    <w:p w14:paraId="5335F110" w14:textId="77777777" w:rsidR="001B48B3" w:rsidRPr="004113D3" w:rsidRDefault="001B48B3" w:rsidP="001B48B3">
      <w:pPr>
        <w:pStyle w:val="ListParagraph"/>
        <w:rPr>
          <w:rStyle w:val="FontStyle13"/>
          <w:rFonts w:ascii="Arial" w:eastAsia="Calibri" w:hAnsi="Arial" w:cs="Arial"/>
        </w:rPr>
      </w:pPr>
    </w:p>
    <w:p w14:paraId="576DC203" w14:textId="77777777" w:rsidR="001B48B3" w:rsidRPr="004113D3" w:rsidRDefault="006C17A5" w:rsidP="001B48B3">
      <w:pPr>
        <w:pStyle w:val="ListParagraph"/>
        <w:spacing w:line="360" w:lineRule="auto"/>
        <w:ind w:left="0" w:firstLine="720"/>
        <w:jc w:val="both"/>
        <w:rPr>
          <w:rStyle w:val="FontStyle13"/>
          <w:rFonts w:ascii="Arial" w:eastAsia="Calibri" w:hAnsi="Arial" w:cs="Arial"/>
        </w:rPr>
      </w:pPr>
      <w:r w:rsidRPr="004113D3">
        <w:rPr>
          <w:rStyle w:val="FontStyle13"/>
          <w:rFonts w:ascii="Arial" w:eastAsia="Calibri" w:hAnsi="Arial" w:cs="Arial"/>
        </w:rPr>
        <w:t>“</w:t>
      </w:r>
      <w:r w:rsidR="001B48B3" w:rsidRPr="004113D3">
        <w:rPr>
          <w:rStyle w:val="FontStyle13"/>
          <w:rFonts w:ascii="Arial" w:eastAsia="Calibri" w:hAnsi="Arial" w:cs="Arial"/>
        </w:rPr>
        <w:t xml:space="preserve">As it brings legal proceedings already instituted to an end, a party sued on a compromise is not entitled to raise </w:t>
      </w:r>
      <w:proofErr w:type="spellStart"/>
      <w:r w:rsidR="001B48B3" w:rsidRPr="004113D3">
        <w:rPr>
          <w:rStyle w:val="FontStyle13"/>
          <w:rFonts w:ascii="Arial" w:eastAsia="Calibri" w:hAnsi="Arial" w:cs="Arial"/>
        </w:rPr>
        <w:t>defences</w:t>
      </w:r>
      <w:proofErr w:type="spellEnd"/>
      <w:r w:rsidR="001B48B3" w:rsidRPr="004113D3">
        <w:rPr>
          <w:rStyle w:val="FontStyle13"/>
          <w:rFonts w:ascii="Arial" w:eastAsia="Calibri" w:hAnsi="Arial" w:cs="Arial"/>
        </w:rPr>
        <w:t xml:space="preserve"> t</w:t>
      </w:r>
      <w:r w:rsidRPr="004113D3">
        <w:rPr>
          <w:rStyle w:val="FontStyle13"/>
          <w:rFonts w:ascii="Arial" w:eastAsia="Calibri" w:hAnsi="Arial" w:cs="Arial"/>
        </w:rPr>
        <w:t>o the original cause of action.”</w:t>
      </w:r>
    </w:p>
    <w:p w14:paraId="28B8C6B5" w14:textId="77777777" w:rsidR="001B48B3" w:rsidRPr="004113D3" w:rsidRDefault="001B48B3" w:rsidP="001B48B3">
      <w:pPr>
        <w:rPr>
          <w:rStyle w:val="FontStyle13"/>
          <w:rFonts w:ascii="Arial" w:eastAsia="Calibri" w:hAnsi="Arial" w:cs="Arial"/>
        </w:rPr>
      </w:pPr>
      <w:r w:rsidRPr="004113D3">
        <w:rPr>
          <w:rStyle w:val="FontStyle13"/>
          <w:rFonts w:ascii="Arial" w:eastAsia="Calibri" w:hAnsi="Arial" w:cs="Arial"/>
        </w:rPr>
        <w:t>[81]</w:t>
      </w:r>
      <w:r w:rsidRPr="004113D3">
        <w:rPr>
          <w:rStyle w:val="FontStyle13"/>
          <w:rFonts w:ascii="Arial" w:eastAsia="Calibri" w:hAnsi="Arial" w:cs="Arial"/>
        </w:rPr>
        <w:tab/>
        <w:t>and at 139 C:</w:t>
      </w:r>
    </w:p>
    <w:p w14:paraId="53ABCA85" w14:textId="77777777" w:rsidR="001B48B3" w:rsidRPr="004113D3" w:rsidRDefault="001B48B3" w:rsidP="001B48B3">
      <w:pPr>
        <w:pStyle w:val="ListParagraph"/>
        <w:rPr>
          <w:rStyle w:val="FontStyle13"/>
          <w:rFonts w:ascii="Arial" w:eastAsia="Calibri" w:hAnsi="Arial" w:cs="Arial"/>
        </w:rPr>
      </w:pPr>
    </w:p>
    <w:p w14:paraId="00853613" w14:textId="77777777" w:rsidR="001B48B3" w:rsidRPr="004113D3" w:rsidRDefault="006C17A5" w:rsidP="001B48B3">
      <w:pPr>
        <w:pStyle w:val="ListParagraph"/>
        <w:spacing w:line="360" w:lineRule="auto"/>
        <w:ind w:left="0" w:firstLine="720"/>
        <w:jc w:val="both"/>
        <w:rPr>
          <w:rStyle w:val="FontStyle13"/>
          <w:rFonts w:ascii="Arial" w:eastAsia="Calibri" w:hAnsi="Arial" w:cs="Arial"/>
        </w:rPr>
      </w:pPr>
      <w:r w:rsidRPr="004113D3">
        <w:rPr>
          <w:rStyle w:val="FontStyle13"/>
          <w:rFonts w:ascii="Arial" w:eastAsia="Calibri" w:hAnsi="Arial" w:cs="Arial"/>
        </w:rPr>
        <w:t>“</w:t>
      </w:r>
      <w:r w:rsidR="001B48B3" w:rsidRPr="004113D3">
        <w:rPr>
          <w:rStyle w:val="FontStyle13"/>
          <w:rFonts w:ascii="Arial" w:eastAsia="Calibri" w:hAnsi="Arial" w:cs="Arial"/>
        </w:rPr>
        <w:t>Unlike novation</w:t>
      </w:r>
      <w:r w:rsidR="001B48B3" w:rsidRPr="004113D3">
        <w:rPr>
          <w:rStyle w:val="FontStyle13"/>
          <w:rFonts w:ascii="Arial" w:eastAsia="Calibri" w:hAnsi="Arial" w:cs="Arial"/>
          <w:u w:val="single"/>
        </w:rPr>
        <w:t>, a compromise is binding on the parties even though the original contract was invalid or even illegal</w:t>
      </w:r>
      <w:r w:rsidRPr="004113D3">
        <w:rPr>
          <w:rStyle w:val="FontStyle13"/>
          <w:rFonts w:ascii="Arial" w:eastAsia="Calibri" w:hAnsi="Arial" w:cs="Arial"/>
        </w:rPr>
        <w:t xml:space="preserve">.” </w:t>
      </w:r>
      <w:r w:rsidR="001B48B3" w:rsidRPr="004113D3">
        <w:rPr>
          <w:rStyle w:val="FontStyle13"/>
          <w:rFonts w:ascii="Arial" w:eastAsia="Calibri" w:hAnsi="Arial" w:cs="Arial"/>
        </w:rPr>
        <w:t>Own emphasis</w:t>
      </w:r>
    </w:p>
    <w:p w14:paraId="11781DA5" w14:textId="77777777" w:rsidR="001B48B3" w:rsidRPr="004113D3" w:rsidRDefault="001B48B3" w:rsidP="001B48B3">
      <w:pPr>
        <w:pStyle w:val="ListParagraph"/>
        <w:rPr>
          <w:rFonts w:ascii="Arial" w:hAnsi="Arial" w:cs="Arial"/>
        </w:rPr>
      </w:pPr>
    </w:p>
    <w:p w14:paraId="4815F2E6" w14:textId="77777777" w:rsidR="001B48B3" w:rsidRPr="004113D3" w:rsidRDefault="001B48B3" w:rsidP="001B48B3">
      <w:pPr>
        <w:rPr>
          <w:rFonts w:ascii="Arial" w:hAnsi="Arial" w:cs="Arial"/>
        </w:rPr>
      </w:pPr>
      <w:r w:rsidRPr="004113D3">
        <w:rPr>
          <w:rFonts w:ascii="Arial" w:hAnsi="Arial" w:cs="Arial"/>
        </w:rPr>
        <w:t>[82]</w:t>
      </w:r>
      <w:r w:rsidRPr="004113D3">
        <w:rPr>
          <w:rFonts w:ascii="Arial" w:hAnsi="Arial" w:cs="Arial"/>
        </w:rPr>
        <w:tab/>
        <w:t xml:space="preserve">The above authorities are a true exposition of our law. I further find that the principle of compromise also serves as a crucial tool to ensure finality to disputes. Parties should not easily be allowed to resile from a compromise </w:t>
      </w:r>
      <w:proofErr w:type="spellStart"/>
      <w:r w:rsidRPr="004113D3">
        <w:rPr>
          <w:rFonts w:ascii="Arial" w:hAnsi="Arial" w:cs="Arial"/>
        </w:rPr>
        <w:t>lest</w:t>
      </w:r>
      <w:proofErr w:type="spellEnd"/>
      <w:r w:rsidRPr="004113D3">
        <w:rPr>
          <w:rFonts w:ascii="Arial" w:hAnsi="Arial" w:cs="Arial"/>
        </w:rPr>
        <w:t xml:space="preserve"> there be no finality to resolving disputes as parties may go around in circles and thus, contrary to attaining justice. Justice demands fair conclusion of disputes.’ </w:t>
      </w:r>
    </w:p>
    <w:p w14:paraId="0D142A20" w14:textId="77777777" w:rsidR="001B48B3" w:rsidRPr="004113D3" w:rsidRDefault="001B48B3" w:rsidP="001B48B3">
      <w:pPr>
        <w:shd w:val="clear" w:color="auto" w:fill="FFFFFF"/>
        <w:spacing w:after="171"/>
        <w:rPr>
          <w:rFonts w:ascii="Arial" w:eastAsia="Times New Roman" w:hAnsi="Arial" w:cs="Arial"/>
          <w:sz w:val="24"/>
          <w:szCs w:val="24"/>
        </w:rPr>
      </w:pPr>
    </w:p>
    <w:p w14:paraId="59A0D136" w14:textId="77777777" w:rsidR="002F2B52" w:rsidRPr="004113D3" w:rsidRDefault="00EB2A2A" w:rsidP="00EB2A2A">
      <w:pPr>
        <w:pStyle w:val="ListParagraph"/>
        <w:shd w:val="clear" w:color="auto" w:fill="FFFFFF"/>
        <w:spacing w:after="171" w:line="360" w:lineRule="auto"/>
        <w:ind w:left="0"/>
        <w:rPr>
          <w:rFonts w:ascii="Arial" w:eastAsia="Calibri" w:hAnsi="Arial" w:cs="Arial"/>
          <w:lang w:eastAsia="zh-CN" w:bidi="hi-IN"/>
        </w:rPr>
      </w:pPr>
      <w:r w:rsidRPr="004113D3">
        <w:rPr>
          <w:rFonts w:ascii="Arial" w:eastAsia="Times New Roman" w:hAnsi="Arial" w:cs="Arial"/>
          <w:sz w:val="24"/>
          <w:szCs w:val="24"/>
        </w:rPr>
        <w:t>[39]</w:t>
      </w:r>
      <w:r w:rsidRPr="004113D3">
        <w:rPr>
          <w:rFonts w:ascii="Arial" w:eastAsia="Times New Roman" w:hAnsi="Arial" w:cs="Arial"/>
          <w:sz w:val="24"/>
          <w:szCs w:val="24"/>
        </w:rPr>
        <w:tab/>
      </w:r>
      <w:r w:rsidR="001B48B3" w:rsidRPr="004113D3">
        <w:rPr>
          <w:rFonts w:ascii="Arial" w:eastAsia="Times New Roman" w:hAnsi="Arial" w:cs="Arial"/>
          <w:sz w:val="24"/>
          <w:szCs w:val="24"/>
        </w:rPr>
        <w:t xml:space="preserve">What should have been a </w:t>
      </w:r>
      <w:r w:rsidR="002F2B52" w:rsidRPr="004113D3">
        <w:rPr>
          <w:rFonts w:ascii="Arial" w:eastAsia="Times New Roman" w:hAnsi="Arial" w:cs="Arial"/>
          <w:sz w:val="24"/>
          <w:szCs w:val="24"/>
        </w:rPr>
        <w:t>cost-effective</w:t>
      </w:r>
      <w:r w:rsidR="001B48B3" w:rsidRPr="004113D3">
        <w:rPr>
          <w:rFonts w:ascii="Arial" w:eastAsia="Times New Roman" w:hAnsi="Arial" w:cs="Arial"/>
          <w:sz w:val="24"/>
          <w:szCs w:val="24"/>
        </w:rPr>
        <w:t xml:space="preserve"> settlement of the matter has evolved into a protracted legal battle</w:t>
      </w:r>
      <w:r w:rsidR="002F2B52" w:rsidRPr="004113D3">
        <w:rPr>
          <w:rFonts w:ascii="Arial" w:eastAsia="Times New Roman" w:hAnsi="Arial" w:cs="Arial"/>
          <w:sz w:val="24"/>
          <w:szCs w:val="24"/>
        </w:rPr>
        <w:t xml:space="preserve"> fueled at the instance of the defendants. </w:t>
      </w:r>
    </w:p>
    <w:p w14:paraId="0986D851" w14:textId="77777777" w:rsidR="002F2B52" w:rsidRPr="004113D3" w:rsidRDefault="002F2B52" w:rsidP="002F2B52">
      <w:pPr>
        <w:pStyle w:val="ListParagraph"/>
        <w:shd w:val="clear" w:color="auto" w:fill="FFFFFF"/>
        <w:spacing w:after="171" w:line="360" w:lineRule="auto"/>
        <w:ind w:left="0"/>
        <w:rPr>
          <w:rFonts w:ascii="Arial" w:eastAsia="Calibri" w:hAnsi="Arial" w:cs="Arial"/>
          <w:lang w:eastAsia="zh-CN" w:bidi="hi-IN"/>
        </w:rPr>
      </w:pPr>
    </w:p>
    <w:p w14:paraId="15254AC9" w14:textId="77777777" w:rsidR="002F2B52" w:rsidRPr="004113D3" w:rsidRDefault="00EB2A2A" w:rsidP="00EB2A2A">
      <w:pPr>
        <w:pStyle w:val="ListParagraph"/>
        <w:shd w:val="clear" w:color="auto" w:fill="FFFFFF"/>
        <w:spacing w:after="171" w:line="360" w:lineRule="auto"/>
        <w:ind w:left="0"/>
        <w:jc w:val="both"/>
        <w:rPr>
          <w:rStyle w:val="FontStyle13"/>
          <w:rFonts w:ascii="Arial" w:eastAsia="Calibri" w:hAnsi="Arial" w:cs="Arial"/>
          <w:sz w:val="24"/>
          <w:szCs w:val="24"/>
        </w:rPr>
      </w:pPr>
      <w:r w:rsidRPr="004113D3">
        <w:rPr>
          <w:rFonts w:ascii="Arial" w:eastAsia="Times New Roman" w:hAnsi="Arial" w:cs="Arial"/>
          <w:sz w:val="24"/>
          <w:szCs w:val="24"/>
        </w:rPr>
        <w:t>[40]</w:t>
      </w:r>
      <w:r w:rsidRPr="004113D3">
        <w:rPr>
          <w:rFonts w:ascii="Arial" w:eastAsia="Times New Roman" w:hAnsi="Arial" w:cs="Arial"/>
          <w:sz w:val="24"/>
          <w:szCs w:val="24"/>
        </w:rPr>
        <w:tab/>
      </w:r>
      <w:r w:rsidR="002F2B52" w:rsidRPr="004113D3">
        <w:rPr>
          <w:rFonts w:ascii="Arial" w:eastAsia="Times New Roman" w:hAnsi="Arial" w:cs="Arial"/>
          <w:sz w:val="24"/>
          <w:szCs w:val="24"/>
        </w:rPr>
        <w:t xml:space="preserve">The protracted arguments on the </w:t>
      </w:r>
      <w:r w:rsidR="004F4684" w:rsidRPr="004113D3">
        <w:rPr>
          <w:rFonts w:ascii="Arial" w:eastAsia="Times New Roman" w:hAnsi="Arial" w:cs="Arial"/>
          <w:sz w:val="24"/>
          <w:szCs w:val="24"/>
        </w:rPr>
        <w:t xml:space="preserve">purported </w:t>
      </w:r>
      <w:r w:rsidR="002F2B52" w:rsidRPr="004113D3">
        <w:rPr>
          <w:rFonts w:ascii="Arial" w:eastAsia="Times New Roman" w:hAnsi="Arial" w:cs="Arial"/>
          <w:sz w:val="24"/>
          <w:szCs w:val="24"/>
        </w:rPr>
        <w:t xml:space="preserve">non-compliance with the Formalities of the Sale of Land Act </w:t>
      </w:r>
      <w:r w:rsidR="00587E2F" w:rsidRPr="004113D3">
        <w:rPr>
          <w:rFonts w:ascii="Arial" w:eastAsia="Times New Roman" w:hAnsi="Arial" w:cs="Arial"/>
          <w:sz w:val="24"/>
          <w:szCs w:val="24"/>
        </w:rPr>
        <w:t>do</w:t>
      </w:r>
      <w:r w:rsidR="004113D3" w:rsidRPr="004113D3">
        <w:rPr>
          <w:rFonts w:ascii="Arial" w:eastAsia="Times New Roman" w:hAnsi="Arial" w:cs="Arial"/>
          <w:sz w:val="24"/>
          <w:szCs w:val="24"/>
        </w:rPr>
        <w:t>es</w:t>
      </w:r>
      <w:r w:rsidR="002F2B52" w:rsidRPr="004113D3">
        <w:rPr>
          <w:rFonts w:ascii="Arial" w:eastAsia="Times New Roman" w:hAnsi="Arial" w:cs="Arial"/>
          <w:sz w:val="24"/>
          <w:szCs w:val="24"/>
        </w:rPr>
        <w:t xml:space="preserve"> not find application in respect of the settlement agreement </w:t>
      </w:r>
      <w:r w:rsidR="002F2B52" w:rsidRPr="004113D3">
        <w:rPr>
          <w:rFonts w:ascii="Arial" w:eastAsia="Times New Roman" w:hAnsi="Arial" w:cs="Arial"/>
          <w:sz w:val="24"/>
          <w:szCs w:val="24"/>
        </w:rPr>
        <w:lastRenderedPageBreak/>
        <w:t>before me. The or</w:t>
      </w:r>
      <w:r w:rsidR="004F4684" w:rsidRPr="004113D3">
        <w:rPr>
          <w:rFonts w:ascii="Arial" w:eastAsia="Times New Roman" w:hAnsi="Arial" w:cs="Arial"/>
          <w:sz w:val="24"/>
          <w:szCs w:val="24"/>
        </w:rPr>
        <w:t>i</w:t>
      </w:r>
      <w:r w:rsidR="002F2B52" w:rsidRPr="004113D3">
        <w:rPr>
          <w:rFonts w:ascii="Arial" w:eastAsia="Times New Roman" w:hAnsi="Arial" w:cs="Arial"/>
          <w:sz w:val="24"/>
          <w:szCs w:val="24"/>
        </w:rPr>
        <w:t xml:space="preserve">ginal </w:t>
      </w:r>
      <w:proofErr w:type="spellStart"/>
      <w:r w:rsidR="002F2B52" w:rsidRPr="004113D3">
        <w:rPr>
          <w:rFonts w:ascii="Arial" w:eastAsia="Times New Roman" w:hAnsi="Arial" w:cs="Arial"/>
          <w:sz w:val="24"/>
          <w:szCs w:val="24"/>
        </w:rPr>
        <w:t>lis</w:t>
      </w:r>
      <w:proofErr w:type="spellEnd"/>
      <w:r w:rsidR="002F2B52" w:rsidRPr="004113D3">
        <w:rPr>
          <w:rFonts w:ascii="Arial" w:eastAsia="Times New Roman" w:hAnsi="Arial" w:cs="Arial"/>
          <w:sz w:val="24"/>
          <w:szCs w:val="24"/>
        </w:rPr>
        <w:t xml:space="preserve"> between the parties f</w:t>
      </w:r>
      <w:r w:rsidR="00587E2F" w:rsidRPr="004113D3">
        <w:rPr>
          <w:rFonts w:ascii="Arial" w:eastAsia="Times New Roman" w:hAnsi="Arial" w:cs="Arial"/>
          <w:sz w:val="24"/>
          <w:szCs w:val="24"/>
        </w:rPr>
        <w:t>a</w:t>
      </w:r>
      <w:r w:rsidR="002F2B52" w:rsidRPr="004113D3">
        <w:rPr>
          <w:rFonts w:ascii="Arial" w:eastAsia="Times New Roman" w:hAnsi="Arial" w:cs="Arial"/>
          <w:sz w:val="24"/>
          <w:szCs w:val="24"/>
        </w:rPr>
        <w:t>ll</w:t>
      </w:r>
      <w:r w:rsidR="00587E2F" w:rsidRPr="004113D3">
        <w:rPr>
          <w:rFonts w:ascii="Arial" w:eastAsia="Times New Roman" w:hAnsi="Arial" w:cs="Arial"/>
          <w:sz w:val="24"/>
          <w:szCs w:val="24"/>
        </w:rPr>
        <w:t>s</w:t>
      </w:r>
      <w:r w:rsidR="002F2B52" w:rsidRPr="004113D3">
        <w:rPr>
          <w:rFonts w:ascii="Arial" w:eastAsia="Times New Roman" w:hAnsi="Arial" w:cs="Arial"/>
          <w:sz w:val="24"/>
          <w:szCs w:val="24"/>
        </w:rPr>
        <w:t xml:space="preserve"> away as can be seen from the cases referred to above. However, the defendants persist in wanting to argue the merits of the original cause of action</w:t>
      </w:r>
      <w:r w:rsidR="00587E2F" w:rsidRPr="004113D3">
        <w:rPr>
          <w:rFonts w:ascii="Arial" w:eastAsia="Times New Roman" w:hAnsi="Arial" w:cs="Arial"/>
          <w:sz w:val="24"/>
          <w:szCs w:val="24"/>
        </w:rPr>
        <w:t>,</w:t>
      </w:r>
      <w:r w:rsidR="002F2B52" w:rsidRPr="004113D3">
        <w:rPr>
          <w:rFonts w:ascii="Arial" w:eastAsia="Times New Roman" w:hAnsi="Arial" w:cs="Arial"/>
          <w:sz w:val="24"/>
          <w:szCs w:val="24"/>
        </w:rPr>
        <w:t xml:space="preserve"> and </w:t>
      </w:r>
      <w:proofErr w:type="gramStart"/>
      <w:r w:rsidR="002F2B52" w:rsidRPr="004113D3">
        <w:rPr>
          <w:rFonts w:ascii="Arial" w:eastAsia="Times New Roman" w:hAnsi="Arial" w:cs="Arial"/>
          <w:sz w:val="24"/>
          <w:szCs w:val="24"/>
        </w:rPr>
        <w:t>it is clear that the</w:t>
      </w:r>
      <w:proofErr w:type="gramEnd"/>
      <w:r w:rsidR="002F2B52" w:rsidRPr="004113D3">
        <w:rPr>
          <w:rFonts w:ascii="Arial" w:eastAsia="Times New Roman" w:hAnsi="Arial" w:cs="Arial"/>
          <w:sz w:val="24"/>
          <w:szCs w:val="24"/>
        </w:rPr>
        <w:t xml:space="preserve"> d</w:t>
      </w:r>
      <w:r w:rsidR="002F2B52" w:rsidRPr="004113D3">
        <w:rPr>
          <w:rStyle w:val="FontStyle13"/>
          <w:rFonts w:ascii="Arial" w:eastAsia="Calibri" w:hAnsi="Arial" w:cs="Arial"/>
          <w:sz w:val="24"/>
          <w:szCs w:val="24"/>
        </w:rPr>
        <w:t xml:space="preserve">efendants are not entitled to go behind the compromise and raise </w:t>
      </w:r>
      <w:proofErr w:type="spellStart"/>
      <w:r w:rsidR="002F2B52" w:rsidRPr="004113D3">
        <w:rPr>
          <w:rStyle w:val="FontStyle13"/>
          <w:rFonts w:ascii="Arial" w:eastAsia="Calibri" w:hAnsi="Arial" w:cs="Arial"/>
          <w:sz w:val="24"/>
          <w:szCs w:val="24"/>
        </w:rPr>
        <w:t>defences</w:t>
      </w:r>
      <w:proofErr w:type="spellEnd"/>
      <w:r w:rsidR="002F2B52" w:rsidRPr="004113D3">
        <w:rPr>
          <w:rStyle w:val="FontStyle13"/>
          <w:rFonts w:ascii="Arial" w:eastAsia="Calibri" w:hAnsi="Arial" w:cs="Arial"/>
          <w:sz w:val="24"/>
          <w:szCs w:val="24"/>
        </w:rPr>
        <w:t xml:space="preserve"> to the original cause of action when sued on the compromise.</w:t>
      </w:r>
    </w:p>
    <w:p w14:paraId="52B2ACB4" w14:textId="77777777" w:rsidR="00EB2A2A" w:rsidRPr="004113D3" w:rsidRDefault="00EB2A2A" w:rsidP="00EB2A2A">
      <w:pPr>
        <w:pStyle w:val="ListParagraph"/>
        <w:shd w:val="clear" w:color="auto" w:fill="FFFFFF"/>
        <w:spacing w:after="171" w:line="360" w:lineRule="auto"/>
        <w:ind w:left="0"/>
        <w:jc w:val="both"/>
        <w:rPr>
          <w:rStyle w:val="FontStyle13"/>
          <w:rFonts w:ascii="Arial" w:eastAsia="Calibri" w:hAnsi="Arial" w:cs="Arial"/>
          <w:sz w:val="24"/>
          <w:szCs w:val="24"/>
        </w:rPr>
      </w:pPr>
    </w:p>
    <w:p w14:paraId="2B984B43" w14:textId="77777777" w:rsidR="002F2B52" w:rsidRPr="004113D3" w:rsidRDefault="00EB2A2A" w:rsidP="00EB2A2A">
      <w:pPr>
        <w:pStyle w:val="ListParagraph"/>
        <w:shd w:val="clear" w:color="auto" w:fill="FFFFFF"/>
        <w:spacing w:after="171" w:line="360" w:lineRule="auto"/>
        <w:ind w:left="0"/>
        <w:jc w:val="both"/>
        <w:rPr>
          <w:rFonts w:ascii="Arial" w:eastAsia="Times New Roman" w:hAnsi="Arial" w:cs="Arial"/>
          <w:sz w:val="24"/>
          <w:szCs w:val="24"/>
        </w:rPr>
      </w:pPr>
      <w:r w:rsidRPr="004113D3">
        <w:rPr>
          <w:rFonts w:ascii="Arial" w:eastAsia="Times New Roman" w:hAnsi="Arial" w:cs="Arial"/>
          <w:sz w:val="24"/>
          <w:szCs w:val="24"/>
        </w:rPr>
        <w:t>[41]</w:t>
      </w:r>
      <w:r w:rsidRPr="004113D3">
        <w:rPr>
          <w:rFonts w:ascii="Arial" w:eastAsia="Times New Roman" w:hAnsi="Arial" w:cs="Arial"/>
          <w:sz w:val="24"/>
          <w:szCs w:val="24"/>
        </w:rPr>
        <w:tab/>
      </w:r>
      <w:r w:rsidR="002F2B52" w:rsidRPr="004113D3">
        <w:rPr>
          <w:rFonts w:ascii="Arial" w:eastAsia="Times New Roman" w:hAnsi="Arial" w:cs="Arial"/>
          <w:sz w:val="24"/>
          <w:szCs w:val="24"/>
        </w:rPr>
        <w:t xml:space="preserve">To avoid any further doubt in this matter, it should be clear that this court is of the view that the compromise reached between the parties extinguishes the plaintiffs’ original cause of action and </w:t>
      </w:r>
      <w:r w:rsidR="008A71FB" w:rsidRPr="004113D3">
        <w:rPr>
          <w:rFonts w:ascii="Arial" w:eastAsia="Times New Roman" w:hAnsi="Arial" w:cs="Arial"/>
          <w:sz w:val="24"/>
          <w:szCs w:val="24"/>
        </w:rPr>
        <w:t>the settlement or compromise reached between the parties is not subject to the provision</w:t>
      </w:r>
      <w:r w:rsidR="006C17A5" w:rsidRPr="004113D3">
        <w:rPr>
          <w:rFonts w:ascii="Arial" w:eastAsia="Times New Roman" w:hAnsi="Arial" w:cs="Arial"/>
          <w:sz w:val="24"/>
          <w:szCs w:val="24"/>
        </w:rPr>
        <w:t>s</w:t>
      </w:r>
      <w:r w:rsidR="008A71FB" w:rsidRPr="004113D3">
        <w:rPr>
          <w:rFonts w:ascii="Arial" w:eastAsia="Times New Roman" w:hAnsi="Arial" w:cs="Arial"/>
          <w:sz w:val="24"/>
          <w:szCs w:val="24"/>
        </w:rPr>
        <w:t xml:space="preserve"> of the Formalities of</w:t>
      </w:r>
      <w:r w:rsidR="004113D3" w:rsidRPr="004113D3">
        <w:rPr>
          <w:rFonts w:ascii="Arial" w:eastAsia="Times New Roman" w:hAnsi="Arial" w:cs="Arial"/>
          <w:sz w:val="24"/>
          <w:szCs w:val="24"/>
        </w:rPr>
        <w:t xml:space="preserve"> the</w:t>
      </w:r>
      <w:r w:rsidR="008A71FB" w:rsidRPr="004113D3">
        <w:rPr>
          <w:rFonts w:ascii="Arial" w:eastAsia="Times New Roman" w:hAnsi="Arial" w:cs="Arial"/>
          <w:sz w:val="24"/>
          <w:szCs w:val="24"/>
        </w:rPr>
        <w:t xml:space="preserve"> Sale of Land Act. The plaintiffs will therefore be able to enforce the said settlement agreement </w:t>
      </w:r>
      <w:proofErr w:type="spellStart"/>
      <w:r w:rsidR="008A71FB" w:rsidRPr="004113D3">
        <w:rPr>
          <w:rFonts w:ascii="Arial" w:eastAsia="Times New Roman" w:hAnsi="Arial" w:cs="Arial"/>
          <w:sz w:val="24"/>
          <w:szCs w:val="24"/>
        </w:rPr>
        <w:t>as</w:t>
      </w:r>
      <w:proofErr w:type="spellEnd"/>
      <w:r w:rsidR="008A71FB" w:rsidRPr="004113D3">
        <w:rPr>
          <w:rFonts w:ascii="Arial" w:eastAsia="Times New Roman" w:hAnsi="Arial" w:cs="Arial"/>
          <w:sz w:val="24"/>
          <w:szCs w:val="24"/>
        </w:rPr>
        <w:t xml:space="preserve"> </w:t>
      </w:r>
      <w:r w:rsidR="004113D3" w:rsidRPr="004113D3">
        <w:rPr>
          <w:rFonts w:ascii="Arial" w:eastAsia="Times New Roman" w:hAnsi="Arial" w:cs="Arial"/>
          <w:sz w:val="24"/>
          <w:szCs w:val="24"/>
        </w:rPr>
        <w:t>reached</w:t>
      </w:r>
      <w:r w:rsidR="008A71FB" w:rsidRPr="004113D3">
        <w:rPr>
          <w:rFonts w:ascii="Arial" w:eastAsia="Times New Roman" w:hAnsi="Arial" w:cs="Arial"/>
          <w:sz w:val="24"/>
          <w:szCs w:val="24"/>
        </w:rPr>
        <w:t xml:space="preserve"> between the parties on 22 June 2022. </w:t>
      </w:r>
    </w:p>
    <w:p w14:paraId="0C8C02F7" w14:textId="77777777" w:rsidR="00CA1EE2" w:rsidRPr="004113D3" w:rsidRDefault="00CA1EE2" w:rsidP="00EB2A2A">
      <w:pPr>
        <w:pStyle w:val="ListParagraph"/>
        <w:shd w:val="clear" w:color="auto" w:fill="FFFFFF"/>
        <w:spacing w:after="171" w:line="360" w:lineRule="auto"/>
        <w:ind w:left="0"/>
        <w:jc w:val="both"/>
        <w:rPr>
          <w:rFonts w:ascii="Arial" w:eastAsia="Times New Roman" w:hAnsi="Arial" w:cs="Arial"/>
          <w:sz w:val="24"/>
          <w:szCs w:val="24"/>
          <w:u w:val="single"/>
        </w:rPr>
      </w:pPr>
    </w:p>
    <w:p w14:paraId="725A64FD" w14:textId="77777777" w:rsidR="008A71FB" w:rsidRPr="004113D3" w:rsidRDefault="00EB2A2A" w:rsidP="00EB2A2A">
      <w:pPr>
        <w:pStyle w:val="ListParagraph"/>
        <w:shd w:val="clear" w:color="auto" w:fill="FFFFFF"/>
        <w:spacing w:after="171" w:line="360" w:lineRule="auto"/>
        <w:ind w:left="0"/>
        <w:rPr>
          <w:rFonts w:ascii="Arial" w:eastAsia="Times New Roman" w:hAnsi="Arial" w:cs="Arial"/>
          <w:sz w:val="24"/>
          <w:szCs w:val="24"/>
        </w:rPr>
      </w:pPr>
      <w:r w:rsidRPr="004113D3">
        <w:rPr>
          <w:rFonts w:ascii="Arial" w:eastAsia="Times New Roman" w:hAnsi="Arial" w:cs="Arial"/>
          <w:sz w:val="24"/>
          <w:szCs w:val="24"/>
        </w:rPr>
        <w:t>[42]</w:t>
      </w:r>
      <w:r w:rsidRPr="004113D3">
        <w:rPr>
          <w:rFonts w:ascii="Arial" w:eastAsia="Times New Roman" w:hAnsi="Arial" w:cs="Arial"/>
          <w:sz w:val="24"/>
          <w:szCs w:val="24"/>
        </w:rPr>
        <w:tab/>
      </w:r>
      <w:r w:rsidR="008A71FB" w:rsidRPr="004113D3">
        <w:rPr>
          <w:rFonts w:ascii="Arial" w:eastAsia="Times New Roman" w:hAnsi="Arial" w:cs="Arial"/>
          <w:sz w:val="24"/>
          <w:szCs w:val="24"/>
        </w:rPr>
        <w:t>The order of this court is therefore as follows:</w:t>
      </w:r>
    </w:p>
    <w:p w14:paraId="10E14502" w14:textId="77777777" w:rsidR="008A71FB" w:rsidRPr="004113D3" w:rsidRDefault="008A71FB" w:rsidP="008A71FB">
      <w:pPr>
        <w:pStyle w:val="ListParagraph"/>
        <w:rPr>
          <w:rFonts w:ascii="Arial" w:eastAsia="Times New Roman" w:hAnsi="Arial" w:cs="Arial"/>
          <w:sz w:val="24"/>
          <w:szCs w:val="24"/>
        </w:rPr>
      </w:pPr>
    </w:p>
    <w:p w14:paraId="2D212463" w14:textId="173B1BB1" w:rsidR="004113D3" w:rsidRPr="00FB6FCC" w:rsidRDefault="00FB6FCC" w:rsidP="00FB6FCC">
      <w:pPr>
        <w:ind w:left="720" w:hanging="360"/>
        <w:rPr>
          <w:rFonts w:ascii="Arial" w:eastAsia="Calibri" w:hAnsi="Arial" w:cs="Arial"/>
          <w:sz w:val="24"/>
          <w:szCs w:val="24"/>
        </w:rPr>
      </w:pPr>
      <w:r w:rsidRPr="004113D3">
        <w:rPr>
          <w:rFonts w:ascii="Arial" w:eastAsia="Calibri" w:hAnsi="Arial" w:cs="Arial"/>
          <w:sz w:val="24"/>
          <w:szCs w:val="24"/>
        </w:rPr>
        <w:t>1.</w:t>
      </w:r>
      <w:r w:rsidRPr="004113D3">
        <w:rPr>
          <w:rFonts w:ascii="Arial" w:eastAsia="Calibri" w:hAnsi="Arial" w:cs="Arial"/>
          <w:sz w:val="24"/>
          <w:szCs w:val="24"/>
        </w:rPr>
        <w:tab/>
      </w:r>
      <w:r w:rsidR="004113D3" w:rsidRPr="00FB6FCC">
        <w:rPr>
          <w:rFonts w:ascii="Arial" w:eastAsia="Calibri" w:hAnsi="Arial" w:cs="Arial"/>
          <w:sz w:val="24"/>
          <w:szCs w:val="24"/>
        </w:rPr>
        <w:t xml:space="preserve">The settlement agreement reached during mediation on 02 June 2022, and which was declared binding and valid between the parties, is hereby made an order of </w:t>
      </w:r>
      <w:proofErr w:type="gramStart"/>
      <w:r w:rsidR="004113D3" w:rsidRPr="00FB6FCC">
        <w:rPr>
          <w:rFonts w:ascii="Arial" w:eastAsia="Calibri" w:hAnsi="Arial" w:cs="Arial"/>
          <w:sz w:val="24"/>
          <w:szCs w:val="24"/>
        </w:rPr>
        <w:t>court</w:t>
      </w:r>
      <w:proofErr w:type="gramEnd"/>
      <w:r w:rsidR="004113D3" w:rsidRPr="00FB6FCC">
        <w:rPr>
          <w:rFonts w:ascii="Arial" w:eastAsia="Calibri" w:hAnsi="Arial" w:cs="Arial"/>
          <w:sz w:val="24"/>
          <w:szCs w:val="24"/>
        </w:rPr>
        <w:t xml:space="preserve"> and is declared enforceable, in the following terms:</w:t>
      </w:r>
    </w:p>
    <w:p w14:paraId="6B7DA874" w14:textId="4D64BB0F" w:rsidR="004113D3" w:rsidRPr="004113D3" w:rsidRDefault="00FB6FCC" w:rsidP="00FB6FCC">
      <w:pPr>
        <w:pStyle w:val="BodyTextIndent2"/>
        <w:ind w:left="1140" w:hanging="420"/>
      </w:pPr>
      <w:r w:rsidRPr="004113D3">
        <w:t>1.1</w:t>
      </w:r>
      <w:r w:rsidRPr="004113D3">
        <w:tab/>
      </w:r>
      <w:r w:rsidR="004113D3" w:rsidRPr="004113D3">
        <w:t xml:space="preserve">The first and second defendants are directed, within 14 days to sign all documents necessary to permit the registration of the </w:t>
      </w:r>
      <w:r w:rsidR="00A858E9">
        <w:t>plaintiffs rights over the sub</w:t>
      </w:r>
      <w:r w:rsidR="004113D3" w:rsidRPr="004113D3">
        <w:t xml:space="preserve">divided portion of Erf 2247, Registration Division “A”, Khorixas, Kunene Region, Republic of Namibia, failing which the court </w:t>
      </w:r>
      <w:proofErr w:type="spellStart"/>
      <w:r w:rsidR="004113D3" w:rsidRPr="004113D3">
        <w:t>authorises</w:t>
      </w:r>
      <w:proofErr w:type="spellEnd"/>
      <w:r w:rsidR="004113D3" w:rsidRPr="004113D3">
        <w:t xml:space="preserve"> and directs the Deputy Sherriff to sign all necessary documents on behalf of the first and second defendants to effect registration of the plaintiffs right over the sub-divided portion of Erf 2247, Registration Division “A”, Khorixas, Kunene Region, Republic of Namibia.</w:t>
      </w:r>
    </w:p>
    <w:p w14:paraId="4EB456B6" w14:textId="07D33A00" w:rsidR="004113D3" w:rsidRPr="00FB6FCC" w:rsidRDefault="00FB6FCC" w:rsidP="00FB6FCC">
      <w:pPr>
        <w:ind w:left="1140" w:hanging="420"/>
        <w:rPr>
          <w:rFonts w:ascii="Arial" w:eastAsia="Calibri" w:hAnsi="Arial" w:cs="Arial"/>
          <w:sz w:val="24"/>
          <w:szCs w:val="24"/>
        </w:rPr>
      </w:pPr>
      <w:r w:rsidRPr="004113D3">
        <w:rPr>
          <w:rFonts w:ascii="Arial" w:eastAsia="Calibri" w:hAnsi="Arial" w:cs="Arial"/>
          <w:sz w:val="24"/>
          <w:szCs w:val="24"/>
        </w:rPr>
        <w:t>1.2</w:t>
      </w:r>
      <w:r w:rsidRPr="004113D3">
        <w:rPr>
          <w:rFonts w:ascii="Arial" w:eastAsia="Calibri" w:hAnsi="Arial" w:cs="Arial"/>
          <w:sz w:val="24"/>
          <w:szCs w:val="24"/>
        </w:rPr>
        <w:tab/>
      </w:r>
      <w:r w:rsidR="004113D3" w:rsidRPr="00FB6FCC">
        <w:rPr>
          <w:rFonts w:ascii="Arial" w:eastAsia="Calibri" w:hAnsi="Arial" w:cs="Arial"/>
          <w:sz w:val="24"/>
          <w:szCs w:val="24"/>
        </w:rPr>
        <w:t xml:space="preserve">The plaintiffs shall bear the transfer costs in respect of the aforesaid transfer of property rights by the Defendants. </w:t>
      </w:r>
    </w:p>
    <w:p w14:paraId="776F6599" w14:textId="032EF859" w:rsidR="004113D3" w:rsidRPr="00FB6FCC" w:rsidRDefault="00FB6FCC" w:rsidP="00FB6FCC">
      <w:pPr>
        <w:ind w:left="1140" w:hanging="420"/>
        <w:rPr>
          <w:rFonts w:ascii="Arial" w:eastAsia="Calibri" w:hAnsi="Arial" w:cs="Arial"/>
          <w:sz w:val="24"/>
          <w:szCs w:val="24"/>
        </w:rPr>
      </w:pPr>
      <w:r w:rsidRPr="004113D3">
        <w:rPr>
          <w:rFonts w:ascii="Arial" w:eastAsia="Calibri" w:hAnsi="Arial" w:cs="Arial"/>
          <w:sz w:val="24"/>
          <w:szCs w:val="24"/>
        </w:rPr>
        <w:t>1.3</w:t>
      </w:r>
      <w:r w:rsidRPr="004113D3">
        <w:rPr>
          <w:rFonts w:ascii="Arial" w:eastAsia="Calibri" w:hAnsi="Arial" w:cs="Arial"/>
          <w:sz w:val="24"/>
          <w:szCs w:val="24"/>
        </w:rPr>
        <w:tab/>
      </w:r>
      <w:r w:rsidR="004113D3" w:rsidRPr="00FB6FCC">
        <w:rPr>
          <w:rFonts w:ascii="Arial" w:eastAsia="Calibri" w:hAnsi="Arial" w:cs="Arial"/>
          <w:sz w:val="24"/>
          <w:szCs w:val="24"/>
        </w:rPr>
        <w:t>The first and second defendants are directed, within 14 days, to transfer all amounts in the total of N$72 000 (</w:t>
      </w:r>
      <w:proofErr w:type="gramStart"/>
      <w:r w:rsidR="004113D3" w:rsidRPr="00FB6FCC">
        <w:rPr>
          <w:rFonts w:ascii="Arial" w:eastAsia="Calibri" w:hAnsi="Arial" w:cs="Arial"/>
          <w:sz w:val="24"/>
          <w:szCs w:val="24"/>
        </w:rPr>
        <w:t>Seventy Two</w:t>
      </w:r>
      <w:proofErr w:type="gramEnd"/>
      <w:r w:rsidR="004113D3" w:rsidRPr="00FB6FCC">
        <w:rPr>
          <w:rFonts w:ascii="Arial" w:eastAsia="Calibri" w:hAnsi="Arial" w:cs="Arial"/>
          <w:sz w:val="24"/>
          <w:szCs w:val="24"/>
        </w:rPr>
        <w:t xml:space="preserve"> Thousand Namibia Dollars) held in the family banking account to the plaintiffs. </w:t>
      </w:r>
    </w:p>
    <w:p w14:paraId="0799847D" w14:textId="22D38809" w:rsidR="004113D3" w:rsidRPr="00FB6FCC" w:rsidRDefault="00FB6FCC" w:rsidP="00FB6FCC">
      <w:pPr>
        <w:shd w:val="clear" w:color="auto" w:fill="FFFFFF"/>
        <w:spacing w:after="171"/>
        <w:ind w:left="720" w:hanging="360"/>
        <w:rPr>
          <w:rFonts w:ascii="Arial" w:eastAsia="Times New Roman" w:hAnsi="Arial" w:cs="Arial"/>
          <w:sz w:val="24"/>
          <w:szCs w:val="24"/>
        </w:rPr>
      </w:pPr>
      <w:r w:rsidRPr="004113D3">
        <w:rPr>
          <w:rFonts w:ascii="Arial" w:eastAsia="Times New Roman" w:hAnsi="Arial" w:cs="Arial"/>
          <w:sz w:val="24"/>
          <w:szCs w:val="24"/>
        </w:rPr>
        <w:lastRenderedPageBreak/>
        <w:t>2.</w:t>
      </w:r>
      <w:r w:rsidRPr="004113D3">
        <w:rPr>
          <w:rFonts w:ascii="Arial" w:eastAsia="Times New Roman" w:hAnsi="Arial" w:cs="Arial"/>
          <w:sz w:val="24"/>
          <w:szCs w:val="24"/>
        </w:rPr>
        <w:tab/>
      </w:r>
      <w:r w:rsidR="004113D3" w:rsidRPr="00FB6FCC">
        <w:rPr>
          <w:rFonts w:ascii="Arial" w:eastAsia="Calibri" w:hAnsi="Arial" w:cs="Arial"/>
          <w:sz w:val="24"/>
          <w:szCs w:val="24"/>
        </w:rPr>
        <w:t xml:space="preserve"> The cost of this application is payable by the first and second defendants. Such cost includes the cost of one instructing and one instructed counsel. Cost shall not be limited to rule 32(11).</w:t>
      </w:r>
    </w:p>
    <w:p w14:paraId="277C6416" w14:textId="0EBBEF14" w:rsidR="004113D3" w:rsidRPr="00FB6FCC" w:rsidRDefault="00FB6FCC" w:rsidP="00FB6FCC">
      <w:pPr>
        <w:shd w:val="clear" w:color="auto" w:fill="FFFFFF"/>
        <w:spacing w:after="171"/>
        <w:ind w:left="720" w:hanging="360"/>
        <w:rPr>
          <w:rFonts w:ascii="Arial" w:eastAsia="Times New Roman" w:hAnsi="Arial" w:cs="Arial"/>
          <w:sz w:val="24"/>
          <w:szCs w:val="24"/>
        </w:rPr>
      </w:pPr>
      <w:r w:rsidRPr="004113D3">
        <w:rPr>
          <w:rFonts w:ascii="Arial" w:eastAsia="Times New Roman" w:hAnsi="Arial" w:cs="Arial"/>
          <w:sz w:val="24"/>
          <w:szCs w:val="24"/>
        </w:rPr>
        <w:t>3.</w:t>
      </w:r>
      <w:r w:rsidRPr="004113D3">
        <w:rPr>
          <w:rFonts w:ascii="Arial" w:eastAsia="Times New Roman" w:hAnsi="Arial" w:cs="Arial"/>
          <w:sz w:val="24"/>
          <w:szCs w:val="24"/>
        </w:rPr>
        <w:tab/>
      </w:r>
      <w:r w:rsidR="004113D3" w:rsidRPr="00FB6FCC">
        <w:rPr>
          <w:rFonts w:ascii="Arial" w:eastAsia="Calibri" w:hAnsi="Arial" w:cs="Arial"/>
          <w:sz w:val="24"/>
          <w:szCs w:val="24"/>
        </w:rPr>
        <w:t xml:space="preserve">The matter is regarded as </w:t>
      </w:r>
      <w:proofErr w:type="spellStart"/>
      <w:r w:rsidR="004113D3" w:rsidRPr="00FB6FCC">
        <w:rPr>
          <w:rFonts w:ascii="Arial" w:eastAsia="Calibri" w:hAnsi="Arial" w:cs="Arial"/>
          <w:sz w:val="24"/>
          <w:szCs w:val="24"/>
        </w:rPr>
        <w:t>finalised</w:t>
      </w:r>
      <w:proofErr w:type="spellEnd"/>
      <w:r w:rsidR="004113D3" w:rsidRPr="00FB6FCC">
        <w:rPr>
          <w:rFonts w:ascii="Arial" w:eastAsia="Calibri" w:hAnsi="Arial" w:cs="Arial"/>
          <w:sz w:val="24"/>
          <w:szCs w:val="24"/>
        </w:rPr>
        <w:t xml:space="preserve"> and removed from the roll. </w:t>
      </w:r>
    </w:p>
    <w:p w14:paraId="6A186E11" w14:textId="77777777" w:rsidR="00770C17" w:rsidRPr="004113D3" w:rsidRDefault="00770C17" w:rsidP="00770C17">
      <w:pPr>
        <w:pStyle w:val="ListParagraph"/>
        <w:shd w:val="clear" w:color="auto" w:fill="FFFFFF"/>
        <w:spacing w:after="171" w:line="360" w:lineRule="auto"/>
        <w:rPr>
          <w:rFonts w:ascii="Arial" w:eastAsia="Times New Roman" w:hAnsi="Arial" w:cs="Arial"/>
          <w:sz w:val="24"/>
          <w:szCs w:val="24"/>
        </w:rPr>
      </w:pPr>
    </w:p>
    <w:p w14:paraId="4643665B" w14:textId="77777777" w:rsidR="00770C17" w:rsidRPr="004113D3" w:rsidRDefault="00770C17" w:rsidP="00770C17">
      <w:pPr>
        <w:shd w:val="clear" w:color="auto" w:fill="FFFFFF"/>
        <w:spacing w:after="171"/>
        <w:rPr>
          <w:rFonts w:ascii="Arial" w:eastAsia="Times New Roman" w:hAnsi="Arial" w:cs="Arial"/>
          <w:sz w:val="24"/>
          <w:szCs w:val="24"/>
        </w:rPr>
      </w:pPr>
    </w:p>
    <w:p w14:paraId="22BA8548" w14:textId="77777777" w:rsidR="00770C17" w:rsidRPr="004113D3" w:rsidRDefault="00770C17" w:rsidP="00770C17">
      <w:pPr>
        <w:shd w:val="clear" w:color="auto" w:fill="FFFFFF"/>
        <w:spacing w:after="171"/>
        <w:ind w:left="5760"/>
        <w:rPr>
          <w:rFonts w:ascii="Arial" w:eastAsia="Times New Roman" w:hAnsi="Arial" w:cs="Arial"/>
          <w:sz w:val="24"/>
          <w:szCs w:val="24"/>
        </w:rPr>
      </w:pPr>
      <w:r w:rsidRPr="004113D3">
        <w:rPr>
          <w:rFonts w:ascii="Arial" w:eastAsia="Times New Roman" w:hAnsi="Arial" w:cs="Arial"/>
          <w:sz w:val="24"/>
          <w:szCs w:val="24"/>
        </w:rPr>
        <w:t>__________________________</w:t>
      </w:r>
    </w:p>
    <w:p w14:paraId="6897D4EC" w14:textId="77777777" w:rsidR="00770C17" w:rsidRPr="004113D3" w:rsidRDefault="00770C17" w:rsidP="00F24B3A">
      <w:pPr>
        <w:shd w:val="clear" w:color="auto" w:fill="FFFFFF"/>
        <w:spacing w:after="171" w:line="276" w:lineRule="auto"/>
        <w:ind w:left="5760"/>
        <w:rPr>
          <w:rFonts w:ascii="Arial" w:eastAsia="Times New Roman" w:hAnsi="Arial" w:cs="Arial"/>
          <w:sz w:val="24"/>
          <w:szCs w:val="24"/>
        </w:rPr>
      </w:pPr>
      <w:r w:rsidRPr="004113D3">
        <w:rPr>
          <w:rFonts w:ascii="Arial" w:eastAsia="Times New Roman" w:hAnsi="Arial" w:cs="Arial"/>
          <w:sz w:val="24"/>
          <w:szCs w:val="24"/>
        </w:rPr>
        <w:t>JS Prinsloo</w:t>
      </w:r>
    </w:p>
    <w:p w14:paraId="23D063A9" w14:textId="77777777" w:rsidR="00770C17" w:rsidRPr="004113D3" w:rsidRDefault="00770C17" w:rsidP="00F24B3A">
      <w:pPr>
        <w:shd w:val="clear" w:color="auto" w:fill="FFFFFF"/>
        <w:spacing w:after="171" w:line="276" w:lineRule="auto"/>
        <w:ind w:left="5760"/>
        <w:rPr>
          <w:rFonts w:ascii="Arial" w:eastAsia="Times New Roman" w:hAnsi="Arial" w:cs="Arial"/>
          <w:sz w:val="24"/>
          <w:szCs w:val="24"/>
        </w:rPr>
      </w:pPr>
      <w:r w:rsidRPr="004113D3">
        <w:rPr>
          <w:rFonts w:ascii="Arial" w:eastAsia="Times New Roman" w:hAnsi="Arial" w:cs="Arial"/>
          <w:sz w:val="24"/>
          <w:szCs w:val="24"/>
        </w:rPr>
        <w:t>Judge</w:t>
      </w:r>
    </w:p>
    <w:p w14:paraId="0C8C22E3" w14:textId="77777777" w:rsidR="003350E6" w:rsidRPr="004113D3" w:rsidRDefault="003350E6" w:rsidP="00770C17">
      <w:pPr>
        <w:shd w:val="clear" w:color="auto" w:fill="FFFFFF"/>
        <w:spacing w:after="171"/>
        <w:ind w:left="5760"/>
        <w:rPr>
          <w:rFonts w:ascii="Arial" w:eastAsia="Times New Roman" w:hAnsi="Arial" w:cs="Arial"/>
          <w:sz w:val="24"/>
          <w:szCs w:val="24"/>
        </w:rPr>
      </w:pPr>
    </w:p>
    <w:p w14:paraId="772325CB" w14:textId="77777777" w:rsidR="003350E6" w:rsidRPr="004113D3" w:rsidRDefault="003350E6" w:rsidP="00770C17">
      <w:pPr>
        <w:shd w:val="clear" w:color="auto" w:fill="FFFFFF"/>
        <w:spacing w:after="171"/>
        <w:ind w:left="5760"/>
        <w:rPr>
          <w:rFonts w:ascii="Arial" w:eastAsia="Times New Roman" w:hAnsi="Arial" w:cs="Arial"/>
          <w:sz w:val="24"/>
          <w:szCs w:val="24"/>
        </w:rPr>
      </w:pPr>
    </w:p>
    <w:p w14:paraId="1A6DD9F4" w14:textId="77777777" w:rsidR="003350E6" w:rsidRPr="004113D3" w:rsidRDefault="003350E6" w:rsidP="003350E6">
      <w:pPr>
        <w:shd w:val="clear" w:color="auto" w:fill="FFFFFF"/>
        <w:spacing w:after="171"/>
        <w:rPr>
          <w:rFonts w:ascii="Arial" w:eastAsia="Times New Roman" w:hAnsi="Arial" w:cs="Arial"/>
          <w:sz w:val="24"/>
          <w:szCs w:val="24"/>
        </w:rPr>
      </w:pPr>
    </w:p>
    <w:p w14:paraId="034F2D34" w14:textId="77777777" w:rsidR="006C17A5" w:rsidRPr="004113D3" w:rsidRDefault="006C17A5" w:rsidP="003350E6">
      <w:pPr>
        <w:shd w:val="clear" w:color="auto" w:fill="FFFFFF"/>
        <w:spacing w:after="171"/>
        <w:rPr>
          <w:rFonts w:ascii="Arial" w:eastAsia="Times New Roman" w:hAnsi="Arial" w:cs="Arial"/>
          <w:sz w:val="24"/>
          <w:szCs w:val="24"/>
        </w:rPr>
      </w:pPr>
    </w:p>
    <w:p w14:paraId="0F85C2EA" w14:textId="77777777" w:rsidR="006C17A5" w:rsidRDefault="006C17A5" w:rsidP="003350E6">
      <w:pPr>
        <w:shd w:val="clear" w:color="auto" w:fill="FFFFFF"/>
        <w:spacing w:after="171"/>
        <w:rPr>
          <w:rFonts w:ascii="Arial" w:eastAsia="Times New Roman" w:hAnsi="Arial" w:cs="Arial"/>
          <w:sz w:val="24"/>
          <w:szCs w:val="24"/>
        </w:rPr>
      </w:pPr>
    </w:p>
    <w:p w14:paraId="19934622" w14:textId="77777777" w:rsidR="004113D3" w:rsidRDefault="004113D3" w:rsidP="003350E6">
      <w:pPr>
        <w:shd w:val="clear" w:color="auto" w:fill="FFFFFF"/>
        <w:spacing w:after="171"/>
        <w:rPr>
          <w:rFonts w:ascii="Arial" w:eastAsia="Times New Roman" w:hAnsi="Arial" w:cs="Arial"/>
          <w:sz w:val="24"/>
          <w:szCs w:val="24"/>
        </w:rPr>
      </w:pPr>
    </w:p>
    <w:p w14:paraId="41F63688" w14:textId="77777777" w:rsidR="004113D3" w:rsidRDefault="004113D3" w:rsidP="003350E6">
      <w:pPr>
        <w:shd w:val="clear" w:color="auto" w:fill="FFFFFF"/>
        <w:spacing w:after="171"/>
        <w:rPr>
          <w:rFonts w:ascii="Arial" w:eastAsia="Times New Roman" w:hAnsi="Arial" w:cs="Arial"/>
          <w:sz w:val="24"/>
          <w:szCs w:val="24"/>
        </w:rPr>
      </w:pPr>
    </w:p>
    <w:p w14:paraId="1D96D161" w14:textId="77777777" w:rsidR="004113D3" w:rsidRDefault="004113D3" w:rsidP="003350E6">
      <w:pPr>
        <w:shd w:val="clear" w:color="auto" w:fill="FFFFFF"/>
        <w:spacing w:after="171"/>
        <w:rPr>
          <w:rFonts w:ascii="Arial" w:eastAsia="Times New Roman" w:hAnsi="Arial" w:cs="Arial"/>
          <w:sz w:val="24"/>
          <w:szCs w:val="24"/>
        </w:rPr>
      </w:pPr>
    </w:p>
    <w:p w14:paraId="3DEB4523" w14:textId="77777777" w:rsidR="004113D3" w:rsidRDefault="004113D3" w:rsidP="003350E6">
      <w:pPr>
        <w:shd w:val="clear" w:color="auto" w:fill="FFFFFF"/>
        <w:spacing w:after="171"/>
        <w:rPr>
          <w:rFonts w:ascii="Arial" w:eastAsia="Times New Roman" w:hAnsi="Arial" w:cs="Arial"/>
          <w:sz w:val="24"/>
          <w:szCs w:val="24"/>
        </w:rPr>
      </w:pPr>
    </w:p>
    <w:p w14:paraId="05C833D3" w14:textId="77777777" w:rsidR="004113D3" w:rsidRDefault="004113D3" w:rsidP="003350E6">
      <w:pPr>
        <w:shd w:val="clear" w:color="auto" w:fill="FFFFFF"/>
        <w:spacing w:after="171"/>
        <w:rPr>
          <w:rFonts w:ascii="Arial" w:eastAsia="Times New Roman" w:hAnsi="Arial" w:cs="Arial"/>
          <w:sz w:val="24"/>
          <w:szCs w:val="24"/>
        </w:rPr>
      </w:pPr>
    </w:p>
    <w:p w14:paraId="6C78CC8A" w14:textId="77777777" w:rsidR="004113D3" w:rsidRDefault="004113D3" w:rsidP="003350E6">
      <w:pPr>
        <w:shd w:val="clear" w:color="auto" w:fill="FFFFFF"/>
        <w:spacing w:after="171"/>
        <w:rPr>
          <w:rFonts w:ascii="Arial" w:eastAsia="Times New Roman" w:hAnsi="Arial" w:cs="Arial"/>
          <w:sz w:val="24"/>
          <w:szCs w:val="24"/>
        </w:rPr>
      </w:pPr>
    </w:p>
    <w:p w14:paraId="714BAE62" w14:textId="77777777" w:rsidR="004113D3" w:rsidRDefault="004113D3" w:rsidP="003350E6">
      <w:pPr>
        <w:shd w:val="clear" w:color="auto" w:fill="FFFFFF"/>
        <w:spacing w:after="171"/>
        <w:rPr>
          <w:rFonts w:ascii="Arial" w:eastAsia="Times New Roman" w:hAnsi="Arial" w:cs="Arial"/>
          <w:sz w:val="24"/>
          <w:szCs w:val="24"/>
        </w:rPr>
      </w:pPr>
    </w:p>
    <w:p w14:paraId="7F6DE74D" w14:textId="77777777" w:rsidR="004113D3" w:rsidRDefault="004113D3" w:rsidP="003350E6">
      <w:pPr>
        <w:shd w:val="clear" w:color="auto" w:fill="FFFFFF"/>
        <w:spacing w:after="171"/>
        <w:rPr>
          <w:rFonts w:ascii="Arial" w:eastAsia="Times New Roman" w:hAnsi="Arial" w:cs="Arial"/>
          <w:sz w:val="24"/>
          <w:szCs w:val="24"/>
        </w:rPr>
      </w:pPr>
    </w:p>
    <w:p w14:paraId="364F5EFF" w14:textId="77777777" w:rsidR="004113D3" w:rsidRDefault="004113D3" w:rsidP="003350E6">
      <w:pPr>
        <w:shd w:val="clear" w:color="auto" w:fill="FFFFFF"/>
        <w:spacing w:after="171"/>
        <w:rPr>
          <w:rFonts w:ascii="Arial" w:eastAsia="Times New Roman" w:hAnsi="Arial" w:cs="Arial"/>
          <w:sz w:val="24"/>
          <w:szCs w:val="24"/>
        </w:rPr>
      </w:pPr>
    </w:p>
    <w:p w14:paraId="1DFC3761" w14:textId="77777777" w:rsidR="004113D3" w:rsidRDefault="004113D3" w:rsidP="003350E6">
      <w:pPr>
        <w:shd w:val="clear" w:color="auto" w:fill="FFFFFF"/>
        <w:spacing w:after="171"/>
        <w:rPr>
          <w:rFonts w:ascii="Arial" w:eastAsia="Times New Roman" w:hAnsi="Arial" w:cs="Arial"/>
          <w:sz w:val="24"/>
          <w:szCs w:val="24"/>
        </w:rPr>
      </w:pPr>
    </w:p>
    <w:p w14:paraId="6FE53670" w14:textId="77777777" w:rsidR="00587E2F" w:rsidRPr="004113D3" w:rsidRDefault="00587E2F" w:rsidP="003350E6">
      <w:pPr>
        <w:pStyle w:val="ListParagraph"/>
        <w:ind w:left="0"/>
        <w:rPr>
          <w:rFonts w:ascii="Arial" w:hAnsi="Arial" w:cs="Arial"/>
          <w:sz w:val="24"/>
          <w:szCs w:val="24"/>
          <w:shd w:val="clear" w:color="auto" w:fill="FFFFFF"/>
        </w:rPr>
      </w:pPr>
    </w:p>
    <w:p w14:paraId="47665B5A" w14:textId="77777777" w:rsidR="003350E6" w:rsidRPr="004113D3" w:rsidRDefault="003350E6" w:rsidP="003350E6">
      <w:pPr>
        <w:pStyle w:val="ListParagraph"/>
        <w:ind w:left="0"/>
        <w:rPr>
          <w:rFonts w:ascii="Arial" w:hAnsi="Arial" w:cs="Arial"/>
          <w:sz w:val="24"/>
          <w:szCs w:val="24"/>
          <w:shd w:val="clear" w:color="auto" w:fill="FFFFFF"/>
        </w:rPr>
      </w:pPr>
      <w:r w:rsidRPr="004113D3">
        <w:rPr>
          <w:rFonts w:ascii="Arial" w:hAnsi="Arial" w:cs="Arial"/>
          <w:sz w:val="24"/>
          <w:szCs w:val="24"/>
          <w:shd w:val="clear" w:color="auto" w:fill="FFFFFF"/>
        </w:rPr>
        <w:t>APPEARANCES</w:t>
      </w:r>
      <w:r w:rsidR="006C17A5" w:rsidRPr="004113D3">
        <w:rPr>
          <w:rFonts w:ascii="Arial" w:hAnsi="Arial" w:cs="Arial"/>
          <w:sz w:val="24"/>
          <w:szCs w:val="24"/>
          <w:shd w:val="clear" w:color="auto" w:fill="FFFFFF"/>
        </w:rPr>
        <w:t>:</w:t>
      </w:r>
    </w:p>
    <w:p w14:paraId="3CCB5E7E" w14:textId="77777777" w:rsidR="003350E6" w:rsidRPr="004113D3" w:rsidRDefault="003350E6" w:rsidP="003350E6">
      <w:pPr>
        <w:pStyle w:val="ListParagraph"/>
        <w:ind w:left="0"/>
        <w:rPr>
          <w:rFonts w:ascii="Arial" w:hAnsi="Arial" w:cs="Arial"/>
          <w:sz w:val="24"/>
          <w:szCs w:val="24"/>
          <w:shd w:val="clear" w:color="auto" w:fill="FFFFFF"/>
        </w:rPr>
      </w:pPr>
    </w:p>
    <w:p w14:paraId="60F4D699" w14:textId="77777777" w:rsidR="003350E6" w:rsidRPr="004113D3" w:rsidRDefault="003350E6" w:rsidP="003350E6">
      <w:pPr>
        <w:pStyle w:val="ListParagraph"/>
        <w:spacing w:line="360" w:lineRule="auto"/>
        <w:ind w:left="0"/>
        <w:rPr>
          <w:rFonts w:ascii="Arial" w:hAnsi="Arial" w:cs="Arial"/>
          <w:sz w:val="24"/>
          <w:szCs w:val="24"/>
          <w:shd w:val="clear" w:color="auto" w:fill="FFFFFF"/>
        </w:rPr>
      </w:pPr>
      <w:r w:rsidRPr="004113D3">
        <w:rPr>
          <w:rFonts w:ascii="Arial" w:hAnsi="Arial" w:cs="Arial"/>
          <w:sz w:val="24"/>
          <w:szCs w:val="24"/>
          <w:shd w:val="clear" w:color="auto" w:fill="FFFFFF"/>
        </w:rPr>
        <w:t xml:space="preserve">PLAINTIFFS: </w:t>
      </w:r>
      <w:r w:rsidRPr="004113D3">
        <w:rPr>
          <w:rFonts w:ascii="Arial" w:hAnsi="Arial" w:cs="Arial"/>
          <w:sz w:val="24"/>
          <w:szCs w:val="24"/>
          <w:shd w:val="clear" w:color="auto" w:fill="FFFFFF"/>
        </w:rPr>
        <w:tab/>
      </w:r>
      <w:r w:rsidRPr="004113D3">
        <w:rPr>
          <w:rFonts w:ascii="Arial" w:hAnsi="Arial" w:cs="Arial"/>
          <w:sz w:val="24"/>
          <w:szCs w:val="24"/>
          <w:shd w:val="clear" w:color="auto" w:fill="FFFFFF"/>
        </w:rPr>
        <w:tab/>
      </w:r>
      <w:r w:rsidRPr="004113D3">
        <w:rPr>
          <w:rFonts w:ascii="Arial" w:hAnsi="Arial" w:cs="Arial"/>
          <w:sz w:val="24"/>
          <w:szCs w:val="24"/>
          <w:shd w:val="clear" w:color="auto" w:fill="FFFFFF"/>
        </w:rPr>
        <w:tab/>
      </w:r>
      <w:r w:rsidRPr="004113D3">
        <w:rPr>
          <w:rFonts w:ascii="Arial" w:hAnsi="Arial" w:cs="Arial"/>
          <w:sz w:val="24"/>
          <w:szCs w:val="24"/>
          <w:shd w:val="clear" w:color="auto" w:fill="FFFFFF"/>
        </w:rPr>
        <w:tab/>
      </w:r>
      <w:r w:rsidRPr="004113D3">
        <w:rPr>
          <w:rFonts w:ascii="Arial" w:hAnsi="Arial" w:cs="Arial"/>
          <w:sz w:val="24"/>
          <w:szCs w:val="24"/>
          <w:shd w:val="clear" w:color="auto" w:fill="FFFFFF"/>
        </w:rPr>
        <w:tab/>
        <w:t xml:space="preserve">T </w:t>
      </w:r>
      <w:proofErr w:type="spellStart"/>
      <w:r w:rsidRPr="004113D3">
        <w:rPr>
          <w:rFonts w:ascii="Arial" w:hAnsi="Arial" w:cs="Arial"/>
          <w:sz w:val="24"/>
          <w:szCs w:val="24"/>
          <w:shd w:val="clear" w:color="auto" w:fill="FFFFFF"/>
        </w:rPr>
        <w:t>Chibwana</w:t>
      </w:r>
      <w:proofErr w:type="spellEnd"/>
      <w:r w:rsidRPr="004113D3">
        <w:rPr>
          <w:rFonts w:ascii="Arial" w:hAnsi="Arial" w:cs="Arial"/>
          <w:sz w:val="24"/>
          <w:szCs w:val="24"/>
          <w:shd w:val="clear" w:color="auto" w:fill="FFFFFF"/>
        </w:rPr>
        <w:t xml:space="preserve"> </w:t>
      </w:r>
    </w:p>
    <w:p w14:paraId="2BD988B8" w14:textId="77777777" w:rsidR="003350E6" w:rsidRPr="004113D3" w:rsidRDefault="006C17A5" w:rsidP="003350E6">
      <w:pPr>
        <w:pStyle w:val="ListParagraph"/>
        <w:spacing w:line="360" w:lineRule="auto"/>
        <w:ind w:left="0"/>
        <w:rPr>
          <w:rFonts w:ascii="Arial" w:hAnsi="Arial" w:cs="Arial"/>
          <w:sz w:val="24"/>
          <w:szCs w:val="24"/>
          <w:shd w:val="clear" w:color="auto" w:fill="FFFFFF"/>
        </w:rPr>
      </w:pPr>
      <w:r w:rsidRPr="004113D3">
        <w:rPr>
          <w:rFonts w:ascii="Arial" w:hAnsi="Arial" w:cs="Arial"/>
          <w:sz w:val="24"/>
          <w:szCs w:val="24"/>
          <w:shd w:val="clear" w:color="auto" w:fill="FFFFFF"/>
        </w:rPr>
        <w:tab/>
      </w:r>
      <w:r w:rsidRPr="004113D3">
        <w:rPr>
          <w:rFonts w:ascii="Arial" w:hAnsi="Arial" w:cs="Arial"/>
          <w:sz w:val="24"/>
          <w:szCs w:val="24"/>
          <w:shd w:val="clear" w:color="auto" w:fill="FFFFFF"/>
        </w:rPr>
        <w:tab/>
      </w:r>
      <w:r w:rsidRPr="004113D3">
        <w:rPr>
          <w:rFonts w:ascii="Arial" w:hAnsi="Arial" w:cs="Arial"/>
          <w:sz w:val="24"/>
          <w:szCs w:val="24"/>
          <w:shd w:val="clear" w:color="auto" w:fill="FFFFFF"/>
        </w:rPr>
        <w:tab/>
      </w:r>
      <w:r w:rsidRPr="004113D3">
        <w:rPr>
          <w:rFonts w:ascii="Arial" w:hAnsi="Arial" w:cs="Arial"/>
          <w:sz w:val="24"/>
          <w:szCs w:val="24"/>
          <w:shd w:val="clear" w:color="auto" w:fill="FFFFFF"/>
        </w:rPr>
        <w:tab/>
      </w:r>
      <w:r w:rsidRPr="004113D3">
        <w:rPr>
          <w:rFonts w:ascii="Arial" w:hAnsi="Arial" w:cs="Arial"/>
          <w:sz w:val="24"/>
          <w:szCs w:val="24"/>
          <w:shd w:val="clear" w:color="auto" w:fill="FFFFFF"/>
        </w:rPr>
        <w:tab/>
      </w:r>
      <w:r w:rsidRPr="004113D3">
        <w:rPr>
          <w:rFonts w:ascii="Arial" w:hAnsi="Arial" w:cs="Arial"/>
          <w:sz w:val="24"/>
          <w:szCs w:val="24"/>
          <w:shd w:val="clear" w:color="auto" w:fill="FFFFFF"/>
        </w:rPr>
        <w:tab/>
      </w:r>
      <w:r w:rsidRPr="004113D3">
        <w:rPr>
          <w:rFonts w:ascii="Arial" w:hAnsi="Arial" w:cs="Arial"/>
          <w:sz w:val="24"/>
          <w:szCs w:val="24"/>
          <w:shd w:val="clear" w:color="auto" w:fill="FFFFFF"/>
        </w:rPr>
        <w:tab/>
        <w:t>Instructed by</w:t>
      </w:r>
    </w:p>
    <w:p w14:paraId="535ECC37" w14:textId="77777777" w:rsidR="003350E6" w:rsidRPr="004113D3" w:rsidRDefault="003350E6" w:rsidP="003350E6">
      <w:pPr>
        <w:pStyle w:val="ListParagraph"/>
        <w:spacing w:line="360" w:lineRule="auto"/>
        <w:ind w:left="0"/>
        <w:rPr>
          <w:rFonts w:ascii="Arial" w:hAnsi="Arial" w:cs="Arial"/>
          <w:sz w:val="24"/>
          <w:szCs w:val="24"/>
        </w:rPr>
      </w:pPr>
      <w:r w:rsidRPr="004113D3">
        <w:rPr>
          <w:rFonts w:ascii="Arial" w:hAnsi="Arial" w:cs="Arial"/>
          <w:sz w:val="24"/>
          <w:szCs w:val="24"/>
          <w:shd w:val="clear" w:color="auto" w:fill="FFFFFF"/>
        </w:rPr>
        <w:tab/>
      </w:r>
      <w:r w:rsidRPr="004113D3">
        <w:rPr>
          <w:rFonts w:ascii="Arial" w:hAnsi="Arial" w:cs="Arial"/>
          <w:sz w:val="24"/>
          <w:szCs w:val="24"/>
          <w:shd w:val="clear" w:color="auto" w:fill="FFFFFF"/>
        </w:rPr>
        <w:tab/>
      </w:r>
      <w:r w:rsidRPr="004113D3">
        <w:rPr>
          <w:rFonts w:ascii="Arial" w:hAnsi="Arial" w:cs="Arial"/>
          <w:sz w:val="24"/>
          <w:szCs w:val="24"/>
          <w:shd w:val="clear" w:color="auto" w:fill="FFFFFF"/>
        </w:rPr>
        <w:tab/>
      </w:r>
      <w:r w:rsidRPr="004113D3">
        <w:rPr>
          <w:rFonts w:ascii="Arial" w:hAnsi="Arial" w:cs="Arial"/>
          <w:sz w:val="24"/>
          <w:szCs w:val="24"/>
          <w:shd w:val="clear" w:color="auto" w:fill="FFFFFF"/>
        </w:rPr>
        <w:tab/>
      </w:r>
      <w:r w:rsidRPr="004113D3">
        <w:rPr>
          <w:rFonts w:ascii="Arial" w:hAnsi="Arial" w:cs="Arial"/>
          <w:sz w:val="24"/>
          <w:szCs w:val="24"/>
          <w:shd w:val="clear" w:color="auto" w:fill="FFFFFF"/>
        </w:rPr>
        <w:tab/>
      </w:r>
      <w:r w:rsidRPr="004113D3">
        <w:rPr>
          <w:rFonts w:ascii="Arial" w:hAnsi="Arial" w:cs="Arial"/>
          <w:sz w:val="24"/>
          <w:szCs w:val="24"/>
          <w:shd w:val="clear" w:color="auto" w:fill="FFFFFF"/>
        </w:rPr>
        <w:tab/>
      </w:r>
      <w:r w:rsidRPr="004113D3">
        <w:rPr>
          <w:rFonts w:ascii="Arial" w:hAnsi="Arial" w:cs="Arial"/>
          <w:sz w:val="24"/>
          <w:szCs w:val="24"/>
          <w:shd w:val="clear" w:color="auto" w:fill="FFFFFF"/>
        </w:rPr>
        <w:tab/>
      </w:r>
      <w:proofErr w:type="spellStart"/>
      <w:r w:rsidRPr="004113D3">
        <w:rPr>
          <w:rFonts w:ascii="Arial" w:hAnsi="Arial" w:cs="Arial"/>
          <w:sz w:val="24"/>
          <w:szCs w:val="24"/>
          <w:shd w:val="clear" w:color="auto" w:fill="FFFFFF"/>
        </w:rPr>
        <w:t>Sisa</w:t>
      </w:r>
      <w:proofErr w:type="spellEnd"/>
      <w:r w:rsidRPr="004113D3">
        <w:rPr>
          <w:rFonts w:ascii="Arial" w:hAnsi="Arial" w:cs="Arial"/>
          <w:sz w:val="24"/>
          <w:szCs w:val="24"/>
          <w:shd w:val="clear" w:color="auto" w:fill="FFFFFF"/>
        </w:rPr>
        <w:t xml:space="preserve"> </w:t>
      </w:r>
      <w:proofErr w:type="spellStart"/>
      <w:r w:rsidRPr="004113D3">
        <w:rPr>
          <w:rFonts w:ascii="Arial" w:hAnsi="Arial" w:cs="Arial"/>
          <w:sz w:val="24"/>
          <w:szCs w:val="24"/>
          <w:shd w:val="clear" w:color="auto" w:fill="FFFFFF"/>
        </w:rPr>
        <w:t>Namandje</w:t>
      </w:r>
      <w:proofErr w:type="spellEnd"/>
      <w:r w:rsidRPr="004113D3">
        <w:rPr>
          <w:rFonts w:ascii="Arial" w:hAnsi="Arial" w:cs="Arial"/>
          <w:sz w:val="24"/>
          <w:szCs w:val="24"/>
          <w:shd w:val="clear" w:color="auto" w:fill="FFFFFF"/>
        </w:rPr>
        <w:t xml:space="preserve"> </w:t>
      </w:r>
      <w:r w:rsidRPr="004113D3">
        <w:rPr>
          <w:rFonts w:ascii="Arial" w:hAnsi="Arial" w:cs="Arial"/>
          <w:sz w:val="24"/>
          <w:szCs w:val="24"/>
        </w:rPr>
        <w:t xml:space="preserve">&amp; Co. Inc., Windhoek </w:t>
      </w:r>
    </w:p>
    <w:p w14:paraId="76CD3DDB" w14:textId="77777777" w:rsidR="003350E6" w:rsidRPr="004113D3" w:rsidRDefault="003350E6" w:rsidP="003350E6">
      <w:pPr>
        <w:pStyle w:val="ListParagraph"/>
        <w:spacing w:line="360" w:lineRule="auto"/>
        <w:ind w:left="0"/>
        <w:rPr>
          <w:rFonts w:ascii="Arial" w:hAnsi="Arial" w:cs="Arial"/>
          <w:sz w:val="24"/>
          <w:szCs w:val="24"/>
          <w:shd w:val="clear" w:color="auto" w:fill="FFFFFF"/>
        </w:rPr>
      </w:pPr>
    </w:p>
    <w:p w14:paraId="3ACAFFA2" w14:textId="77777777" w:rsidR="003350E6" w:rsidRPr="004113D3" w:rsidRDefault="003350E6" w:rsidP="003350E6">
      <w:pPr>
        <w:pStyle w:val="ListParagraph"/>
        <w:spacing w:line="360" w:lineRule="auto"/>
        <w:ind w:left="0"/>
        <w:rPr>
          <w:rFonts w:ascii="Arial" w:hAnsi="Arial" w:cs="Arial"/>
          <w:sz w:val="24"/>
          <w:szCs w:val="24"/>
        </w:rPr>
      </w:pPr>
      <w:r w:rsidRPr="004113D3">
        <w:rPr>
          <w:rFonts w:ascii="Arial" w:hAnsi="Arial" w:cs="Arial"/>
          <w:sz w:val="24"/>
          <w:szCs w:val="24"/>
          <w:shd w:val="clear" w:color="auto" w:fill="FFFFFF"/>
        </w:rPr>
        <w:t>DEFENDANTS:</w:t>
      </w:r>
      <w:r w:rsidRPr="004113D3">
        <w:rPr>
          <w:rFonts w:ascii="Arial" w:hAnsi="Arial" w:cs="Arial"/>
          <w:sz w:val="24"/>
          <w:szCs w:val="24"/>
          <w:shd w:val="clear" w:color="auto" w:fill="FFFFFF"/>
        </w:rPr>
        <w:tab/>
      </w:r>
      <w:r w:rsidRPr="004113D3">
        <w:rPr>
          <w:rFonts w:ascii="Arial" w:hAnsi="Arial" w:cs="Arial"/>
          <w:sz w:val="24"/>
          <w:szCs w:val="24"/>
          <w:shd w:val="clear" w:color="auto" w:fill="FFFFFF"/>
        </w:rPr>
        <w:tab/>
      </w:r>
      <w:r w:rsidRPr="004113D3">
        <w:rPr>
          <w:rFonts w:ascii="Arial" w:hAnsi="Arial" w:cs="Arial"/>
          <w:sz w:val="24"/>
          <w:szCs w:val="24"/>
          <w:shd w:val="clear" w:color="auto" w:fill="FFFFFF"/>
        </w:rPr>
        <w:tab/>
      </w:r>
      <w:r w:rsidRPr="004113D3">
        <w:rPr>
          <w:rFonts w:ascii="Arial" w:hAnsi="Arial" w:cs="Arial"/>
          <w:sz w:val="24"/>
          <w:szCs w:val="24"/>
          <w:shd w:val="clear" w:color="auto" w:fill="FFFFFF"/>
        </w:rPr>
        <w:tab/>
      </w:r>
      <w:r w:rsidRPr="004113D3">
        <w:rPr>
          <w:rFonts w:ascii="Arial" w:hAnsi="Arial" w:cs="Arial"/>
          <w:sz w:val="24"/>
          <w:szCs w:val="24"/>
          <w:shd w:val="clear" w:color="auto" w:fill="FFFFFF"/>
        </w:rPr>
        <w:tab/>
      </w:r>
      <w:r w:rsidRPr="004113D3">
        <w:rPr>
          <w:rFonts w:ascii="Arial" w:hAnsi="Arial" w:cs="Arial"/>
          <w:sz w:val="24"/>
          <w:szCs w:val="24"/>
        </w:rPr>
        <w:t xml:space="preserve">L </w:t>
      </w:r>
      <w:proofErr w:type="spellStart"/>
      <w:r w:rsidRPr="004113D3">
        <w:rPr>
          <w:rFonts w:ascii="Arial" w:hAnsi="Arial" w:cs="Arial"/>
          <w:sz w:val="24"/>
          <w:szCs w:val="24"/>
        </w:rPr>
        <w:t>Murorua</w:t>
      </w:r>
      <w:proofErr w:type="spellEnd"/>
      <w:r w:rsidRPr="004113D3">
        <w:rPr>
          <w:rFonts w:ascii="Arial" w:hAnsi="Arial" w:cs="Arial"/>
          <w:sz w:val="24"/>
          <w:szCs w:val="24"/>
        </w:rPr>
        <w:t xml:space="preserve"> </w:t>
      </w:r>
    </w:p>
    <w:p w14:paraId="18BDB41C" w14:textId="77777777" w:rsidR="003350E6" w:rsidRPr="004113D3" w:rsidRDefault="003350E6" w:rsidP="003350E6">
      <w:pPr>
        <w:pStyle w:val="ListParagraph"/>
        <w:spacing w:line="360" w:lineRule="auto"/>
        <w:ind w:left="0"/>
        <w:rPr>
          <w:rFonts w:ascii="Arial" w:hAnsi="Arial" w:cs="Arial"/>
          <w:sz w:val="24"/>
          <w:szCs w:val="24"/>
        </w:rPr>
      </w:pPr>
      <w:r w:rsidRPr="004113D3">
        <w:rPr>
          <w:rFonts w:ascii="Arial" w:hAnsi="Arial" w:cs="Arial"/>
          <w:sz w:val="24"/>
          <w:szCs w:val="24"/>
        </w:rPr>
        <w:tab/>
      </w:r>
      <w:r w:rsidRPr="004113D3">
        <w:rPr>
          <w:rFonts w:ascii="Arial" w:hAnsi="Arial" w:cs="Arial"/>
          <w:sz w:val="24"/>
          <w:szCs w:val="24"/>
        </w:rPr>
        <w:tab/>
      </w:r>
      <w:r w:rsidRPr="004113D3">
        <w:rPr>
          <w:rFonts w:ascii="Arial" w:hAnsi="Arial" w:cs="Arial"/>
          <w:sz w:val="24"/>
          <w:szCs w:val="24"/>
        </w:rPr>
        <w:tab/>
      </w:r>
      <w:r w:rsidRPr="004113D3">
        <w:rPr>
          <w:rFonts w:ascii="Arial" w:hAnsi="Arial" w:cs="Arial"/>
          <w:sz w:val="24"/>
          <w:szCs w:val="24"/>
        </w:rPr>
        <w:tab/>
      </w:r>
      <w:r w:rsidRPr="004113D3">
        <w:rPr>
          <w:rFonts w:ascii="Arial" w:hAnsi="Arial" w:cs="Arial"/>
          <w:sz w:val="24"/>
          <w:szCs w:val="24"/>
        </w:rPr>
        <w:tab/>
      </w:r>
      <w:r w:rsidRPr="004113D3">
        <w:rPr>
          <w:rFonts w:ascii="Arial" w:hAnsi="Arial" w:cs="Arial"/>
          <w:sz w:val="24"/>
          <w:szCs w:val="24"/>
        </w:rPr>
        <w:tab/>
      </w:r>
      <w:r w:rsidRPr="004113D3">
        <w:rPr>
          <w:rFonts w:ascii="Arial" w:hAnsi="Arial" w:cs="Arial"/>
          <w:sz w:val="24"/>
          <w:szCs w:val="24"/>
        </w:rPr>
        <w:tab/>
        <w:t xml:space="preserve">Of </w:t>
      </w:r>
      <w:proofErr w:type="spellStart"/>
      <w:r w:rsidRPr="004113D3">
        <w:rPr>
          <w:rFonts w:ascii="Arial" w:hAnsi="Arial" w:cs="Arial"/>
          <w:sz w:val="24"/>
          <w:szCs w:val="24"/>
        </w:rPr>
        <w:t>Murorua</w:t>
      </w:r>
      <w:proofErr w:type="spellEnd"/>
      <w:r w:rsidRPr="004113D3">
        <w:rPr>
          <w:rFonts w:ascii="Arial" w:hAnsi="Arial" w:cs="Arial"/>
          <w:sz w:val="24"/>
          <w:szCs w:val="24"/>
        </w:rPr>
        <w:t xml:space="preserve"> Kurtz Kasper Incorporated</w:t>
      </w:r>
    </w:p>
    <w:p w14:paraId="40B349DF" w14:textId="77777777" w:rsidR="003350E6" w:rsidRPr="004113D3" w:rsidRDefault="003350E6" w:rsidP="003350E6">
      <w:pPr>
        <w:pStyle w:val="ListParagraph"/>
        <w:spacing w:line="360" w:lineRule="auto"/>
        <w:ind w:left="0"/>
        <w:rPr>
          <w:rFonts w:ascii="Arial" w:hAnsi="Arial" w:cs="Arial"/>
          <w:sz w:val="24"/>
          <w:szCs w:val="24"/>
          <w:shd w:val="clear" w:color="auto" w:fill="FFFFFF"/>
        </w:rPr>
      </w:pPr>
      <w:r w:rsidRPr="004113D3">
        <w:rPr>
          <w:rFonts w:ascii="Arial" w:hAnsi="Arial" w:cs="Arial"/>
          <w:sz w:val="24"/>
          <w:szCs w:val="24"/>
        </w:rPr>
        <w:tab/>
      </w:r>
      <w:r w:rsidRPr="004113D3">
        <w:rPr>
          <w:rFonts w:ascii="Arial" w:hAnsi="Arial" w:cs="Arial"/>
          <w:sz w:val="24"/>
          <w:szCs w:val="24"/>
        </w:rPr>
        <w:tab/>
      </w:r>
      <w:r w:rsidRPr="004113D3">
        <w:rPr>
          <w:rFonts w:ascii="Arial" w:hAnsi="Arial" w:cs="Arial"/>
          <w:sz w:val="24"/>
          <w:szCs w:val="24"/>
        </w:rPr>
        <w:tab/>
      </w:r>
      <w:r w:rsidRPr="004113D3">
        <w:rPr>
          <w:rFonts w:ascii="Arial" w:hAnsi="Arial" w:cs="Arial"/>
          <w:sz w:val="24"/>
          <w:szCs w:val="24"/>
        </w:rPr>
        <w:tab/>
      </w:r>
      <w:r w:rsidRPr="004113D3">
        <w:rPr>
          <w:rFonts w:ascii="Arial" w:hAnsi="Arial" w:cs="Arial"/>
          <w:sz w:val="24"/>
          <w:szCs w:val="24"/>
        </w:rPr>
        <w:tab/>
      </w:r>
      <w:r w:rsidRPr="004113D3">
        <w:rPr>
          <w:rFonts w:ascii="Arial" w:hAnsi="Arial" w:cs="Arial"/>
          <w:sz w:val="24"/>
          <w:szCs w:val="24"/>
        </w:rPr>
        <w:tab/>
      </w:r>
      <w:r w:rsidRPr="004113D3">
        <w:rPr>
          <w:rFonts w:ascii="Arial" w:hAnsi="Arial" w:cs="Arial"/>
          <w:sz w:val="24"/>
          <w:szCs w:val="24"/>
        </w:rPr>
        <w:tab/>
        <w:t xml:space="preserve">Windhoek </w:t>
      </w:r>
    </w:p>
    <w:p w14:paraId="3925D697" w14:textId="77777777" w:rsidR="002F2B52" w:rsidRPr="004113D3" w:rsidRDefault="002F2B52" w:rsidP="002F2B52">
      <w:pPr>
        <w:pStyle w:val="ListParagraph"/>
        <w:shd w:val="clear" w:color="auto" w:fill="FFFFFF"/>
        <w:spacing w:after="171" w:line="360" w:lineRule="auto"/>
        <w:ind w:left="0"/>
        <w:rPr>
          <w:rFonts w:ascii="Arial" w:eastAsia="Times New Roman" w:hAnsi="Arial" w:cs="Arial"/>
          <w:sz w:val="24"/>
          <w:szCs w:val="24"/>
        </w:rPr>
      </w:pPr>
    </w:p>
    <w:sectPr w:rsidR="002F2B52" w:rsidRPr="004113D3" w:rsidSect="008B1AC6">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4475" w14:textId="77777777" w:rsidR="00547A97" w:rsidRDefault="00547A97" w:rsidP="000B3B37">
      <w:pPr>
        <w:spacing w:line="240" w:lineRule="auto"/>
      </w:pPr>
      <w:r>
        <w:separator/>
      </w:r>
    </w:p>
  </w:endnote>
  <w:endnote w:type="continuationSeparator" w:id="0">
    <w:p w14:paraId="1E447E17" w14:textId="77777777" w:rsidR="00547A97" w:rsidRDefault="00547A97" w:rsidP="000B3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9054" w14:textId="77777777" w:rsidR="00547A97" w:rsidRDefault="00547A97" w:rsidP="000B3B37">
      <w:pPr>
        <w:spacing w:line="240" w:lineRule="auto"/>
      </w:pPr>
      <w:r>
        <w:separator/>
      </w:r>
    </w:p>
  </w:footnote>
  <w:footnote w:type="continuationSeparator" w:id="0">
    <w:p w14:paraId="7425EB28" w14:textId="77777777" w:rsidR="00547A97" w:rsidRDefault="00547A97" w:rsidP="000B3B37">
      <w:pPr>
        <w:spacing w:line="240" w:lineRule="auto"/>
      </w:pPr>
      <w:r>
        <w:continuationSeparator/>
      </w:r>
    </w:p>
  </w:footnote>
  <w:footnote w:id="1">
    <w:p w14:paraId="46A50351" w14:textId="77777777" w:rsidR="004113D3" w:rsidRPr="000B3B37" w:rsidRDefault="004113D3" w:rsidP="000B3B37">
      <w:pPr>
        <w:pStyle w:val="ListParagraph"/>
        <w:spacing w:after="0" w:line="360" w:lineRule="auto"/>
        <w:ind w:left="0"/>
        <w:rPr>
          <w:rFonts w:ascii="Arial" w:eastAsia="Calibri" w:hAnsi="Arial" w:cs="Arial"/>
          <w:sz w:val="20"/>
          <w:szCs w:val="20"/>
        </w:rPr>
      </w:pPr>
      <w:r>
        <w:rPr>
          <w:rStyle w:val="FootnoteReference"/>
        </w:rPr>
        <w:footnoteRef/>
      </w:r>
      <w:r>
        <w:t xml:space="preserve"> </w:t>
      </w:r>
      <w:proofErr w:type="spellStart"/>
      <w:r w:rsidRPr="000B3B37">
        <w:rPr>
          <w:rFonts w:ascii="Arial" w:eastAsia="Calibri" w:hAnsi="Arial" w:cs="Arial"/>
          <w:i/>
          <w:sz w:val="20"/>
          <w:szCs w:val="20"/>
        </w:rPr>
        <w:t>Nirwana</w:t>
      </w:r>
      <w:proofErr w:type="spellEnd"/>
      <w:r w:rsidRPr="000B3B37">
        <w:rPr>
          <w:rFonts w:ascii="Arial" w:eastAsia="Calibri" w:hAnsi="Arial" w:cs="Arial"/>
          <w:i/>
          <w:sz w:val="20"/>
          <w:szCs w:val="20"/>
        </w:rPr>
        <w:t xml:space="preserve"> Trading Enterprises CC v </w:t>
      </w:r>
      <w:proofErr w:type="spellStart"/>
      <w:r w:rsidRPr="000B3B37">
        <w:rPr>
          <w:rFonts w:ascii="Arial" w:eastAsia="Calibri" w:hAnsi="Arial" w:cs="Arial"/>
          <w:i/>
          <w:sz w:val="20"/>
          <w:szCs w:val="20"/>
        </w:rPr>
        <w:t>Murorua</w:t>
      </w:r>
      <w:proofErr w:type="spellEnd"/>
      <w:r w:rsidRPr="000B3B37">
        <w:rPr>
          <w:rFonts w:ascii="Arial" w:eastAsia="Calibri" w:hAnsi="Arial" w:cs="Arial"/>
          <w:i/>
          <w:sz w:val="20"/>
          <w:szCs w:val="20"/>
        </w:rPr>
        <w:t xml:space="preserve"> </w:t>
      </w:r>
      <w:r w:rsidRPr="000B3B37">
        <w:rPr>
          <w:rFonts w:ascii="Arial" w:eastAsia="Calibri" w:hAnsi="Arial" w:cs="Arial"/>
          <w:sz w:val="20"/>
          <w:szCs w:val="20"/>
        </w:rPr>
        <w:t>(HC-MD-CIV-ACT-OTH-2022/01067) [2022] NAHCMD 584 (24 October 2022)</w:t>
      </w:r>
      <w:r>
        <w:rPr>
          <w:rFonts w:ascii="Arial" w:eastAsia="Calibri" w:hAnsi="Arial" w:cs="Arial"/>
          <w:sz w:val="20"/>
          <w:szCs w:val="20"/>
        </w:rPr>
        <w:t>.</w:t>
      </w:r>
    </w:p>
    <w:p w14:paraId="437D2353" w14:textId="77777777" w:rsidR="004113D3" w:rsidRPr="000B3B37" w:rsidRDefault="004113D3">
      <w:pPr>
        <w:pStyle w:val="FootnoteText"/>
        <w:rPr>
          <w:lang w:val="en-ZA"/>
        </w:rPr>
      </w:pPr>
    </w:p>
  </w:footnote>
  <w:footnote w:id="2">
    <w:p w14:paraId="32C10C62" w14:textId="77777777" w:rsidR="004113D3" w:rsidRPr="00131E25" w:rsidRDefault="004113D3">
      <w:pPr>
        <w:pStyle w:val="FootnoteText"/>
        <w:rPr>
          <w:rFonts w:ascii="Arial" w:hAnsi="Arial" w:cs="Arial"/>
          <w:lang w:val="en-ZA"/>
        </w:rPr>
      </w:pPr>
      <w:r>
        <w:rPr>
          <w:rStyle w:val="FootnoteReference"/>
        </w:rPr>
        <w:footnoteRef/>
      </w:r>
      <w:r>
        <w:t xml:space="preserve"> </w:t>
      </w:r>
      <w:r w:rsidRPr="00131E25">
        <w:rPr>
          <w:rFonts w:ascii="Arial" w:hAnsi="Arial" w:cs="Arial"/>
          <w:i/>
        </w:rPr>
        <w:t>Hamilton v Van Zyl</w:t>
      </w:r>
      <w:r w:rsidRPr="00131E25">
        <w:rPr>
          <w:rFonts w:ascii="Arial" w:hAnsi="Arial" w:cs="Arial"/>
        </w:rPr>
        <w:t xml:space="preserve"> 1983 (4) SA 379 ECD at 383 G – H.</w:t>
      </w:r>
    </w:p>
  </w:footnote>
  <w:footnote w:id="3">
    <w:p w14:paraId="3304CE4A" w14:textId="77777777" w:rsidR="004113D3" w:rsidRPr="00131E25" w:rsidRDefault="004113D3">
      <w:pPr>
        <w:pStyle w:val="FootnoteText"/>
        <w:rPr>
          <w:rFonts w:ascii="Arial" w:hAnsi="Arial" w:cs="Arial"/>
          <w:lang w:val="en-ZA"/>
        </w:rPr>
      </w:pPr>
      <w:r w:rsidRPr="00131E25">
        <w:rPr>
          <w:rStyle w:val="FootnoteReference"/>
          <w:rFonts w:ascii="Arial" w:hAnsi="Arial" w:cs="Arial"/>
        </w:rPr>
        <w:footnoteRef/>
      </w:r>
      <w:r w:rsidRPr="00131E25">
        <w:rPr>
          <w:rFonts w:ascii="Arial" w:hAnsi="Arial" w:cs="Arial"/>
        </w:rPr>
        <w:t xml:space="preserve"> </w:t>
      </w:r>
      <w:proofErr w:type="spellStart"/>
      <w:r w:rsidRPr="00131E25">
        <w:rPr>
          <w:rFonts w:ascii="Arial" w:hAnsi="Arial" w:cs="Arial"/>
          <w:i/>
        </w:rPr>
        <w:t>Georgias</w:t>
      </w:r>
      <w:proofErr w:type="spellEnd"/>
      <w:r w:rsidRPr="00131E25">
        <w:rPr>
          <w:rFonts w:ascii="Arial" w:hAnsi="Arial" w:cs="Arial"/>
          <w:i/>
        </w:rPr>
        <w:t xml:space="preserve"> and Another v Standard Chartered Finance Zimbabwe Ltd</w:t>
      </w:r>
      <w:r w:rsidRPr="00131E25">
        <w:rPr>
          <w:rFonts w:ascii="Arial" w:hAnsi="Arial" w:cs="Arial"/>
        </w:rPr>
        <w:t xml:space="preserve"> 2000 (1) SA 126 ZSC.</w:t>
      </w:r>
    </w:p>
  </w:footnote>
  <w:footnote w:id="4">
    <w:p w14:paraId="5A6AB9AF" w14:textId="77777777" w:rsidR="004113D3" w:rsidRPr="00880E53" w:rsidRDefault="004113D3">
      <w:pPr>
        <w:pStyle w:val="FootnoteText"/>
        <w:rPr>
          <w:rFonts w:ascii="Arial" w:hAnsi="Arial" w:cs="Arial"/>
        </w:rPr>
      </w:pPr>
      <w:r>
        <w:rPr>
          <w:rStyle w:val="FootnoteReference"/>
        </w:rPr>
        <w:footnoteRef/>
      </w:r>
      <w:r>
        <w:t xml:space="preserve"> </w:t>
      </w:r>
      <w:proofErr w:type="spellStart"/>
      <w:r w:rsidRPr="00880E53">
        <w:rPr>
          <w:rFonts w:ascii="Arial" w:hAnsi="Arial" w:cs="Arial"/>
          <w:i/>
        </w:rPr>
        <w:t>Maswanganyi</w:t>
      </w:r>
      <w:proofErr w:type="spellEnd"/>
      <w:r w:rsidRPr="00880E53">
        <w:rPr>
          <w:rFonts w:ascii="Arial" w:hAnsi="Arial" w:cs="Arial"/>
          <w:i/>
        </w:rPr>
        <w:t xml:space="preserve"> v Road Accident Fund</w:t>
      </w:r>
      <w:r w:rsidRPr="00880E53">
        <w:rPr>
          <w:rFonts w:ascii="Arial" w:hAnsi="Arial" w:cs="Arial"/>
        </w:rPr>
        <w:t xml:space="preserve"> 2019 (5) SA 407 (SCA).</w:t>
      </w:r>
    </w:p>
  </w:footnote>
  <w:footnote w:id="5">
    <w:p w14:paraId="4B624F62" w14:textId="77777777" w:rsidR="004113D3" w:rsidRPr="004A7A55" w:rsidRDefault="004113D3" w:rsidP="007B4CE0">
      <w:pPr>
        <w:pStyle w:val="FootnoteText"/>
        <w:spacing w:line="360" w:lineRule="auto"/>
        <w:rPr>
          <w:rFonts w:ascii="Arial" w:hAnsi="Arial" w:cs="Arial"/>
          <w:lang w:val="en-ZA"/>
        </w:rPr>
      </w:pPr>
      <w:r>
        <w:rPr>
          <w:rStyle w:val="FootnoteReference"/>
        </w:rPr>
        <w:footnoteRef/>
      </w:r>
      <w:r>
        <w:t xml:space="preserve"> </w:t>
      </w:r>
      <w:r w:rsidRPr="004A7A55">
        <w:rPr>
          <w:rFonts w:ascii="Arial" w:hAnsi="Arial" w:cs="Arial"/>
          <w:i/>
        </w:rPr>
        <w:t xml:space="preserve">Empire Fishing Company (Pty) Ltd vs </w:t>
      </w:r>
      <w:proofErr w:type="spellStart"/>
      <w:r w:rsidRPr="004A7A55">
        <w:rPr>
          <w:rFonts w:ascii="Arial" w:hAnsi="Arial" w:cs="Arial"/>
          <w:i/>
        </w:rPr>
        <w:t>Dumeni</w:t>
      </w:r>
      <w:proofErr w:type="spellEnd"/>
      <w:r w:rsidRPr="004A7A55">
        <w:rPr>
          <w:rFonts w:ascii="Arial" w:hAnsi="Arial" w:cs="Arial"/>
          <w:i/>
        </w:rPr>
        <w:t xml:space="preserve"> </w:t>
      </w:r>
      <w:r w:rsidRPr="004A7A55">
        <w:rPr>
          <w:rFonts w:ascii="Arial" w:hAnsi="Arial" w:cs="Arial"/>
        </w:rPr>
        <w:t>(</w:t>
      </w:r>
      <w:r w:rsidRPr="004A7A55">
        <w:rPr>
          <w:rFonts w:ascii="Arial" w:eastAsia="Times New Roman" w:hAnsi="Arial" w:cs="Arial"/>
          <w:color w:val="000000"/>
        </w:rPr>
        <w:t>HC-MD-CIV-ACT-CON-2021/00191</w:t>
      </w:r>
      <w:r w:rsidRPr="004A7A55">
        <w:rPr>
          <w:rFonts w:ascii="Arial" w:hAnsi="Arial" w:cs="Arial"/>
        </w:rPr>
        <w:t>) [2022] NAHCMD 76 (24 February 2022).</w:t>
      </w:r>
    </w:p>
  </w:footnote>
  <w:footnote w:id="6">
    <w:p w14:paraId="158C3028" w14:textId="77777777" w:rsidR="004113D3" w:rsidRPr="004A7A55" w:rsidRDefault="004113D3" w:rsidP="007B4CE0">
      <w:pPr>
        <w:pStyle w:val="FootnoteText"/>
        <w:spacing w:line="360" w:lineRule="auto"/>
        <w:rPr>
          <w:rFonts w:ascii="Arial" w:hAnsi="Arial" w:cs="Arial"/>
          <w:lang w:val="en-ZA"/>
        </w:rPr>
      </w:pPr>
      <w:r w:rsidRPr="004A7A55">
        <w:rPr>
          <w:rStyle w:val="FootnoteReference"/>
          <w:rFonts w:ascii="Arial" w:hAnsi="Arial" w:cs="Arial"/>
        </w:rPr>
        <w:footnoteRef/>
      </w:r>
      <w:r w:rsidRPr="004A7A55">
        <w:rPr>
          <w:rFonts w:ascii="Arial" w:hAnsi="Arial" w:cs="Arial"/>
        </w:rPr>
        <w:t xml:space="preserve"> </w:t>
      </w:r>
      <w:r w:rsidRPr="004A7A55">
        <w:rPr>
          <w:rFonts w:ascii="Arial" w:hAnsi="Arial" w:cs="Arial"/>
          <w:i/>
          <w:shd w:val="clear" w:color="auto" w:fill="FFFFFF"/>
        </w:rPr>
        <w:t>Du Plooy and Another v Du Plooy and Others</w:t>
      </w:r>
      <w:r w:rsidRPr="004A7A55">
        <w:rPr>
          <w:rFonts w:ascii="Arial" w:hAnsi="Arial" w:cs="Arial"/>
          <w:shd w:val="clear" w:color="auto" w:fill="FFFFFF"/>
        </w:rPr>
        <w:t xml:space="preserve"> (417/11) [2012] ZASCA 135; [2012] 4 All SA 239 (SCA) (27 September 2012).</w:t>
      </w:r>
    </w:p>
  </w:footnote>
  <w:footnote w:id="7">
    <w:p w14:paraId="3E2021EF" w14:textId="77777777" w:rsidR="004113D3" w:rsidRPr="004A7A55" w:rsidRDefault="004113D3" w:rsidP="007B4CE0">
      <w:pPr>
        <w:pStyle w:val="FootnoteText"/>
        <w:spacing w:line="360" w:lineRule="auto"/>
        <w:rPr>
          <w:lang w:val="en-ZA"/>
        </w:rPr>
      </w:pPr>
      <w:r>
        <w:rPr>
          <w:rStyle w:val="FootnoteReference"/>
        </w:rPr>
        <w:footnoteRef/>
      </w:r>
      <w:r>
        <w:t xml:space="preserve"> </w:t>
      </w:r>
      <w:proofErr w:type="spellStart"/>
      <w:r w:rsidRPr="004A7A55">
        <w:rPr>
          <w:rFonts w:ascii="Arial" w:hAnsi="Arial" w:cs="Arial"/>
          <w:i/>
          <w:iCs/>
          <w:shd w:val="clear" w:color="auto" w:fill="FFFFFF"/>
        </w:rPr>
        <w:t>Dadabhay</w:t>
      </w:r>
      <w:proofErr w:type="spellEnd"/>
      <w:r w:rsidRPr="004A7A55">
        <w:rPr>
          <w:rFonts w:ascii="Arial" w:hAnsi="Arial" w:cs="Arial"/>
          <w:i/>
          <w:iCs/>
          <w:shd w:val="clear" w:color="auto" w:fill="FFFFFF"/>
        </w:rPr>
        <w:t xml:space="preserve"> v </w:t>
      </w:r>
      <w:proofErr w:type="spellStart"/>
      <w:r w:rsidRPr="004A7A55">
        <w:rPr>
          <w:rFonts w:ascii="Arial" w:hAnsi="Arial" w:cs="Arial"/>
          <w:i/>
          <w:iCs/>
          <w:shd w:val="clear" w:color="auto" w:fill="FFFFFF"/>
        </w:rPr>
        <w:t>Dadabhay</w:t>
      </w:r>
      <w:proofErr w:type="spellEnd"/>
      <w:r w:rsidRPr="004A7A55">
        <w:rPr>
          <w:rFonts w:ascii="Arial" w:hAnsi="Arial" w:cs="Arial"/>
          <w:i/>
          <w:iCs/>
          <w:shd w:val="clear" w:color="auto" w:fill="FFFFFF"/>
        </w:rPr>
        <w:t xml:space="preserve"> </w:t>
      </w:r>
      <w:r w:rsidRPr="004A7A55">
        <w:rPr>
          <w:rFonts w:ascii="Arial" w:eastAsia="Times New Roman" w:hAnsi="Arial" w:cs="Arial"/>
          <w:color w:val="333132"/>
        </w:rPr>
        <w:t>1981 (3) SA 1039 (A)</w:t>
      </w:r>
      <w:r>
        <w:rPr>
          <w:rFonts w:ascii="Arial" w:eastAsia="Times New Roman" w:hAnsi="Arial" w:cs="Arial"/>
          <w:color w:val="333132"/>
        </w:rPr>
        <w:t>.</w:t>
      </w:r>
    </w:p>
  </w:footnote>
  <w:footnote w:id="8">
    <w:p w14:paraId="71C29886" w14:textId="77777777" w:rsidR="004113D3" w:rsidRPr="004A7A55" w:rsidRDefault="004113D3" w:rsidP="007B4CE0">
      <w:pPr>
        <w:pStyle w:val="FootnoteText"/>
        <w:spacing w:line="360" w:lineRule="auto"/>
        <w:rPr>
          <w:rFonts w:ascii="Arial" w:hAnsi="Arial" w:cs="Arial"/>
          <w:lang w:val="en-ZA"/>
        </w:rPr>
      </w:pPr>
      <w:r w:rsidRPr="004A7A55">
        <w:rPr>
          <w:rStyle w:val="FootnoteReference"/>
          <w:rFonts w:ascii="Arial" w:hAnsi="Arial" w:cs="Arial"/>
        </w:rPr>
        <w:footnoteRef/>
      </w:r>
      <w:r w:rsidRPr="004A7A55">
        <w:rPr>
          <w:rFonts w:ascii="Arial" w:hAnsi="Arial" w:cs="Arial"/>
        </w:rPr>
        <w:t xml:space="preserve"> </w:t>
      </w:r>
      <w:r w:rsidRPr="004113D3">
        <w:rPr>
          <w:rFonts w:ascii="Arial" w:hAnsi="Arial" w:cs="Arial"/>
          <w:i/>
          <w:color w:val="212529"/>
          <w:shd w:val="clear" w:color="auto" w:fill="FFFFFF"/>
        </w:rPr>
        <w:t xml:space="preserve">Seagull All-Fish CC v </w:t>
      </w:r>
      <w:proofErr w:type="spellStart"/>
      <w:r w:rsidRPr="004113D3">
        <w:rPr>
          <w:rFonts w:ascii="Arial" w:hAnsi="Arial" w:cs="Arial"/>
          <w:i/>
          <w:color w:val="212529"/>
          <w:shd w:val="clear" w:color="auto" w:fill="FFFFFF"/>
        </w:rPr>
        <w:t>Tuyeni</w:t>
      </w:r>
      <w:proofErr w:type="spellEnd"/>
      <w:r w:rsidRPr="004113D3">
        <w:rPr>
          <w:rFonts w:ascii="Arial" w:hAnsi="Arial" w:cs="Arial"/>
          <w:i/>
          <w:color w:val="212529"/>
          <w:shd w:val="clear" w:color="auto" w:fill="FFFFFF"/>
        </w:rPr>
        <w:t xml:space="preserve"> </w:t>
      </w:r>
      <w:proofErr w:type="spellStart"/>
      <w:r w:rsidRPr="004113D3">
        <w:rPr>
          <w:rFonts w:ascii="Arial" w:hAnsi="Arial" w:cs="Arial"/>
          <w:i/>
          <w:color w:val="212529"/>
          <w:shd w:val="clear" w:color="auto" w:fill="FFFFFF"/>
        </w:rPr>
        <w:t>Kumwe</w:t>
      </w:r>
      <w:proofErr w:type="spellEnd"/>
      <w:r w:rsidRPr="004113D3">
        <w:rPr>
          <w:rFonts w:ascii="Arial" w:hAnsi="Arial" w:cs="Arial"/>
          <w:i/>
          <w:color w:val="212529"/>
          <w:shd w:val="clear" w:color="auto" w:fill="FFFFFF"/>
        </w:rPr>
        <w:t xml:space="preserve"> Food and Commodity Distributors CC and Others</w:t>
      </w:r>
      <w:r w:rsidRPr="004A7A55">
        <w:rPr>
          <w:rFonts w:ascii="Arial" w:hAnsi="Arial" w:cs="Arial"/>
          <w:color w:val="212529"/>
          <w:shd w:val="clear" w:color="auto" w:fill="FFFFFF"/>
        </w:rPr>
        <w:t xml:space="preserve"> (HC-MD-CIV-ACT-CON 2833 of 2017) [2019] NAHCMD 135 (24 April 2019).</w:t>
      </w:r>
    </w:p>
  </w:footnote>
  <w:footnote w:id="9">
    <w:p w14:paraId="5162508E" w14:textId="77777777" w:rsidR="004113D3" w:rsidRPr="008A71FB" w:rsidRDefault="004113D3" w:rsidP="007B4CE0">
      <w:pPr>
        <w:pStyle w:val="FootnoteText"/>
        <w:spacing w:line="360" w:lineRule="auto"/>
        <w:rPr>
          <w:rFonts w:ascii="Arial" w:hAnsi="Arial" w:cs="Arial"/>
          <w:lang w:val="en-ZA"/>
        </w:rPr>
      </w:pPr>
      <w:r w:rsidRPr="008A71FB">
        <w:rPr>
          <w:rStyle w:val="FootnoteReference"/>
          <w:rFonts w:ascii="Arial" w:hAnsi="Arial" w:cs="Arial"/>
        </w:rPr>
        <w:footnoteRef/>
      </w:r>
      <w:r w:rsidRPr="008A71FB">
        <w:rPr>
          <w:rFonts w:ascii="Arial" w:hAnsi="Arial" w:cs="Arial"/>
        </w:rPr>
        <w:t xml:space="preserve"> </w:t>
      </w:r>
      <w:r w:rsidRPr="008A71FB">
        <w:rPr>
          <w:rFonts w:ascii="Arial" w:hAnsi="Arial" w:cs="Arial"/>
          <w:i/>
        </w:rPr>
        <w:t>Eke v Parsons</w:t>
      </w:r>
      <w:r w:rsidRPr="008A71FB">
        <w:rPr>
          <w:rFonts w:ascii="Arial" w:hAnsi="Arial" w:cs="Arial"/>
        </w:rPr>
        <w:t xml:space="preserve"> [2015] ZACC 30</w:t>
      </w:r>
      <w:r>
        <w:rPr>
          <w:rFonts w:ascii="Arial" w:hAnsi="Arial" w:cs="Arial"/>
        </w:rPr>
        <w:t>.</w:t>
      </w:r>
    </w:p>
  </w:footnote>
  <w:footnote w:id="10">
    <w:p w14:paraId="43B92570" w14:textId="77777777" w:rsidR="004113D3" w:rsidRPr="008A71FB" w:rsidRDefault="004113D3" w:rsidP="007B4CE0">
      <w:pPr>
        <w:pStyle w:val="FootnoteText"/>
        <w:spacing w:line="360" w:lineRule="auto"/>
        <w:rPr>
          <w:rFonts w:ascii="Arial" w:hAnsi="Arial" w:cs="Arial"/>
          <w:lang w:val="en-ZA"/>
        </w:rPr>
      </w:pPr>
      <w:r w:rsidRPr="008A71FB">
        <w:rPr>
          <w:rStyle w:val="FootnoteReference"/>
          <w:rFonts w:ascii="Arial" w:hAnsi="Arial" w:cs="Arial"/>
        </w:rPr>
        <w:footnoteRef/>
      </w:r>
      <w:r w:rsidRPr="008A71FB">
        <w:rPr>
          <w:rFonts w:ascii="Arial" w:hAnsi="Arial" w:cs="Arial"/>
        </w:rPr>
        <w:t xml:space="preserve"> </w:t>
      </w:r>
      <w:proofErr w:type="spellStart"/>
      <w:r w:rsidRPr="008A71FB">
        <w:rPr>
          <w:rFonts w:ascii="Arial" w:eastAsia="Times New Roman" w:hAnsi="Arial" w:cs="Arial"/>
          <w:i/>
        </w:rPr>
        <w:t>Shaanika</w:t>
      </w:r>
      <w:proofErr w:type="spellEnd"/>
      <w:r w:rsidRPr="008A71FB">
        <w:rPr>
          <w:rFonts w:ascii="Arial" w:eastAsia="Times New Roman" w:hAnsi="Arial" w:cs="Arial"/>
          <w:i/>
        </w:rPr>
        <w:t xml:space="preserve"> v JJJ Transport CC</w:t>
      </w:r>
      <w:r>
        <w:rPr>
          <w:rFonts w:ascii="Arial" w:eastAsia="Times New Roman" w:hAnsi="Arial" w:cs="Arial"/>
        </w:rPr>
        <w:t xml:space="preserve"> (HC-MD-CIV-ACT-CON-</w:t>
      </w:r>
      <w:r w:rsidRPr="008A71FB">
        <w:rPr>
          <w:rFonts w:ascii="Arial" w:eastAsia="Times New Roman" w:hAnsi="Arial" w:cs="Arial"/>
        </w:rPr>
        <w:t>1565 of 2021) [2022] NAHCMD 688 (16 December 2022).</w:t>
      </w:r>
    </w:p>
  </w:footnote>
  <w:footnote w:id="11">
    <w:p w14:paraId="30DE08F6" w14:textId="77777777" w:rsidR="004113D3" w:rsidRPr="008A71FB" w:rsidRDefault="004113D3" w:rsidP="007B4CE0">
      <w:pPr>
        <w:pStyle w:val="FootnoteText"/>
        <w:spacing w:line="360" w:lineRule="auto"/>
        <w:rPr>
          <w:rFonts w:ascii="Arial" w:hAnsi="Arial" w:cs="Arial"/>
        </w:rPr>
      </w:pPr>
      <w:r w:rsidRPr="008A71FB">
        <w:rPr>
          <w:rStyle w:val="FootnoteReference"/>
          <w:rFonts w:ascii="Arial" w:hAnsi="Arial" w:cs="Arial"/>
        </w:rPr>
        <w:footnoteRef/>
      </w:r>
      <w:r w:rsidRPr="008A71FB">
        <w:rPr>
          <w:rFonts w:ascii="Arial" w:hAnsi="Arial" w:cs="Arial"/>
          <w:i/>
        </w:rPr>
        <w:t>Karson v Minister of Public Works</w:t>
      </w:r>
      <w:r w:rsidRPr="008A71FB">
        <w:rPr>
          <w:rFonts w:ascii="Arial" w:hAnsi="Arial" w:cs="Arial"/>
        </w:rPr>
        <w:t xml:space="preserve"> 1996 (1) SA 887 ECD at 893F-G; </w:t>
      </w:r>
      <w:proofErr w:type="spellStart"/>
      <w:r w:rsidRPr="008A71FB">
        <w:rPr>
          <w:rFonts w:ascii="Arial" w:hAnsi="Arial" w:cs="Arial"/>
          <w:i/>
        </w:rPr>
        <w:t>Mbambus</w:t>
      </w:r>
      <w:proofErr w:type="spellEnd"/>
      <w:r w:rsidRPr="008A71FB">
        <w:rPr>
          <w:rFonts w:ascii="Arial" w:hAnsi="Arial" w:cs="Arial"/>
          <w:i/>
        </w:rPr>
        <w:t xml:space="preserve"> v Motor Vehicle Accidents Fund</w:t>
      </w:r>
      <w:r w:rsidRPr="008A71FB">
        <w:rPr>
          <w:rFonts w:ascii="Arial" w:hAnsi="Arial" w:cs="Arial"/>
        </w:rPr>
        <w:t xml:space="preserve"> (case No I 3299-2007) [2013] NAHCMD 2 (14 January 2013) para 7. </w:t>
      </w:r>
    </w:p>
  </w:footnote>
  <w:footnote w:id="12">
    <w:p w14:paraId="510AA5F3" w14:textId="77777777" w:rsidR="004113D3" w:rsidRPr="008B41DF" w:rsidRDefault="004113D3" w:rsidP="007B4CE0">
      <w:pPr>
        <w:pStyle w:val="FootnoteText"/>
        <w:spacing w:line="360" w:lineRule="auto"/>
        <w:rPr>
          <w:rFonts w:ascii="Arial" w:hAnsi="Arial" w:cs="Arial"/>
        </w:rPr>
      </w:pPr>
      <w:r w:rsidRPr="008A71FB">
        <w:rPr>
          <w:rStyle w:val="FootnoteReference"/>
          <w:rFonts w:ascii="Arial" w:hAnsi="Arial" w:cs="Arial"/>
        </w:rPr>
        <w:footnoteRef/>
      </w:r>
      <w:r w:rsidRPr="008A71FB">
        <w:rPr>
          <w:rFonts w:ascii="Arial" w:hAnsi="Arial" w:cs="Arial"/>
        </w:rPr>
        <w:t xml:space="preserve"> </w:t>
      </w:r>
      <w:r w:rsidRPr="008A71FB">
        <w:rPr>
          <w:rFonts w:ascii="Arial" w:hAnsi="Arial" w:cs="Arial"/>
          <w:i/>
        </w:rPr>
        <w:t>Hamilton v Van Zyl</w:t>
      </w:r>
      <w:r w:rsidRPr="008A71FB">
        <w:rPr>
          <w:rFonts w:ascii="Arial" w:hAnsi="Arial" w:cs="Arial"/>
        </w:rPr>
        <w:t xml:space="preserve"> 1983 (4) SA 379 ECD at 383 G – H.</w:t>
      </w:r>
    </w:p>
  </w:footnote>
  <w:footnote w:id="13">
    <w:p w14:paraId="208D3A4A" w14:textId="77777777" w:rsidR="004113D3" w:rsidRDefault="004113D3" w:rsidP="002F2B52">
      <w:pPr>
        <w:pStyle w:val="FootnoteText"/>
        <w:spacing w:line="360" w:lineRule="auto"/>
      </w:pPr>
      <w:r w:rsidRPr="008B41DF">
        <w:rPr>
          <w:rStyle w:val="FootnoteReference"/>
          <w:rFonts w:ascii="Arial" w:hAnsi="Arial" w:cs="Arial"/>
        </w:rPr>
        <w:footnoteRef/>
      </w:r>
      <w:r w:rsidRPr="008B41DF">
        <w:rPr>
          <w:rFonts w:ascii="Arial" w:hAnsi="Arial" w:cs="Arial"/>
        </w:rPr>
        <w:t xml:space="preserve"> </w:t>
      </w:r>
      <w:proofErr w:type="spellStart"/>
      <w:r w:rsidRPr="008B41DF">
        <w:rPr>
          <w:rFonts w:ascii="Arial" w:hAnsi="Arial" w:cs="Arial"/>
          <w:i/>
        </w:rPr>
        <w:t>Georgias</w:t>
      </w:r>
      <w:proofErr w:type="spellEnd"/>
      <w:r w:rsidRPr="008B41DF">
        <w:rPr>
          <w:rFonts w:ascii="Arial" w:hAnsi="Arial" w:cs="Arial"/>
          <w:i/>
        </w:rPr>
        <w:t xml:space="preserve"> and Another v Standard Chartered Finance Zimbabwe Ltd </w:t>
      </w:r>
      <w:r w:rsidRPr="008B41DF">
        <w:rPr>
          <w:rFonts w:ascii="Arial" w:hAnsi="Arial" w:cs="Arial"/>
        </w:rPr>
        <w:t>2000 (1) SA 126 ZSC</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560018"/>
      <w:docPartObj>
        <w:docPartGallery w:val="Page Numbers (Top of Page)"/>
        <w:docPartUnique/>
      </w:docPartObj>
    </w:sdtPr>
    <w:sdtEndPr>
      <w:rPr>
        <w:noProof/>
      </w:rPr>
    </w:sdtEndPr>
    <w:sdtContent>
      <w:p w14:paraId="6DE22E95" w14:textId="77777777" w:rsidR="004113D3" w:rsidRDefault="004113D3">
        <w:pPr>
          <w:pStyle w:val="Header"/>
          <w:jc w:val="right"/>
        </w:pPr>
        <w:r>
          <w:fldChar w:fldCharType="begin"/>
        </w:r>
        <w:r>
          <w:instrText xml:space="preserve"> PAGE   \* MERGEFORMAT </w:instrText>
        </w:r>
        <w:r>
          <w:fldChar w:fldCharType="separate"/>
        </w:r>
        <w:r w:rsidR="009F616E">
          <w:rPr>
            <w:noProof/>
          </w:rPr>
          <w:t>2</w:t>
        </w:r>
        <w:r>
          <w:rPr>
            <w:noProof/>
          </w:rPr>
          <w:fldChar w:fldCharType="end"/>
        </w:r>
      </w:p>
    </w:sdtContent>
  </w:sdt>
  <w:p w14:paraId="19220191" w14:textId="77777777" w:rsidR="004113D3" w:rsidRDefault="00411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163"/>
    <w:multiLevelType w:val="hybridMultilevel"/>
    <w:tmpl w:val="DDC6B11A"/>
    <w:lvl w:ilvl="0" w:tplc="D408BF9E">
      <w:start w:val="1"/>
      <w:numFmt w:val="decimal"/>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2C23"/>
    <w:multiLevelType w:val="multilevel"/>
    <w:tmpl w:val="FA7640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54A1F4E"/>
    <w:multiLevelType w:val="hybridMultilevel"/>
    <w:tmpl w:val="6BD2E7F4"/>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84D5F"/>
    <w:multiLevelType w:val="hybridMultilevel"/>
    <w:tmpl w:val="0E02C6C8"/>
    <w:lvl w:ilvl="0" w:tplc="72662350">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B3397"/>
    <w:multiLevelType w:val="hybridMultilevel"/>
    <w:tmpl w:val="4AAAEE2C"/>
    <w:lvl w:ilvl="0" w:tplc="324AA382">
      <w:start w:val="8"/>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46D43"/>
    <w:multiLevelType w:val="hybridMultilevel"/>
    <w:tmpl w:val="519E7D46"/>
    <w:lvl w:ilvl="0" w:tplc="32FAEB40">
      <w:start w:val="8"/>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24061"/>
    <w:multiLevelType w:val="hybridMultilevel"/>
    <w:tmpl w:val="E2F69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ABE"/>
    <w:multiLevelType w:val="hybridMultilevel"/>
    <w:tmpl w:val="FDE249D0"/>
    <w:lvl w:ilvl="0" w:tplc="527E2EE6">
      <w:start w:val="8"/>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B102C"/>
    <w:multiLevelType w:val="hybridMultilevel"/>
    <w:tmpl w:val="4E1E3768"/>
    <w:lvl w:ilvl="0" w:tplc="3978013E">
      <w:start w:val="27"/>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B6409"/>
    <w:multiLevelType w:val="hybridMultilevel"/>
    <w:tmpl w:val="AD366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D56B7"/>
    <w:multiLevelType w:val="multilevel"/>
    <w:tmpl w:val="0200208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C12C81"/>
    <w:multiLevelType w:val="multilevel"/>
    <w:tmpl w:val="176E48C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D7D2B74"/>
    <w:multiLevelType w:val="hybridMultilevel"/>
    <w:tmpl w:val="92764946"/>
    <w:lvl w:ilvl="0" w:tplc="C1240A9C">
      <w:start w:val="23"/>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95803"/>
    <w:multiLevelType w:val="hybridMultilevel"/>
    <w:tmpl w:val="7354E19C"/>
    <w:lvl w:ilvl="0" w:tplc="16D42A0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45D70"/>
    <w:multiLevelType w:val="hybridMultilevel"/>
    <w:tmpl w:val="E794A15E"/>
    <w:lvl w:ilvl="0" w:tplc="177680A6">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6885D5C"/>
    <w:multiLevelType w:val="multilevel"/>
    <w:tmpl w:val="DEB435D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86447B9"/>
    <w:multiLevelType w:val="hybridMultilevel"/>
    <w:tmpl w:val="996C4932"/>
    <w:lvl w:ilvl="0" w:tplc="32FAEB40">
      <w:start w:val="8"/>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12065"/>
    <w:multiLevelType w:val="hybridMultilevel"/>
    <w:tmpl w:val="519E7D46"/>
    <w:lvl w:ilvl="0" w:tplc="32FAEB40">
      <w:start w:val="8"/>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948DA"/>
    <w:multiLevelType w:val="hybridMultilevel"/>
    <w:tmpl w:val="904EABA2"/>
    <w:lvl w:ilvl="0" w:tplc="527E2EE6">
      <w:start w:val="8"/>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D280A"/>
    <w:multiLevelType w:val="hybridMultilevel"/>
    <w:tmpl w:val="912CD53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43FD8"/>
    <w:multiLevelType w:val="hybridMultilevel"/>
    <w:tmpl w:val="F5F41B24"/>
    <w:lvl w:ilvl="0" w:tplc="7BDAD452">
      <w:start w:val="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F5D0A"/>
    <w:multiLevelType w:val="multilevel"/>
    <w:tmpl w:val="176E48C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7624A44"/>
    <w:multiLevelType w:val="hybridMultilevel"/>
    <w:tmpl w:val="75ACAD14"/>
    <w:lvl w:ilvl="0" w:tplc="72662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1A5D27"/>
    <w:multiLevelType w:val="multilevel"/>
    <w:tmpl w:val="176E48C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C0477E8"/>
    <w:multiLevelType w:val="hybridMultilevel"/>
    <w:tmpl w:val="AECC7D72"/>
    <w:lvl w:ilvl="0" w:tplc="8B20D74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D5E33"/>
    <w:multiLevelType w:val="hybridMultilevel"/>
    <w:tmpl w:val="AD366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375404">
    <w:abstractNumId w:val="0"/>
  </w:num>
  <w:num w:numId="2" w16cid:durableId="787048057">
    <w:abstractNumId w:val="15"/>
  </w:num>
  <w:num w:numId="3" w16cid:durableId="983850254">
    <w:abstractNumId w:val="19"/>
  </w:num>
  <w:num w:numId="4" w16cid:durableId="1585870148">
    <w:abstractNumId w:val="3"/>
  </w:num>
  <w:num w:numId="5" w16cid:durableId="840506355">
    <w:abstractNumId w:val="10"/>
  </w:num>
  <w:num w:numId="6" w16cid:durableId="513956482">
    <w:abstractNumId w:val="22"/>
  </w:num>
  <w:num w:numId="7" w16cid:durableId="1702238754">
    <w:abstractNumId w:val="24"/>
  </w:num>
  <w:num w:numId="8" w16cid:durableId="1804695390">
    <w:abstractNumId w:val="20"/>
  </w:num>
  <w:num w:numId="9" w16cid:durableId="771049045">
    <w:abstractNumId w:val="2"/>
  </w:num>
  <w:num w:numId="10" w16cid:durableId="1829394569">
    <w:abstractNumId w:val="9"/>
  </w:num>
  <w:num w:numId="11" w16cid:durableId="1123423375">
    <w:abstractNumId w:val="18"/>
  </w:num>
  <w:num w:numId="12" w16cid:durableId="1046560229">
    <w:abstractNumId w:val="7"/>
  </w:num>
  <w:num w:numId="13" w16cid:durableId="626085937">
    <w:abstractNumId w:val="4"/>
  </w:num>
  <w:num w:numId="14" w16cid:durableId="2142839431">
    <w:abstractNumId w:val="13"/>
  </w:num>
  <w:num w:numId="15" w16cid:durableId="981692688">
    <w:abstractNumId w:val="16"/>
  </w:num>
  <w:num w:numId="16" w16cid:durableId="1823428809">
    <w:abstractNumId w:val="6"/>
  </w:num>
  <w:num w:numId="17" w16cid:durableId="1749568998">
    <w:abstractNumId w:val="1"/>
  </w:num>
  <w:num w:numId="18" w16cid:durableId="1401712001">
    <w:abstractNumId w:val="12"/>
  </w:num>
  <w:num w:numId="19" w16cid:durableId="1196772138">
    <w:abstractNumId w:val="8"/>
  </w:num>
  <w:num w:numId="20" w16cid:durableId="441143862">
    <w:abstractNumId w:val="14"/>
  </w:num>
  <w:num w:numId="21" w16cid:durableId="1101948570">
    <w:abstractNumId w:val="21"/>
  </w:num>
  <w:num w:numId="22" w16cid:durableId="779910190">
    <w:abstractNumId w:val="23"/>
  </w:num>
  <w:num w:numId="23" w16cid:durableId="1729568227">
    <w:abstractNumId w:val="5"/>
  </w:num>
  <w:num w:numId="24" w16cid:durableId="1845322505">
    <w:abstractNumId w:val="17"/>
  </w:num>
  <w:num w:numId="25" w16cid:durableId="360055506">
    <w:abstractNumId w:val="25"/>
  </w:num>
  <w:num w:numId="26" w16cid:durableId="8537629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37"/>
    <w:rsid w:val="00001C6F"/>
    <w:rsid w:val="000078D0"/>
    <w:rsid w:val="000169F1"/>
    <w:rsid w:val="000605C1"/>
    <w:rsid w:val="0009777F"/>
    <w:rsid w:val="000B3B37"/>
    <w:rsid w:val="000E05F5"/>
    <w:rsid w:val="000F3146"/>
    <w:rsid w:val="00123B66"/>
    <w:rsid w:val="00131E25"/>
    <w:rsid w:val="00135E24"/>
    <w:rsid w:val="0019330E"/>
    <w:rsid w:val="00193458"/>
    <w:rsid w:val="00193ED3"/>
    <w:rsid w:val="001B368F"/>
    <w:rsid w:val="001B48B3"/>
    <w:rsid w:val="001B55DB"/>
    <w:rsid w:val="001B5650"/>
    <w:rsid w:val="001D2366"/>
    <w:rsid w:val="001D45FD"/>
    <w:rsid w:val="001F2E7D"/>
    <w:rsid w:val="00207B9B"/>
    <w:rsid w:val="00230D4E"/>
    <w:rsid w:val="00256B1E"/>
    <w:rsid w:val="00262954"/>
    <w:rsid w:val="00263E8B"/>
    <w:rsid w:val="00266470"/>
    <w:rsid w:val="002774B0"/>
    <w:rsid w:val="002A07CB"/>
    <w:rsid w:val="002A2F8A"/>
    <w:rsid w:val="002C6990"/>
    <w:rsid w:val="002D4098"/>
    <w:rsid w:val="002E1AAA"/>
    <w:rsid w:val="002F2B52"/>
    <w:rsid w:val="003052E2"/>
    <w:rsid w:val="00307E4C"/>
    <w:rsid w:val="00320791"/>
    <w:rsid w:val="003350E6"/>
    <w:rsid w:val="00391C11"/>
    <w:rsid w:val="003C38C3"/>
    <w:rsid w:val="003E45FC"/>
    <w:rsid w:val="004113D3"/>
    <w:rsid w:val="00437648"/>
    <w:rsid w:val="0045296C"/>
    <w:rsid w:val="00456E07"/>
    <w:rsid w:val="004728D4"/>
    <w:rsid w:val="004869DA"/>
    <w:rsid w:val="00486E42"/>
    <w:rsid w:val="004A7A55"/>
    <w:rsid w:val="004F4684"/>
    <w:rsid w:val="00506BDF"/>
    <w:rsid w:val="0052037F"/>
    <w:rsid w:val="00526253"/>
    <w:rsid w:val="00547A97"/>
    <w:rsid w:val="00556888"/>
    <w:rsid w:val="00587E2F"/>
    <w:rsid w:val="005A7AB7"/>
    <w:rsid w:val="005B503D"/>
    <w:rsid w:val="006037CF"/>
    <w:rsid w:val="00616FA7"/>
    <w:rsid w:val="0063318D"/>
    <w:rsid w:val="006461EA"/>
    <w:rsid w:val="006A114E"/>
    <w:rsid w:val="006A4325"/>
    <w:rsid w:val="006C17A5"/>
    <w:rsid w:val="006C2A09"/>
    <w:rsid w:val="006F22BD"/>
    <w:rsid w:val="00751CB9"/>
    <w:rsid w:val="007528C4"/>
    <w:rsid w:val="007669E7"/>
    <w:rsid w:val="00770C17"/>
    <w:rsid w:val="007A130C"/>
    <w:rsid w:val="007A1E2C"/>
    <w:rsid w:val="007B4344"/>
    <w:rsid w:val="007B4CE0"/>
    <w:rsid w:val="007C616D"/>
    <w:rsid w:val="007D49A6"/>
    <w:rsid w:val="00863BB8"/>
    <w:rsid w:val="0086541C"/>
    <w:rsid w:val="00880E53"/>
    <w:rsid w:val="00895C61"/>
    <w:rsid w:val="008A71FB"/>
    <w:rsid w:val="008B16CC"/>
    <w:rsid w:val="008B1AC6"/>
    <w:rsid w:val="009144DE"/>
    <w:rsid w:val="00926BDE"/>
    <w:rsid w:val="00937208"/>
    <w:rsid w:val="0094296A"/>
    <w:rsid w:val="00966F48"/>
    <w:rsid w:val="00970369"/>
    <w:rsid w:val="00970571"/>
    <w:rsid w:val="009B32E1"/>
    <w:rsid w:val="009E1234"/>
    <w:rsid w:val="009E74EA"/>
    <w:rsid w:val="009F616E"/>
    <w:rsid w:val="00A0479C"/>
    <w:rsid w:val="00A078B0"/>
    <w:rsid w:val="00A34F46"/>
    <w:rsid w:val="00A34FCE"/>
    <w:rsid w:val="00A73AE1"/>
    <w:rsid w:val="00A858E9"/>
    <w:rsid w:val="00A951A1"/>
    <w:rsid w:val="00AB7B0C"/>
    <w:rsid w:val="00AD599D"/>
    <w:rsid w:val="00AF42B1"/>
    <w:rsid w:val="00B001A1"/>
    <w:rsid w:val="00B04129"/>
    <w:rsid w:val="00B1182A"/>
    <w:rsid w:val="00B378E2"/>
    <w:rsid w:val="00BB5DB4"/>
    <w:rsid w:val="00BF1730"/>
    <w:rsid w:val="00C57A29"/>
    <w:rsid w:val="00C64A9F"/>
    <w:rsid w:val="00C7351F"/>
    <w:rsid w:val="00C9790E"/>
    <w:rsid w:val="00CA1EE2"/>
    <w:rsid w:val="00CA5FC2"/>
    <w:rsid w:val="00CE125D"/>
    <w:rsid w:val="00D04817"/>
    <w:rsid w:val="00D278D4"/>
    <w:rsid w:val="00D4256A"/>
    <w:rsid w:val="00D64734"/>
    <w:rsid w:val="00DB1738"/>
    <w:rsid w:val="00DE1E78"/>
    <w:rsid w:val="00E10DC5"/>
    <w:rsid w:val="00EB2A2A"/>
    <w:rsid w:val="00EB7B85"/>
    <w:rsid w:val="00F1604A"/>
    <w:rsid w:val="00F17B20"/>
    <w:rsid w:val="00F24B3A"/>
    <w:rsid w:val="00F33276"/>
    <w:rsid w:val="00F91DCD"/>
    <w:rsid w:val="00FB6FCC"/>
    <w:rsid w:val="00FD7020"/>
    <w:rsid w:val="00FF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62D5"/>
  <w15:chartTrackingRefBased/>
  <w15:docId w15:val="{B99F0EFE-4CC1-4038-A77D-E3AAA33B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B37"/>
    <w:pPr>
      <w:spacing w:after="0" w:line="360" w:lineRule="auto"/>
      <w:jc w:val="both"/>
    </w:pPr>
  </w:style>
  <w:style w:type="paragraph" w:styleId="Heading1">
    <w:name w:val="heading 1"/>
    <w:basedOn w:val="Normal"/>
    <w:next w:val="Normal"/>
    <w:link w:val="Heading1Char"/>
    <w:uiPriority w:val="9"/>
    <w:qFormat/>
    <w:rsid w:val="009144DE"/>
    <w:pPr>
      <w:keepNext/>
      <w:outlineLvl w:val="0"/>
    </w:pPr>
    <w:rPr>
      <w:rFonts w:ascii="Arial" w:hAnsi="Arial" w:cs="Arial"/>
      <w:sz w:val="24"/>
      <w:szCs w:val="24"/>
      <w:u w:val="single"/>
    </w:rPr>
  </w:style>
  <w:style w:type="paragraph" w:styleId="Heading2">
    <w:name w:val="heading 2"/>
    <w:basedOn w:val="Normal"/>
    <w:next w:val="Normal"/>
    <w:link w:val="Heading2Char"/>
    <w:uiPriority w:val="9"/>
    <w:unhideWhenUsed/>
    <w:qFormat/>
    <w:rsid w:val="00C57A29"/>
    <w:pPr>
      <w:keepNext/>
      <w:outlineLvl w:val="1"/>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3B37"/>
    <w:pPr>
      <w:spacing w:after="160" w:line="259" w:lineRule="auto"/>
      <w:ind w:left="720"/>
      <w:contextualSpacing/>
      <w:jc w:val="left"/>
    </w:p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Footnote Text Char1"/>
    <w:basedOn w:val="Normal"/>
    <w:link w:val="FootnoteTextChar"/>
    <w:uiPriority w:val="99"/>
    <w:unhideWhenUsed/>
    <w:qFormat/>
    <w:rsid w:val="000B3B37"/>
    <w:pPr>
      <w:spacing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0B3B37"/>
    <w:rPr>
      <w:sz w:val="20"/>
      <w:szCs w:val="20"/>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0B3B37"/>
    <w:rPr>
      <w:vertAlign w:val="superscript"/>
    </w:rPr>
  </w:style>
  <w:style w:type="paragraph" w:customStyle="1" w:styleId="rteindent1">
    <w:name w:val="rteindent1"/>
    <w:basedOn w:val="Normal"/>
    <w:rsid w:val="000B3B37"/>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BB5DB4"/>
    <w:pPr>
      <w:ind w:left="1440" w:hanging="720"/>
    </w:pPr>
    <w:rPr>
      <w:rFonts w:ascii="Arial" w:hAnsi="Arial" w:cs="Arial"/>
    </w:rPr>
  </w:style>
  <w:style w:type="character" w:customStyle="1" w:styleId="BodyTextIndentChar">
    <w:name w:val="Body Text Indent Char"/>
    <w:basedOn w:val="DefaultParagraphFont"/>
    <w:link w:val="BodyTextIndent"/>
    <w:uiPriority w:val="99"/>
    <w:rsid w:val="00BB5DB4"/>
    <w:rPr>
      <w:rFonts w:ascii="Arial" w:hAnsi="Arial" w:cs="Arial"/>
    </w:rPr>
  </w:style>
  <w:style w:type="character" w:customStyle="1" w:styleId="Heading1Char">
    <w:name w:val="Heading 1 Char"/>
    <w:basedOn w:val="DefaultParagraphFont"/>
    <w:link w:val="Heading1"/>
    <w:uiPriority w:val="9"/>
    <w:rsid w:val="009144DE"/>
    <w:rPr>
      <w:rFonts w:ascii="Arial" w:hAnsi="Arial" w:cs="Arial"/>
      <w:sz w:val="24"/>
      <w:szCs w:val="24"/>
      <w:u w:val="single"/>
    </w:rPr>
  </w:style>
  <w:style w:type="character" w:customStyle="1" w:styleId="Heading2Char">
    <w:name w:val="Heading 2 Char"/>
    <w:basedOn w:val="DefaultParagraphFont"/>
    <w:link w:val="Heading2"/>
    <w:uiPriority w:val="9"/>
    <w:rsid w:val="00C57A29"/>
    <w:rPr>
      <w:rFonts w:ascii="Arial" w:hAnsi="Arial" w:cs="Arial"/>
      <w:i/>
      <w:sz w:val="24"/>
      <w:szCs w:val="24"/>
    </w:rPr>
  </w:style>
  <w:style w:type="paragraph" w:customStyle="1" w:styleId="western">
    <w:name w:val="western"/>
    <w:basedOn w:val="Normal"/>
    <w:rsid w:val="000078D0"/>
    <w:pPr>
      <w:spacing w:before="100" w:beforeAutospacing="1" w:after="100" w:afterAutospacing="1" w:line="240" w:lineRule="auto"/>
      <w:jc w:val="left"/>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7C616D"/>
    <w:rPr>
      <w:i/>
      <w:iCs/>
    </w:rPr>
  </w:style>
  <w:style w:type="paragraph" w:styleId="NormalWeb">
    <w:name w:val="Normal (Web)"/>
    <w:basedOn w:val="Normal"/>
    <w:uiPriority w:val="99"/>
    <w:semiHidden/>
    <w:unhideWhenUsed/>
    <w:rsid w:val="001B368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1AC6"/>
    <w:pPr>
      <w:tabs>
        <w:tab w:val="center" w:pos="4680"/>
        <w:tab w:val="right" w:pos="9360"/>
      </w:tabs>
      <w:spacing w:line="240" w:lineRule="auto"/>
    </w:pPr>
  </w:style>
  <w:style w:type="character" w:customStyle="1" w:styleId="HeaderChar">
    <w:name w:val="Header Char"/>
    <w:basedOn w:val="DefaultParagraphFont"/>
    <w:link w:val="Header"/>
    <w:uiPriority w:val="99"/>
    <w:rsid w:val="008B1AC6"/>
  </w:style>
  <w:style w:type="paragraph" w:styleId="Footer">
    <w:name w:val="footer"/>
    <w:basedOn w:val="Normal"/>
    <w:link w:val="FooterChar"/>
    <w:uiPriority w:val="99"/>
    <w:unhideWhenUsed/>
    <w:rsid w:val="008B1AC6"/>
    <w:pPr>
      <w:tabs>
        <w:tab w:val="center" w:pos="4680"/>
        <w:tab w:val="right" w:pos="9360"/>
      </w:tabs>
      <w:spacing w:line="240" w:lineRule="auto"/>
    </w:pPr>
  </w:style>
  <w:style w:type="character" w:customStyle="1" w:styleId="FooterChar">
    <w:name w:val="Footer Char"/>
    <w:basedOn w:val="DefaultParagraphFont"/>
    <w:link w:val="Footer"/>
    <w:uiPriority w:val="99"/>
    <w:rsid w:val="008B1AC6"/>
  </w:style>
  <w:style w:type="character" w:styleId="Hyperlink">
    <w:name w:val="Hyperlink"/>
    <w:basedOn w:val="DefaultParagraphFont"/>
    <w:uiPriority w:val="99"/>
    <w:semiHidden/>
    <w:unhideWhenUsed/>
    <w:rsid w:val="006A4325"/>
    <w:rPr>
      <w:color w:val="0000FF"/>
      <w:u w:val="single"/>
    </w:rPr>
  </w:style>
  <w:style w:type="paragraph" w:styleId="BalloonText">
    <w:name w:val="Balloon Text"/>
    <w:basedOn w:val="Normal"/>
    <w:link w:val="BalloonTextChar"/>
    <w:uiPriority w:val="99"/>
    <w:semiHidden/>
    <w:unhideWhenUsed/>
    <w:rsid w:val="006461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1EA"/>
    <w:rPr>
      <w:rFonts w:ascii="Segoe UI" w:hAnsi="Segoe UI" w:cs="Segoe UI"/>
      <w:sz w:val="18"/>
      <w:szCs w:val="18"/>
    </w:rPr>
  </w:style>
  <w:style w:type="character" w:customStyle="1" w:styleId="FontStyle13">
    <w:name w:val="Font Style13"/>
    <w:uiPriority w:val="99"/>
    <w:rsid w:val="001B48B3"/>
    <w:rPr>
      <w:rFonts w:ascii="Bookman Old Style" w:eastAsia="Times New Roman" w:hAnsi="Bookman Old Style" w:cs="Bookman Old Style"/>
      <w:sz w:val="22"/>
      <w:szCs w:val="22"/>
      <w:lang w:eastAsia="zh-CN" w:bidi="hi-IN"/>
    </w:rPr>
  </w:style>
  <w:style w:type="character" w:customStyle="1" w:styleId="ListParagraphChar">
    <w:name w:val="List Paragraph Char"/>
    <w:link w:val="ListParagraph"/>
    <w:uiPriority w:val="34"/>
    <w:locked/>
    <w:rsid w:val="001B48B3"/>
  </w:style>
  <w:style w:type="paragraph" w:styleId="BodyTextIndent2">
    <w:name w:val="Body Text Indent 2"/>
    <w:basedOn w:val="Normal"/>
    <w:link w:val="BodyTextIndent2Char"/>
    <w:uiPriority w:val="99"/>
    <w:unhideWhenUsed/>
    <w:rsid w:val="00770C17"/>
    <w:pPr>
      <w:ind w:left="720"/>
    </w:pPr>
    <w:rPr>
      <w:rFonts w:ascii="Arial" w:eastAsia="Calibri" w:hAnsi="Arial" w:cs="Arial"/>
      <w:sz w:val="24"/>
      <w:szCs w:val="24"/>
    </w:rPr>
  </w:style>
  <w:style w:type="character" w:customStyle="1" w:styleId="BodyTextIndent2Char">
    <w:name w:val="Body Text Indent 2 Char"/>
    <w:basedOn w:val="DefaultParagraphFont"/>
    <w:link w:val="BodyTextIndent2"/>
    <w:uiPriority w:val="99"/>
    <w:rsid w:val="00770C17"/>
    <w:rPr>
      <w:rFonts w:ascii="Arial" w:eastAsia="Calibri" w:hAnsi="Arial" w:cs="Arial"/>
      <w:sz w:val="24"/>
      <w:szCs w:val="24"/>
    </w:rPr>
  </w:style>
  <w:style w:type="paragraph" w:customStyle="1" w:styleId="Default">
    <w:name w:val="Default"/>
    <w:rsid w:val="00CA1E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62465">
      <w:bodyDiv w:val="1"/>
      <w:marLeft w:val="0"/>
      <w:marRight w:val="0"/>
      <w:marTop w:val="0"/>
      <w:marBottom w:val="0"/>
      <w:divBdr>
        <w:top w:val="none" w:sz="0" w:space="0" w:color="auto"/>
        <w:left w:val="none" w:sz="0" w:space="0" w:color="auto"/>
        <w:bottom w:val="none" w:sz="0" w:space="0" w:color="auto"/>
        <w:right w:val="none" w:sz="0" w:space="0" w:color="auto"/>
      </w:divBdr>
    </w:div>
    <w:div w:id="748388226">
      <w:bodyDiv w:val="1"/>
      <w:marLeft w:val="0"/>
      <w:marRight w:val="0"/>
      <w:marTop w:val="0"/>
      <w:marBottom w:val="0"/>
      <w:divBdr>
        <w:top w:val="none" w:sz="0" w:space="0" w:color="auto"/>
        <w:left w:val="none" w:sz="0" w:space="0" w:color="auto"/>
        <w:bottom w:val="none" w:sz="0" w:space="0" w:color="auto"/>
        <w:right w:val="none" w:sz="0" w:space="0" w:color="auto"/>
      </w:divBdr>
    </w:div>
    <w:div w:id="14491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2023-07-12T18:30:00+00:00</Judgment_x0020_Date>
    <Year xmlns="c1afb1bd-f2fb-40fd-9abb-aea55b4d7662">2023</Yea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4290BB-0717-40F9-A1D2-92AC6B90607B}">
  <ds:schemaRefs>
    <ds:schemaRef ds:uri="http://schemas.microsoft.com/sharepoint/v3/contenttype/forms"/>
  </ds:schemaRefs>
</ds:datastoreItem>
</file>

<file path=customXml/itemProps2.xml><?xml version="1.0" encoding="utf-8"?>
<ds:datastoreItem xmlns:ds="http://schemas.openxmlformats.org/officeDocument/2006/customXml" ds:itemID="{EAD51384-DFC0-4C48-9FCA-3A9C1968E1D6}">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B26F4794-B7E4-45DD-9FE6-F837D42E70DB}">
  <ds:schemaRefs>
    <ds:schemaRef ds:uri="http://schemas.openxmlformats.org/officeDocument/2006/bibliography"/>
  </ds:schemaRefs>
</ds:datastoreItem>
</file>

<file path=customXml/itemProps4.xml><?xml version="1.0" encoding="utf-8"?>
<ds:datastoreItem xmlns:ds="http://schemas.openxmlformats.org/officeDocument/2006/customXml" ds:itemID="{CFC60101-AA4C-46E3-B771-AAFC29F5B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5437</Words>
  <Characters>28926</Characters>
  <Application>Microsoft Office Word</Application>
  <DocSecurity>0</DocSecurity>
  <Lines>3615</Lines>
  <Paragraphs>1909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Nirwana Trading Enterprises CC v Murorua (HC-MD-CIV-ACT-OTH-2022-01067) [2023] NAHCMD 398 (13 July 2023)</dc:title>
  <dc:subject/>
  <dc:creator>Prinsloo Hannelie</dc:creator>
  <cp:keywords/>
  <dc:description/>
  <cp:lastModifiedBy>Mariana Anguelov</cp:lastModifiedBy>
  <cp:revision>3</cp:revision>
  <cp:lastPrinted>2023-07-11T09:23:00Z</cp:lastPrinted>
  <dcterms:created xsi:type="dcterms:W3CDTF">2023-07-13T14:34:00Z</dcterms:created>
  <dcterms:modified xsi:type="dcterms:W3CDTF">2023-07-15T11:10:00Z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5c8defc9-e090-4576-915e-35d7a38d0d86</vt:lpwstr>
  </property>
  <property fmtid="{D5CDD505-2E9C-101B-9397-08002B2CF9AE}" pid="3" name="ContentTypeId">
    <vt:lpwstr>0x0101000ECE0F99B3F8644397ECB0C536651393</vt:lpwstr>
  </property>
</Properties>
</file>