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66A52" w:rsidRDefault="00866A52"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866A52" w:rsidRDefault="00866A52" w:rsidP="00FE2178">
                      <w:pPr>
                        <w:jc w:val="center"/>
                      </w:pP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Default="00FE2178" w:rsidP="00FE2178">
      <w:pPr>
        <w:spacing w:after="0" w:line="360" w:lineRule="auto"/>
        <w:jc w:val="center"/>
        <w:rPr>
          <w:rFonts w:ascii="Arial" w:hAnsi="Arial" w:cs="Arial"/>
          <w:b/>
          <w:sz w:val="10"/>
          <w:szCs w:val="10"/>
        </w:rPr>
      </w:pPr>
    </w:p>
    <w:p w:rsidR="00103F32" w:rsidRPr="00C2360F" w:rsidRDefault="00103F32"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A35552" w:rsidRDefault="00FE2178" w:rsidP="004B6D07">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515B2" w:rsidRPr="00C515B2">
        <w:rPr>
          <w:rFonts w:ascii="Arial" w:hAnsi="Arial" w:cs="Arial"/>
          <w:sz w:val="24"/>
          <w:szCs w:val="24"/>
        </w:rPr>
        <w:t>HC-MD-CIV-MOT-REV-2021/00407</w:t>
      </w:r>
    </w:p>
    <w:p w:rsidR="004B6D07" w:rsidRDefault="004B6D07" w:rsidP="004B6D07">
      <w:pPr>
        <w:tabs>
          <w:tab w:val="right" w:pos="9000"/>
        </w:tabs>
        <w:spacing w:after="0" w:line="360" w:lineRule="auto"/>
        <w:jc w:val="center"/>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0B1DF7" w:rsidRDefault="000B1DF7" w:rsidP="00FE2178">
      <w:pPr>
        <w:tabs>
          <w:tab w:val="right" w:pos="9360"/>
        </w:tabs>
        <w:spacing w:after="0" w:line="360" w:lineRule="auto"/>
        <w:jc w:val="both"/>
        <w:rPr>
          <w:rFonts w:ascii="Arial" w:hAnsi="Arial" w:cs="Arial"/>
          <w:b/>
          <w:sz w:val="24"/>
          <w:szCs w:val="24"/>
        </w:rPr>
      </w:pPr>
    </w:p>
    <w:p w:rsidR="00FE2178"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 xml:space="preserve">RIHAVARA GIVEN KAVEKOTORA KAOMBUNGU </w:t>
      </w:r>
      <w:r>
        <w:rPr>
          <w:rFonts w:ascii="Arial" w:hAnsi="Arial" w:cs="Arial"/>
          <w:b/>
          <w:sz w:val="24"/>
          <w:szCs w:val="24"/>
        </w:rPr>
        <w:tab/>
        <w:t>1</w:t>
      </w:r>
      <w:r w:rsidRPr="00C515B2">
        <w:rPr>
          <w:rFonts w:ascii="Arial" w:hAnsi="Arial" w:cs="Arial"/>
          <w:b/>
          <w:sz w:val="24"/>
          <w:szCs w:val="24"/>
          <w:vertAlign w:val="superscript"/>
        </w:rPr>
        <w:t>st</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KAUTJA TJINGORORI</w:t>
      </w:r>
      <w:r>
        <w:rPr>
          <w:rFonts w:ascii="Arial" w:hAnsi="Arial" w:cs="Arial"/>
          <w:b/>
          <w:sz w:val="24"/>
          <w:szCs w:val="24"/>
        </w:rPr>
        <w:tab/>
        <w:t>2</w:t>
      </w:r>
      <w:r w:rsidRPr="00C515B2">
        <w:rPr>
          <w:rFonts w:ascii="Arial" w:hAnsi="Arial" w:cs="Arial"/>
          <w:b/>
          <w:sz w:val="24"/>
          <w:szCs w:val="24"/>
          <w:vertAlign w:val="superscript"/>
        </w:rPr>
        <w:t>ND</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MAVERIHUNU MUHARUKUA</w:t>
      </w:r>
      <w:r>
        <w:rPr>
          <w:rFonts w:ascii="Arial" w:hAnsi="Arial" w:cs="Arial"/>
          <w:b/>
          <w:sz w:val="24"/>
          <w:szCs w:val="24"/>
        </w:rPr>
        <w:tab/>
        <w:t>3</w:t>
      </w:r>
      <w:r w:rsidRPr="00C515B2">
        <w:rPr>
          <w:rFonts w:ascii="Arial" w:hAnsi="Arial" w:cs="Arial"/>
          <w:b/>
          <w:sz w:val="24"/>
          <w:szCs w:val="24"/>
          <w:vertAlign w:val="superscript"/>
        </w:rPr>
        <w:t>RD</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ANANIAS NAMHOLO</w:t>
      </w:r>
      <w:r>
        <w:rPr>
          <w:rFonts w:ascii="Arial" w:hAnsi="Arial" w:cs="Arial"/>
          <w:b/>
          <w:sz w:val="24"/>
          <w:szCs w:val="24"/>
        </w:rPr>
        <w:tab/>
        <w:t>4</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LEBEUS HANGULA</w:t>
      </w:r>
      <w:r>
        <w:rPr>
          <w:rFonts w:ascii="Arial" w:hAnsi="Arial" w:cs="Arial"/>
          <w:b/>
          <w:sz w:val="24"/>
          <w:szCs w:val="24"/>
        </w:rPr>
        <w:t xml:space="preserve"> </w:t>
      </w:r>
      <w:r>
        <w:rPr>
          <w:rFonts w:ascii="Arial" w:hAnsi="Arial" w:cs="Arial"/>
          <w:b/>
          <w:sz w:val="24"/>
          <w:szCs w:val="24"/>
        </w:rPr>
        <w:tab/>
        <w:t>5</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FILLIPPUS ANGALA</w:t>
      </w:r>
      <w:r>
        <w:rPr>
          <w:rFonts w:ascii="Arial" w:hAnsi="Arial" w:cs="Arial"/>
          <w:b/>
          <w:sz w:val="24"/>
          <w:szCs w:val="24"/>
        </w:rPr>
        <w:tab/>
        <w:t>6</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r>
        <w:rPr>
          <w:rFonts w:ascii="Arial" w:hAnsi="Arial" w:cs="Arial"/>
          <w:b/>
          <w:sz w:val="24"/>
          <w:szCs w:val="24"/>
        </w:rPr>
        <w:t xml:space="preserve"> </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CORNELIUS HANGHOME</w:t>
      </w:r>
      <w:r>
        <w:rPr>
          <w:rFonts w:ascii="Arial" w:hAnsi="Arial" w:cs="Arial"/>
          <w:b/>
          <w:sz w:val="24"/>
          <w:szCs w:val="24"/>
        </w:rPr>
        <w:tab/>
        <w:t>7</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RIJAMEKEE CHRISTOPHINE MBINGENEEKO</w:t>
      </w:r>
      <w:r>
        <w:rPr>
          <w:rFonts w:ascii="Arial" w:hAnsi="Arial" w:cs="Arial"/>
          <w:b/>
          <w:sz w:val="24"/>
          <w:szCs w:val="24"/>
        </w:rPr>
        <w:tab/>
        <w:t>8</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STEPHANUS GARISEB</w:t>
      </w:r>
      <w:r>
        <w:rPr>
          <w:rFonts w:ascii="Arial" w:hAnsi="Arial" w:cs="Arial"/>
          <w:b/>
          <w:sz w:val="24"/>
          <w:szCs w:val="24"/>
        </w:rPr>
        <w:tab/>
        <w:t>9</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STEPHANUS HAILONGA</w:t>
      </w:r>
      <w:r>
        <w:rPr>
          <w:rFonts w:ascii="Arial" w:hAnsi="Arial" w:cs="Arial"/>
          <w:b/>
          <w:sz w:val="24"/>
          <w:szCs w:val="24"/>
        </w:rPr>
        <w:tab/>
        <w:t>10</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IVY BUISWALELO</w:t>
      </w:r>
      <w:r>
        <w:rPr>
          <w:rFonts w:ascii="Arial" w:hAnsi="Arial" w:cs="Arial"/>
          <w:b/>
          <w:sz w:val="24"/>
          <w:szCs w:val="24"/>
        </w:rPr>
        <w:tab/>
        <w:t>11</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MATHIAS KUFUNA</w:t>
      </w:r>
      <w:r>
        <w:rPr>
          <w:rFonts w:ascii="Arial" w:hAnsi="Arial" w:cs="Arial"/>
          <w:b/>
          <w:sz w:val="24"/>
          <w:szCs w:val="24"/>
        </w:rPr>
        <w:tab/>
        <w:t>12</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SAKARIA MWAHALUKA</w:t>
      </w:r>
      <w:r>
        <w:rPr>
          <w:rFonts w:ascii="Arial" w:hAnsi="Arial" w:cs="Arial"/>
          <w:b/>
          <w:sz w:val="24"/>
          <w:szCs w:val="24"/>
        </w:rPr>
        <w:tab/>
        <w:t>13</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ANTON JOHANNES</w:t>
      </w:r>
      <w:r>
        <w:rPr>
          <w:rFonts w:ascii="Arial" w:hAnsi="Arial" w:cs="Arial"/>
          <w:b/>
          <w:sz w:val="24"/>
          <w:szCs w:val="24"/>
        </w:rPr>
        <w:tab/>
        <w:t>14</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ALLAN KAKWASHA</w:t>
      </w:r>
      <w:r>
        <w:rPr>
          <w:rFonts w:ascii="Arial" w:hAnsi="Arial" w:cs="Arial"/>
          <w:b/>
          <w:sz w:val="24"/>
          <w:szCs w:val="24"/>
        </w:rPr>
        <w:tab/>
        <w:t>15</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COLLINS CHRISTIAAN</w:t>
      </w:r>
      <w:r>
        <w:rPr>
          <w:rFonts w:ascii="Arial" w:hAnsi="Arial" w:cs="Arial"/>
          <w:b/>
          <w:sz w:val="24"/>
          <w:szCs w:val="24"/>
        </w:rPr>
        <w:tab/>
        <w:t>16</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MATHIAS NAHAMBO</w:t>
      </w:r>
      <w:r>
        <w:rPr>
          <w:rFonts w:ascii="Arial" w:hAnsi="Arial" w:cs="Arial"/>
          <w:b/>
          <w:sz w:val="24"/>
          <w:szCs w:val="24"/>
        </w:rPr>
        <w:tab/>
        <w:t>17</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lastRenderedPageBreak/>
        <w:t>SEBESTIAN NEWAKA</w:t>
      </w:r>
      <w:r>
        <w:rPr>
          <w:rFonts w:ascii="Arial" w:hAnsi="Arial" w:cs="Arial"/>
          <w:b/>
          <w:sz w:val="24"/>
          <w:szCs w:val="24"/>
        </w:rPr>
        <w:tab/>
        <w:t>18</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GEORGE NASHILONGO</w:t>
      </w:r>
      <w:r>
        <w:rPr>
          <w:rFonts w:ascii="Arial" w:hAnsi="Arial" w:cs="Arial"/>
          <w:b/>
          <w:sz w:val="24"/>
          <w:szCs w:val="24"/>
        </w:rPr>
        <w:tab/>
        <w:t>19</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ERVEN KATITI</w:t>
      </w:r>
      <w:r>
        <w:rPr>
          <w:rFonts w:ascii="Arial" w:hAnsi="Arial" w:cs="Arial"/>
          <w:b/>
          <w:sz w:val="24"/>
          <w:szCs w:val="24"/>
        </w:rPr>
        <w:tab/>
        <w:t>20</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ERROL VAN ROOYEN</w:t>
      </w:r>
      <w:r>
        <w:rPr>
          <w:rFonts w:ascii="Arial" w:hAnsi="Arial" w:cs="Arial"/>
          <w:b/>
          <w:sz w:val="24"/>
          <w:szCs w:val="24"/>
        </w:rPr>
        <w:tab/>
        <w:t>21</w:t>
      </w:r>
      <w:r w:rsidRPr="00C515B2">
        <w:rPr>
          <w:rFonts w:ascii="Arial" w:hAnsi="Arial" w:cs="Arial"/>
          <w:b/>
          <w:sz w:val="24"/>
          <w:szCs w:val="24"/>
          <w:vertAlign w:val="superscript"/>
        </w:rPr>
        <w:t>ST</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CELLESTINUS MUNUNGA</w:t>
      </w:r>
      <w:r>
        <w:rPr>
          <w:rFonts w:ascii="Arial" w:hAnsi="Arial" w:cs="Arial"/>
          <w:b/>
          <w:sz w:val="24"/>
          <w:szCs w:val="24"/>
        </w:rPr>
        <w:tab/>
        <w:t>22</w:t>
      </w:r>
      <w:r w:rsidRPr="00C515B2">
        <w:rPr>
          <w:rFonts w:ascii="Arial" w:hAnsi="Arial" w:cs="Arial"/>
          <w:b/>
          <w:sz w:val="24"/>
          <w:szCs w:val="24"/>
          <w:vertAlign w:val="superscript"/>
        </w:rPr>
        <w:t>ND</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SAMUEL SHIPA</w:t>
      </w:r>
      <w:r>
        <w:rPr>
          <w:rFonts w:ascii="Arial" w:hAnsi="Arial" w:cs="Arial"/>
          <w:b/>
          <w:sz w:val="24"/>
          <w:szCs w:val="24"/>
        </w:rPr>
        <w:tab/>
        <w:t>23</w:t>
      </w:r>
      <w:r w:rsidRPr="00C515B2">
        <w:rPr>
          <w:rFonts w:ascii="Arial" w:hAnsi="Arial" w:cs="Arial"/>
          <w:b/>
          <w:sz w:val="24"/>
          <w:szCs w:val="24"/>
          <w:vertAlign w:val="superscript"/>
        </w:rPr>
        <w:t>RD</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DAVID MUZANIMA</w:t>
      </w:r>
      <w:r>
        <w:rPr>
          <w:rFonts w:ascii="Arial" w:hAnsi="Arial" w:cs="Arial"/>
          <w:b/>
          <w:sz w:val="24"/>
          <w:szCs w:val="24"/>
        </w:rPr>
        <w:tab/>
        <w:t>24</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FESTUS SHILONGO</w:t>
      </w:r>
      <w:r>
        <w:rPr>
          <w:rFonts w:ascii="Arial" w:hAnsi="Arial" w:cs="Arial"/>
          <w:b/>
          <w:sz w:val="24"/>
          <w:szCs w:val="24"/>
        </w:rPr>
        <w:tab/>
        <w:t>25</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WILLEM HAMBIYA</w:t>
      </w:r>
      <w:r>
        <w:rPr>
          <w:rFonts w:ascii="Arial" w:hAnsi="Arial" w:cs="Arial"/>
          <w:b/>
          <w:sz w:val="24"/>
          <w:szCs w:val="24"/>
        </w:rPr>
        <w:tab/>
        <w:t>26</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JANUARIES JAGER</w:t>
      </w:r>
      <w:r>
        <w:rPr>
          <w:rFonts w:ascii="Arial" w:hAnsi="Arial" w:cs="Arial"/>
          <w:b/>
          <w:sz w:val="24"/>
          <w:szCs w:val="24"/>
        </w:rPr>
        <w:tab/>
        <w:t>27</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SALOMON NEGUSHE</w:t>
      </w:r>
      <w:r>
        <w:rPr>
          <w:rFonts w:ascii="Arial" w:hAnsi="Arial" w:cs="Arial"/>
          <w:b/>
          <w:sz w:val="24"/>
          <w:szCs w:val="24"/>
        </w:rPr>
        <w:tab/>
        <w:t>28</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NYAMBE CHRISTOPHER MASIBI</w:t>
      </w:r>
      <w:r>
        <w:rPr>
          <w:rFonts w:ascii="Arial" w:hAnsi="Arial" w:cs="Arial"/>
          <w:b/>
          <w:sz w:val="24"/>
          <w:szCs w:val="24"/>
        </w:rPr>
        <w:tab/>
        <w:t>29</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TJISEMO ITEZEUA</w:t>
      </w:r>
      <w:r>
        <w:rPr>
          <w:rFonts w:ascii="Arial" w:hAnsi="Arial" w:cs="Arial"/>
          <w:b/>
          <w:sz w:val="24"/>
          <w:szCs w:val="24"/>
        </w:rPr>
        <w:tab/>
        <w:t>30</w:t>
      </w:r>
      <w:r w:rsidRPr="00C515B2">
        <w:rPr>
          <w:rFonts w:ascii="Arial" w:hAnsi="Arial" w:cs="Arial"/>
          <w:b/>
          <w:sz w:val="24"/>
          <w:szCs w:val="24"/>
          <w:vertAlign w:val="superscript"/>
        </w:rPr>
        <w:t>TH</w:t>
      </w:r>
      <w:r>
        <w:rPr>
          <w:rFonts w:ascii="Arial" w:hAnsi="Arial" w:cs="Arial"/>
          <w:b/>
          <w:sz w:val="24"/>
          <w:szCs w:val="24"/>
        </w:rPr>
        <w:t xml:space="preserve"> </w:t>
      </w:r>
      <w:r w:rsidR="000B1DF7">
        <w:rPr>
          <w:rFonts w:ascii="Arial" w:hAnsi="Arial" w:cs="Arial"/>
          <w:b/>
          <w:sz w:val="24"/>
          <w:szCs w:val="24"/>
        </w:rPr>
        <w:t>APPLICANT</w:t>
      </w:r>
    </w:p>
    <w:p w:rsidR="00C515B2" w:rsidRDefault="00C515B2" w:rsidP="00FE2178">
      <w:pPr>
        <w:tabs>
          <w:tab w:val="right" w:pos="9360"/>
        </w:tabs>
        <w:spacing w:after="0" w:line="360" w:lineRule="auto"/>
        <w:jc w:val="both"/>
        <w:rPr>
          <w:rFonts w:ascii="Arial" w:hAnsi="Arial" w:cs="Arial"/>
          <w:b/>
          <w:sz w:val="24"/>
          <w:szCs w:val="24"/>
        </w:rPr>
      </w:pPr>
      <w:r w:rsidRPr="00C515B2">
        <w:rPr>
          <w:rFonts w:ascii="Arial" w:hAnsi="Arial" w:cs="Arial"/>
          <w:b/>
          <w:sz w:val="24"/>
          <w:szCs w:val="24"/>
        </w:rPr>
        <w:t>AMBATA TETUKONDJELE</w:t>
      </w:r>
      <w:r>
        <w:rPr>
          <w:rFonts w:ascii="Arial" w:hAnsi="Arial" w:cs="Arial"/>
          <w:b/>
          <w:sz w:val="24"/>
          <w:szCs w:val="24"/>
        </w:rPr>
        <w:tab/>
        <w:t>31</w:t>
      </w:r>
      <w:r w:rsidRPr="00C515B2">
        <w:rPr>
          <w:rFonts w:ascii="Arial" w:hAnsi="Arial" w:cs="Arial"/>
          <w:b/>
          <w:sz w:val="24"/>
          <w:szCs w:val="24"/>
          <w:vertAlign w:val="superscript"/>
        </w:rPr>
        <w:t>ST</w:t>
      </w:r>
      <w:r>
        <w:rPr>
          <w:rFonts w:ascii="Arial" w:hAnsi="Arial" w:cs="Arial"/>
          <w:b/>
          <w:sz w:val="24"/>
          <w:szCs w:val="24"/>
        </w:rPr>
        <w:t xml:space="preserve"> </w:t>
      </w:r>
      <w:r w:rsidR="000B1DF7">
        <w:rPr>
          <w:rFonts w:ascii="Arial" w:hAnsi="Arial" w:cs="Arial"/>
          <w:b/>
          <w:sz w:val="24"/>
          <w:szCs w:val="24"/>
        </w:rPr>
        <w:t>APPLICANT</w:t>
      </w:r>
    </w:p>
    <w:p w:rsidR="00F021DD" w:rsidRDefault="00F021DD" w:rsidP="00FE2178">
      <w:pPr>
        <w:tabs>
          <w:tab w:val="right" w:pos="9360"/>
        </w:tabs>
        <w:spacing w:after="0" w:line="360" w:lineRule="auto"/>
        <w:jc w:val="both"/>
        <w:rPr>
          <w:rFonts w:ascii="Arial" w:hAnsi="Arial" w:cs="Arial"/>
          <w:sz w:val="24"/>
          <w:szCs w:val="24"/>
        </w:rPr>
      </w:pPr>
    </w:p>
    <w:p w:rsidR="00C515B2" w:rsidRPr="000B1DF7" w:rsidRDefault="000B1DF7" w:rsidP="00FE2178">
      <w:pPr>
        <w:tabs>
          <w:tab w:val="right" w:pos="9360"/>
        </w:tabs>
        <w:spacing w:after="0" w:line="360" w:lineRule="auto"/>
        <w:jc w:val="both"/>
        <w:rPr>
          <w:rFonts w:ascii="Arial" w:hAnsi="Arial" w:cs="Arial"/>
          <w:sz w:val="24"/>
          <w:szCs w:val="24"/>
        </w:rPr>
      </w:pPr>
      <w:r w:rsidRPr="000B1DF7">
        <w:rPr>
          <w:rFonts w:ascii="Arial" w:hAnsi="Arial" w:cs="Arial"/>
          <w:sz w:val="24"/>
          <w:szCs w:val="24"/>
        </w:rPr>
        <w:t xml:space="preserve">and </w:t>
      </w:r>
    </w:p>
    <w:p w:rsidR="000B1DF7" w:rsidRDefault="000B1DF7" w:rsidP="000B1DF7">
      <w:pPr>
        <w:tabs>
          <w:tab w:val="right" w:pos="9360"/>
        </w:tabs>
        <w:spacing w:after="0" w:line="360" w:lineRule="auto"/>
        <w:jc w:val="both"/>
        <w:rPr>
          <w:rFonts w:ascii="Arial" w:hAnsi="Arial" w:cs="Arial"/>
          <w:b/>
          <w:sz w:val="24"/>
          <w:szCs w:val="24"/>
        </w:rPr>
      </w:pPr>
    </w:p>
    <w:p w:rsidR="000B1DF7" w:rsidRDefault="000B1DF7" w:rsidP="000B1DF7">
      <w:pPr>
        <w:tabs>
          <w:tab w:val="right" w:pos="9360"/>
        </w:tabs>
        <w:spacing w:after="0" w:line="360" w:lineRule="auto"/>
        <w:jc w:val="both"/>
        <w:rPr>
          <w:rFonts w:ascii="Arial" w:hAnsi="Arial" w:cs="Arial"/>
          <w:b/>
          <w:sz w:val="24"/>
          <w:szCs w:val="24"/>
        </w:rPr>
      </w:pPr>
      <w:r>
        <w:rPr>
          <w:rFonts w:ascii="Arial" w:hAnsi="Arial" w:cs="Arial"/>
          <w:b/>
          <w:sz w:val="24"/>
          <w:szCs w:val="24"/>
        </w:rPr>
        <w:t>COUNCIL OF THE MUNICIPALITY OF WINDHOEK</w:t>
      </w:r>
      <w:r w:rsidRPr="00C2360F">
        <w:rPr>
          <w:rFonts w:ascii="Arial" w:hAnsi="Arial" w:cs="Arial"/>
          <w:b/>
          <w:sz w:val="24"/>
          <w:szCs w:val="24"/>
        </w:rPr>
        <w:tab/>
      </w:r>
      <w:r>
        <w:rPr>
          <w:rFonts w:ascii="Arial" w:hAnsi="Arial" w:cs="Arial"/>
          <w:b/>
          <w:sz w:val="24"/>
          <w:szCs w:val="24"/>
        </w:rPr>
        <w:t>1</w:t>
      </w:r>
      <w:r w:rsidRPr="00C515B2">
        <w:rPr>
          <w:rFonts w:ascii="Arial" w:hAnsi="Arial" w:cs="Arial"/>
          <w:b/>
          <w:sz w:val="24"/>
          <w:szCs w:val="24"/>
          <w:vertAlign w:val="superscript"/>
        </w:rPr>
        <w:t>ST</w:t>
      </w:r>
      <w:r>
        <w:rPr>
          <w:rFonts w:ascii="Arial" w:hAnsi="Arial" w:cs="Arial"/>
          <w:b/>
          <w:sz w:val="24"/>
          <w:szCs w:val="24"/>
        </w:rPr>
        <w:t xml:space="preserve"> RESPONDENT </w:t>
      </w:r>
    </w:p>
    <w:p w:rsidR="00E15AC1" w:rsidRPr="00C2360F" w:rsidRDefault="003F74DB" w:rsidP="003961FF">
      <w:pPr>
        <w:tabs>
          <w:tab w:val="right" w:pos="9360"/>
        </w:tabs>
        <w:spacing w:after="0" w:line="360" w:lineRule="auto"/>
        <w:jc w:val="both"/>
        <w:rPr>
          <w:rFonts w:ascii="Arial" w:hAnsi="Arial" w:cs="Arial"/>
          <w:b/>
          <w:sz w:val="24"/>
          <w:szCs w:val="24"/>
        </w:rPr>
      </w:pPr>
      <w:r>
        <w:rPr>
          <w:rFonts w:ascii="Arial" w:hAnsi="Arial" w:cs="Arial"/>
          <w:b/>
          <w:sz w:val="24"/>
          <w:szCs w:val="24"/>
        </w:rPr>
        <w:t xml:space="preserve">WINDHOEK CITY POLICE                                                                  </w:t>
      </w:r>
      <w:bookmarkStart w:id="0" w:name="_GoBack"/>
      <w:bookmarkEnd w:id="0"/>
      <w:r w:rsidR="000B1DF7">
        <w:rPr>
          <w:rFonts w:ascii="Arial" w:hAnsi="Arial" w:cs="Arial"/>
          <w:b/>
          <w:sz w:val="24"/>
          <w:szCs w:val="24"/>
        </w:rPr>
        <w:t>2</w:t>
      </w:r>
      <w:r w:rsidR="000B1DF7" w:rsidRPr="000B1DF7">
        <w:rPr>
          <w:rFonts w:ascii="Arial" w:hAnsi="Arial" w:cs="Arial"/>
          <w:b/>
          <w:sz w:val="24"/>
          <w:szCs w:val="24"/>
          <w:vertAlign w:val="superscript"/>
        </w:rPr>
        <w:t>ND</w:t>
      </w:r>
      <w:r w:rsidR="000B1DF7">
        <w:rPr>
          <w:rFonts w:ascii="Arial" w:hAnsi="Arial" w:cs="Arial"/>
          <w:b/>
          <w:sz w:val="24"/>
          <w:szCs w:val="24"/>
        </w:rPr>
        <w:t xml:space="preserve"> RESPONDENT</w:t>
      </w:r>
      <w:r w:rsidR="006801D6">
        <w:rPr>
          <w:rFonts w:ascii="Arial" w:hAnsi="Arial" w:cs="Arial"/>
          <w:b/>
          <w:sz w:val="24"/>
          <w:szCs w:val="24"/>
        </w:rPr>
        <w:tab/>
      </w:r>
    </w:p>
    <w:p w:rsidR="000B1DF7" w:rsidRDefault="000B1DF7" w:rsidP="00FE2178">
      <w:pPr>
        <w:spacing w:after="0" w:line="360" w:lineRule="auto"/>
        <w:ind w:left="2160" w:hanging="2160"/>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C87E8A">
        <w:rPr>
          <w:rFonts w:ascii="Arial" w:hAnsi="Arial" w:cs="Arial"/>
          <w:i/>
          <w:sz w:val="24"/>
          <w:szCs w:val="24"/>
        </w:rPr>
        <w:t xml:space="preserve">Kaombungu </w:t>
      </w:r>
      <w:r w:rsidR="000B1DF7">
        <w:rPr>
          <w:rFonts w:ascii="Arial" w:hAnsi="Arial" w:cs="Arial"/>
          <w:i/>
          <w:sz w:val="24"/>
          <w:szCs w:val="24"/>
        </w:rPr>
        <w:t xml:space="preserve">v Council of the Municipality of Windhoek </w:t>
      </w:r>
      <w:r w:rsidRPr="00C2360F">
        <w:rPr>
          <w:rFonts w:ascii="Arial" w:hAnsi="Arial" w:cs="Arial"/>
          <w:sz w:val="24"/>
          <w:szCs w:val="24"/>
        </w:rPr>
        <w:t>(</w:t>
      </w:r>
      <w:r w:rsidR="00C87E8A" w:rsidRPr="00C87E8A">
        <w:rPr>
          <w:rFonts w:ascii="Arial" w:hAnsi="Arial" w:cs="Arial"/>
          <w:sz w:val="24"/>
          <w:szCs w:val="24"/>
        </w:rPr>
        <w:t>HC-MD-CIV-MOT-REV-2021/00407</w:t>
      </w:r>
      <w:r w:rsidR="00C87E8A">
        <w:rPr>
          <w:rFonts w:ascii="Arial" w:hAnsi="Arial" w:cs="Arial"/>
          <w:sz w:val="24"/>
          <w:szCs w:val="24"/>
        </w:rPr>
        <w:t>)</w:t>
      </w:r>
      <w:r w:rsidR="000B1DF7">
        <w:rPr>
          <w:rFonts w:ascii="Arial" w:hAnsi="Arial" w:cs="Arial"/>
          <w:sz w:val="24"/>
          <w:szCs w:val="24"/>
        </w:rPr>
        <w:t xml:space="preserve"> </w:t>
      </w:r>
      <w:r w:rsidR="008711A7">
        <w:rPr>
          <w:rFonts w:ascii="Arial" w:hAnsi="Arial" w:cs="Arial"/>
          <w:sz w:val="24"/>
          <w:szCs w:val="24"/>
        </w:rPr>
        <w:t>[</w:t>
      </w:r>
      <w:r w:rsidRPr="00C2360F">
        <w:rPr>
          <w:rFonts w:ascii="Arial" w:hAnsi="Arial" w:cs="Arial"/>
          <w:sz w:val="24"/>
          <w:szCs w:val="24"/>
        </w:rPr>
        <w:t>20</w:t>
      </w:r>
      <w:r w:rsidR="004B6D07">
        <w:rPr>
          <w:rFonts w:ascii="Arial" w:hAnsi="Arial" w:cs="Arial"/>
          <w:sz w:val="24"/>
          <w:szCs w:val="24"/>
        </w:rPr>
        <w:t>2</w:t>
      </w:r>
      <w:r w:rsidR="000B1DF7">
        <w:rPr>
          <w:rFonts w:ascii="Arial" w:hAnsi="Arial" w:cs="Arial"/>
          <w:sz w:val="24"/>
          <w:szCs w:val="24"/>
        </w:rPr>
        <w:t>3</w:t>
      </w:r>
      <w:r w:rsidRPr="00C2360F">
        <w:rPr>
          <w:rFonts w:ascii="Arial" w:hAnsi="Arial" w:cs="Arial"/>
          <w:sz w:val="24"/>
          <w:szCs w:val="24"/>
        </w:rPr>
        <w:t xml:space="preserve">] </w:t>
      </w:r>
      <w:r w:rsidR="00CC07E3" w:rsidRPr="00C2360F">
        <w:rPr>
          <w:rFonts w:ascii="Arial" w:hAnsi="Arial" w:cs="Arial"/>
          <w:sz w:val="24"/>
          <w:szCs w:val="24"/>
        </w:rPr>
        <w:t xml:space="preserve">NAHCMD </w:t>
      </w:r>
      <w:r w:rsidR="00564F13">
        <w:rPr>
          <w:rFonts w:ascii="Arial" w:hAnsi="Arial" w:cs="Arial"/>
          <w:sz w:val="24"/>
          <w:szCs w:val="24"/>
        </w:rPr>
        <w:t>567</w:t>
      </w:r>
      <w:r w:rsidR="00F021DD">
        <w:rPr>
          <w:rFonts w:ascii="Arial" w:hAnsi="Arial" w:cs="Arial"/>
          <w:sz w:val="24"/>
          <w:szCs w:val="24"/>
        </w:rPr>
        <w:t xml:space="preserve"> </w:t>
      </w:r>
      <w:r w:rsidRPr="00C2360F">
        <w:rPr>
          <w:rFonts w:ascii="Arial" w:hAnsi="Arial" w:cs="Arial"/>
          <w:sz w:val="24"/>
          <w:szCs w:val="24"/>
        </w:rPr>
        <w:t>(</w:t>
      </w:r>
      <w:r w:rsidR="00C95289">
        <w:rPr>
          <w:rFonts w:ascii="Arial" w:hAnsi="Arial" w:cs="Arial"/>
          <w:sz w:val="24"/>
          <w:szCs w:val="24"/>
        </w:rPr>
        <w:t>13</w:t>
      </w:r>
      <w:r w:rsidR="00042D0A">
        <w:rPr>
          <w:rFonts w:ascii="Arial" w:hAnsi="Arial" w:cs="Arial"/>
          <w:sz w:val="24"/>
          <w:szCs w:val="24"/>
        </w:rPr>
        <w:t xml:space="preserve"> </w:t>
      </w:r>
      <w:r w:rsidR="00C87E8A">
        <w:rPr>
          <w:rFonts w:ascii="Arial" w:hAnsi="Arial" w:cs="Arial"/>
          <w:sz w:val="24"/>
          <w:szCs w:val="24"/>
        </w:rPr>
        <w:t xml:space="preserve">September </w:t>
      </w:r>
      <w:r w:rsidR="00042D0A">
        <w:rPr>
          <w:rFonts w:ascii="Arial" w:hAnsi="Arial" w:cs="Arial"/>
          <w:sz w:val="24"/>
          <w:szCs w:val="24"/>
        </w:rPr>
        <w:t>20</w:t>
      </w:r>
      <w:r w:rsidR="008711A7">
        <w:rPr>
          <w:rFonts w:ascii="Arial" w:hAnsi="Arial" w:cs="Arial"/>
          <w:sz w:val="24"/>
          <w:szCs w:val="24"/>
        </w:rPr>
        <w:t>2</w:t>
      </w:r>
      <w:r w:rsidR="000B1DF7">
        <w:rPr>
          <w:rFonts w:ascii="Arial" w:hAnsi="Arial" w:cs="Arial"/>
          <w:sz w:val="24"/>
          <w:szCs w:val="24"/>
        </w:rPr>
        <w:t>3</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Pr="00067F0B" w:rsidRDefault="00FE2178" w:rsidP="00FE2178">
      <w:pPr>
        <w:spacing w:after="0" w:line="360" w:lineRule="auto"/>
        <w:ind w:left="1440" w:hanging="1440"/>
        <w:rPr>
          <w:rFonts w:ascii="Arial" w:hAnsi="Arial" w:cs="Arial"/>
          <w:b/>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0B1DF7" w:rsidRPr="00067F0B">
        <w:rPr>
          <w:rFonts w:ascii="Arial" w:hAnsi="Arial" w:cs="Arial"/>
          <w:b/>
          <w:sz w:val="24"/>
          <w:szCs w:val="24"/>
        </w:rPr>
        <w:t>13 July 2023</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8E32D3" w:rsidRPr="00067F0B">
        <w:rPr>
          <w:rFonts w:ascii="Arial" w:hAnsi="Arial" w:cs="Arial"/>
          <w:b/>
          <w:sz w:val="24"/>
          <w:szCs w:val="24"/>
        </w:rPr>
        <w:t>13 September 2023</w:t>
      </w:r>
    </w:p>
    <w:p w:rsidR="00FE2178" w:rsidRPr="00C2360F" w:rsidRDefault="00FE2178" w:rsidP="00FE2178">
      <w:pPr>
        <w:spacing w:after="0" w:line="360" w:lineRule="auto"/>
        <w:jc w:val="both"/>
        <w:rPr>
          <w:rFonts w:ascii="Arial" w:hAnsi="Arial" w:cs="Arial"/>
          <w:b/>
          <w:sz w:val="24"/>
          <w:szCs w:val="24"/>
        </w:rPr>
      </w:pPr>
    </w:p>
    <w:p w:rsidR="00BD3164" w:rsidRDefault="00FE2178" w:rsidP="00FE2178">
      <w:pPr>
        <w:spacing w:after="0" w:line="360" w:lineRule="auto"/>
        <w:jc w:val="both"/>
        <w:rPr>
          <w:rFonts w:ascii="Arial" w:hAnsi="Arial" w:cs="Arial"/>
          <w:sz w:val="24"/>
          <w:szCs w:val="24"/>
        </w:rPr>
      </w:pPr>
      <w:r w:rsidRPr="00C2360F">
        <w:rPr>
          <w:rFonts w:ascii="Arial" w:hAnsi="Arial" w:cs="Arial"/>
          <w:b/>
          <w:sz w:val="24"/>
          <w:szCs w:val="24"/>
        </w:rPr>
        <w:t>Flynote:</w:t>
      </w:r>
      <w:r w:rsidRPr="00C2360F">
        <w:rPr>
          <w:rFonts w:ascii="Arial" w:hAnsi="Arial" w:cs="Arial"/>
          <w:b/>
          <w:sz w:val="24"/>
          <w:szCs w:val="24"/>
        </w:rPr>
        <w:tab/>
      </w:r>
      <w:r w:rsidR="00BE6426">
        <w:rPr>
          <w:rFonts w:ascii="Arial" w:hAnsi="Arial" w:cs="Arial"/>
          <w:sz w:val="24"/>
          <w:szCs w:val="24"/>
        </w:rPr>
        <w:t>Regulations</w:t>
      </w:r>
      <w:r w:rsidR="008E32D3" w:rsidRPr="008E32D3">
        <w:rPr>
          <w:rFonts w:ascii="Arial" w:hAnsi="Arial" w:cs="Arial"/>
          <w:sz w:val="24"/>
          <w:szCs w:val="24"/>
        </w:rPr>
        <w:t xml:space="preserve"> </w:t>
      </w:r>
      <w:r w:rsidR="008E32D3" w:rsidRPr="00BE6426">
        <w:rPr>
          <w:rFonts w:ascii="Arial" w:hAnsi="Arial" w:cs="Arial"/>
          <w:sz w:val="24"/>
          <w:szCs w:val="24"/>
        </w:rPr>
        <w:t>—</w:t>
      </w:r>
      <w:r w:rsidR="00BE6426">
        <w:rPr>
          <w:rFonts w:ascii="Arial" w:hAnsi="Arial" w:cs="Arial"/>
          <w:sz w:val="24"/>
          <w:szCs w:val="24"/>
        </w:rPr>
        <w:t xml:space="preserve"> </w:t>
      </w:r>
      <w:r w:rsidR="00BE6426" w:rsidRPr="00BE6426">
        <w:rPr>
          <w:rFonts w:ascii="Arial" w:hAnsi="Arial" w:cs="Arial"/>
          <w:sz w:val="24"/>
          <w:szCs w:val="24"/>
        </w:rPr>
        <w:t>Municipality of Windhoek: Windhoek Municipal Police Service Regulations: Police Act</w:t>
      </w:r>
      <w:r w:rsidR="00103F32">
        <w:rPr>
          <w:rFonts w:ascii="Arial" w:hAnsi="Arial" w:cs="Arial"/>
          <w:sz w:val="24"/>
          <w:szCs w:val="24"/>
        </w:rPr>
        <w:t xml:space="preserve"> 19 of</w:t>
      </w:r>
      <w:r w:rsidR="00BE6426" w:rsidRPr="00BE6426">
        <w:rPr>
          <w:rFonts w:ascii="Arial" w:hAnsi="Arial" w:cs="Arial"/>
          <w:sz w:val="24"/>
          <w:szCs w:val="24"/>
        </w:rPr>
        <w:t xml:space="preserve"> </w:t>
      </w:r>
      <w:r w:rsidR="00BE6426">
        <w:rPr>
          <w:rFonts w:ascii="Arial" w:hAnsi="Arial" w:cs="Arial"/>
          <w:sz w:val="24"/>
          <w:szCs w:val="24"/>
        </w:rPr>
        <w:t>1</w:t>
      </w:r>
      <w:r w:rsidR="00BE6426" w:rsidRPr="00BE6426">
        <w:rPr>
          <w:rFonts w:ascii="Arial" w:hAnsi="Arial" w:cs="Arial"/>
          <w:sz w:val="24"/>
          <w:szCs w:val="24"/>
        </w:rPr>
        <w:t>990</w:t>
      </w:r>
      <w:r w:rsidR="00BE6426">
        <w:rPr>
          <w:rFonts w:ascii="Arial" w:hAnsi="Arial" w:cs="Arial"/>
          <w:sz w:val="24"/>
          <w:szCs w:val="24"/>
        </w:rPr>
        <w:t xml:space="preserve"> — </w:t>
      </w:r>
      <w:r w:rsidR="00BE6426" w:rsidRPr="00BE6426">
        <w:rPr>
          <w:rFonts w:ascii="Arial" w:hAnsi="Arial" w:cs="Arial"/>
          <w:sz w:val="24"/>
          <w:szCs w:val="24"/>
        </w:rPr>
        <w:t>Inter</w:t>
      </w:r>
      <w:r w:rsidR="00537714">
        <w:rPr>
          <w:rFonts w:ascii="Arial" w:hAnsi="Arial" w:cs="Arial"/>
          <w:sz w:val="24"/>
          <w:szCs w:val="24"/>
        </w:rPr>
        <w:t>pretation of regulation 37</w:t>
      </w:r>
      <w:r w:rsidR="00BE6426">
        <w:rPr>
          <w:rFonts w:ascii="Arial" w:hAnsi="Arial" w:cs="Arial"/>
          <w:sz w:val="24"/>
          <w:szCs w:val="24"/>
        </w:rPr>
        <w:t xml:space="preserve">(1) of Government Notice 32 of 2013 — </w:t>
      </w:r>
      <w:r w:rsidR="0090167C">
        <w:rPr>
          <w:rFonts w:ascii="Arial" w:hAnsi="Arial" w:cs="Arial"/>
          <w:sz w:val="24"/>
          <w:szCs w:val="24"/>
        </w:rPr>
        <w:t>Bonus leave — W</w:t>
      </w:r>
      <w:r w:rsidR="00103F32">
        <w:rPr>
          <w:rFonts w:ascii="Arial" w:hAnsi="Arial" w:cs="Arial"/>
          <w:sz w:val="24"/>
          <w:szCs w:val="24"/>
        </w:rPr>
        <w:t>hether same is</w:t>
      </w:r>
      <w:r w:rsidR="00A9766C">
        <w:rPr>
          <w:rFonts w:ascii="Arial" w:hAnsi="Arial" w:cs="Arial"/>
          <w:sz w:val="24"/>
          <w:szCs w:val="24"/>
        </w:rPr>
        <w:t xml:space="preserve"> applicable to </w:t>
      </w:r>
      <w:r w:rsidR="00A9766C">
        <w:rPr>
          <w:rFonts w:ascii="Arial" w:hAnsi="Arial" w:cs="Arial"/>
          <w:sz w:val="24"/>
          <w:szCs w:val="24"/>
        </w:rPr>
        <w:lastRenderedPageBreak/>
        <w:t xml:space="preserve">applicants who were employed after the repeal of the </w:t>
      </w:r>
      <w:r w:rsidR="005B70F5">
        <w:rPr>
          <w:rFonts w:ascii="Arial" w:hAnsi="Arial" w:cs="Arial"/>
          <w:sz w:val="24"/>
          <w:szCs w:val="24"/>
        </w:rPr>
        <w:t xml:space="preserve">Municipal Police </w:t>
      </w:r>
      <w:r w:rsidR="00A9766C">
        <w:rPr>
          <w:rFonts w:ascii="Arial" w:hAnsi="Arial" w:cs="Arial"/>
          <w:sz w:val="24"/>
          <w:szCs w:val="24"/>
        </w:rPr>
        <w:t>Service Regulations</w:t>
      </w:r>
      <w:r w:rsidR="005B70F5">
        <w:rPr>
          <w:rFonts w:ascii="Arial" w:hAnsi="Arial" w:cs="Arial"/>
          <w:sz w:val="24"/>
          <w:szCs w:val="24"/>
        </w:rPr>
        <w:t>, GN</w:t>
      </w:r>
      <w:r w:rsidR="00A9766C">
        <w:rPr>
          <w:rFonts w:ascii="Arial" w:hAnsi="Arial" w:cs="Arial"/>
          <w:sz w:val="24"/>
          <w:szCs w:val="24"/>
        </w:rPr>
        <w:t xml:space="preserve"> </w:t>
      </w:r>
      <w:r w:rsidR="005B70F5">
        <w:rPr>
          <w:rFonts w:ascii="Arial" w:hAnsi="Arial" w:cs="Arial"/>
          <w:sz w:val="24"/>
          <w:szCs w:val="24"/>
        </w:rPr>
        <w:t xml:space="preserve">296 </w:t>
      </w:r>
      <w:r w:rsidR="00BE6426">
        <w:rPr>
          <w:rFonts w:ascii="Arial" w:hAnsi="Arial" w:cs="Arial"/>
          <w:sz w:val="24"/>
          <w:szCs w:val="24"/>
        </w:rPr>
        <w:t xml:space="preserve"> </w:t>
      </w:r>
      <w:r w:rsidR="005B70F5">
        <w:rPr>
          <w:rFonts w:ascii="Arial" w:hAnsi="Arial" w:cs="Arial"/>
          <w:sz w:val="24"/>
          <w:szCs w:val="24"/>
        </w:rPr>
        <w:t>of 1 December 2004.</w:t>
      </w:r>
    </w:p>
    <w:p w:rsidR="00B11DF4" w:rsidRDefault="00B11DF4" w:rsidP="00FE2178">
      <w:pPr>
        <w:spacing w:after="0" w:line="360" w:lineRule="auto"/>
        <w:jc w:val="both"/>
        <w:rPr>
          <w:rFonts w:ascii="Arial" w:hAnsi="Arial" w:cs="Arial"/>
          <w:sz w:val="24"/>
          <w:szCs w:val="24"/>
        </w:rPr>
      </w:pPr>
    </w:p>
    <w:p w:rsidR="00E60BC0" w:rsidRDefault="0018120D" w:rsidP="00FE2178">
      <w:pPr>
        <w:spacing w:after="0" w:line="360" w:lineRule="auto"/>
        <w:jc w:val="both"/>
        <w:rPr>
          <w:rFonts w:ascii="Arial" w:hAnsi="Arial" w:cs="Arial"/>
          <w:sz w:val="24"/>
          <w:szCs w:val="24"/>
        </w:rPr>
      </w:pPr>
      <w:r w:rsidRPr="0018120D">
        <w:rPr>
          <w:rFonts w:ascii="Arial" w:hAnsi="Arial" w:cs="Arial"/>
          <w:sz w:val="24"/>
          <w:szCs w:val="24"/>
        </w:rPr>
        <w:t>Labour law — Payment of benefits</w:t>
      </w:r>
      <w:r>
        <w:rPr>
          <w:rFonts w:ascii="Arial" w:hAnsi="Arial" w:cs="Arial"/>
          <w:sz w:val="24"/>
          <w:szCs w:val="24"/>
        </w:rPr>
        <w:t xml:space="preserve"> — </w:t>
      </w:r>
      <w:r w:rsidRPr="0018120D">
        <w:rPr>
          <w:rFonts w:ascii="Arial" w:hAnsi="Arial" w:cs="Arial"/>
          <w:sz w:val="24"/>
          <w:szCs w:val="24"/>
        </w:rPr>
        <w:t>If a benefit i</w:t>
      </w:r>
      <w:r w:rsidR="0037253D">
        <w:rPr>
          <w:rFonts w:ascii="Arial" w:hAnsi="Arial" w:cs="Arial"/>
          <w:sz w:val="24"/>
          <w:szCs w:val="24"/>
        </w:rPr>
        <w:t xml:space="preserve">s not authorised by law and is </w:t>
      </w:r>
      <w:r w:rsidRPr="0018120D">
        <w:rPr>
          <w:rFonts w:ascii="Arial" w:hAnsi="Arial" w:cs="Arial"/>
          <w:sz w:val="24"/>
          <w:szCs w:val="24"/>
        </w:rPr>
        <w:t>invalid to that extent, it would not constitute a unilateral change of conditions of employment if it were no longer to be paid.</w:t>
      </w:r>
    </w:p>
    <w:p w:rsidR="00D76584" w:rsidRDefault="00D76584" w:rsidP="00FE2178">
      <w:pPr>
        <w:spacing w:after="0" w:line="360" w:lineRule="auto"/>
        <w:jc w:val="both"/>
        <w:rPr>
          <w:rFonts w:ascii="Arial" w:hAnsi="Arial" w:cs="Arial"/>
          <w:sz w:val="24"/>
          <w:szCs w:val="24"/>
        </w:rPr>
      </w:pPr>
    </w:p>
    <w:p w:rsidR="0018120D" w:rsidRDefault="00AB55ED" w:rsidP="00FE2178">
      <w:pPr>
        <w:spacing w:after="0" w:line="360" w:lineRule="auto"/>
        <w:jc w:val="both"/>
        <w:rPr>
          <w:rFonts w:ascii="Arial" w:hAnsi="Arial" w:cs="Arial"/>
          <w:sz w:val="24"/>
          <w:szCs w:val="24"/>
        </w:rPr>
      </w:pPr>
      <w:r>
        <w:rPr>
          <w:rFonts w:ascii="Arial" w:hAnsi="Arial" w:cs="Arial"/>
          <w:sz w:val="24"/>
          <w:szCs w:val="24"/>
        </w:rPr>
        <w:t xml:space="preserve">Constitution — </w:t>
      </w:r>
      <w:r w:rsidR="0090167C">
        <w:rPr>
          <w:rFonts w:ascii="Arial" w:hAnsi="Arial" w:cs="Arial"/>
          <w:sz w:val="24"/>
          <w:szCs w:val="24"/>
        </w:rPr>
        <w:t>T</w:t>
      </w:r>
      <w:r w:rsidRPr="00AB55ED">
        <w:rPr>
          <w:rFonts w:ascii="Arial" w:hAnsi="Arial" w:cs="Arial"/>
          <w:sz w:val="24"/>
          <w:szCs w:val="24"/>
        </w:rPr>
        <w:t>he legality of the differentiation</w:t>
      </w:r>
      <w:r>
        <w:rPr>
          <w:rFonts w:ascii="Arial" w:hAnsi="Arial" w:cs="Arial"/>
          <w:sz w:val="24"/>
          <w:szCs w:val="24"/>
        </w:rPr>
        <w:t xml:space="preserve"> — </w:t>
      </w:r>
      <w:r w:rsidR="0090167C">
        <w:rPr>
          <w:rFonts w:ascii="Arial" w:hAnsi="Arial" w:cs="Arial"/>
          <w:sz w:val="24"/>
          <w:szCs w:val="24"/>
        </w:rPr>
        <w:t>T</w:t>
      </w:r>
      <w:r w:rsidRPr="00AB55ED">
        <w:rPr>
          <w:rFonts w:ascii="Arial" w:hAnsi="Arial" w:cs="Arial"/>
          <w:sz w:val="24"/>
          <w:szCs w:val="24"/>
        </w:rPr>
        <w:t xml:space="preserve">he person or body which has made it bears the burden to prove that it does not amount to constitutionally impermissible discrimination in the pejorative </w:t>
      </w:r>
      <w:r w:rsidR="00152157" w:rsidRPr="00AB55ED">
        <w:rPr>
          <w:rFonts w:ascii="Arial" w:hAnsi="Arial" w:cs="Arial"/>
          <w:sz w:val="24"/>
          <w:szCs w:val="24"/>
        </w:rPr>
        <w:t>sense</w:t>
      </w:r>
      <w:r w:rsidR="00152157">
        <w:rPr>
          <w:rFonts w:ascii="Arial" w:hAnsi="Arial" w:cs="Arial"/>
          <w:sz w:val="24"/>
          <w:szCs w:val="24"/>
        </w:rPr>
        <w:t xml:space="preserve"> </w:t>
      </w:r>
      <w:r w:rsidR="00152157" w:rsidRPr="00D76584">
        <w:t>—</w:t>
      </w:r>
      <w:r w:rsidR="00D76584" w:rsidRPr="00D76584">
        <w:rPr>
          <w:rFonts w:ascii="Arial" w:hAnsi="Arial" w:cs="Arial"/>
          <w:sz w:val="24"/>
          <w:szCs w:val="24"/>
        </w:rPr>
        <w:t xml:space="preserve"> </w:t>
      </w:r>
      <w:r w:rsidR="0090167C">
        <w:rPr>
          <w:rFonts w:ascii="Arial" w:hAnsi="Arial" w:cs="Arial"/>
          <w:sz w:val="24"/>
          <w:szCs w:val="24"/>
        </w:rPr>
        <w:t>D</w:t>
      </w:r>
      <w:r w:rsidR="0037253D">
        <w:rPr>
          <w:rFonts w:ascii="Arial" w:hAnsi="Arial" w:cs="Arial"/>
          <w:sz w:val="24"/>
          <w:szCs w:val="24"/>
        </w:rPr>
        <w:t xml:space="preserve">ifferentiation between groups of members not unreasonable and benefit not </w:t>
      </w:r>
      <w:r w:rsidR="00B27C0D">
        <w:rPr>
          <w:rFonts w:ascii="Arial" w:hAnsi="Arial" w:cs="Arial"/>
          <w:sz w:val="24"/>
          <w:szCs w:val="24"/>
        </w:rPr>
        <w:t>applicable</w:t>
      </w:r>
      <w:r w:rsidR="0037253D">
        <w:rPr>
          <w:rFonts w:ascii="Arial" w:hAnsi="Arial" w:cs="Arial"/>
          <w:sz w:val="24"/>
          <w:szCs w:val="24"/>
        </w:rPr>
        <w:t>, without discrimination, to all appointed after 1 March 2013</w:t>
      </w:r>
      <w:r w:rsidR="00CC6EE1">
        <w:rPr>
          <w:rFonts w:ascii="Arial" w:hAnsi="Arial" w:cs="Arial"/>
          <w:sz w:val="24"/>
          <w:szCs w:val="24"/>
        </w:rPr>
        <w:t>.</w:t>
      </w:r>
    </w:p>
    <w:p w:rsidR="00D76584" w:rsidRDefault="00D76584" w:rsidP="00FE2178">
      <w:pPr>
        <w:spacing w:after="0" w:line="360" w:lineRule="auto"/>
        <w:jc w:val="both"/>
        <w:rPr>
          <w:rFonts w:ascii="Arial" w:hAnsi="Arial" w:cs="Arial"/>
          <w:sz w:val="24"/>
          <w:szCs w:val="24"/>
        </w:rPr>
      </w:pPr>
    </w:p>
    <w:p w:rsidR="005B70F5" w:rsidRDefault="00E60BC0" w:rsidP="00FE2178">
      <w:pPr>
        <w:spacing w:after="0" w:line="360" w:lineRule="auto"/>
        <w:jc w:val="both"/>
        <w:rPr>
          <w:rFonts w:ascii="Arial" w:hAnsi="Arial" w:cs="Arial"/>
          <w:sz w:val="24"/>
          <w:szCs w:val="24"/>
        </w:rPr>
      </w:pPr>
      <w:r w:rsidRPr="00E60BC0">
        <w:rPr>
          <w:rFonts w:ascii="Arial" w:hAnsi="Arial" w:cs="Arial"/>
          <w:sz w:val="24"/>
          <w:szCs w:val="24"/>
        </w:rPr>
        <w:t xml:space="preserve">Practice — Parties — Authority to institute proceedings — Power of attorney authorising </w:t>
      </w:r>
      <w:r>
        <w:rPr>
          <w:rFonts w:ascii="Arial" w:hAnsi="Arial" w:cs="Arial"/>
          <w:sz w:val="24"/>
          <w:szCs w:val="24"/>
        </w:rPr>
        <w:t>acting Chief Executive Officer to institute action —</w:t>
      </w:r>
      <w:r w:rsidRPr="00E60BC0">
        <w:rPr>
          <w:rFonts w:ascii="Arial" w:hAnsi="Arial" w:cs="Arial"/>
          <w:sz w:val="24"/>
          <w:szCs w:val="24"/>
        </w:rPr>
        <w:t xml:space="preserve"> Minimum evidence required that of </w:t>
      </w:r>
      <w:r>
        <w:rPr>
          <w:rFonts w:ascii="Arial" w:hAnsi="Arial" w:cs="Arial"/>
          <w:sz w:val="24"/>
          <w:szCs w:val="24"/>
        </w:rPr>
        <w:t xml:space="preserve">the </w:t>
      </w:r>
      <w:r w:rsidRPr="00E60BC0">
        <w:rPr>
          <w:rFonts w:ascii="Arial" w:hAnsi="Arial" w:cs="Arial"/>
          <w:sz w:val="24"/>
          <w:szCs w:val="24"/>
        </w:rPr>
        <w:t xml:space="preserve">resolution of corporation — Lack of </w:t>
      </w:r>
      <w:r>
        <w:rPr>
          <w:rFonts w:ascii="Arial" w:hAnsi="Arial" w:cs="Arial"/>
          <w:sz w:val="24"/>
          <w:szCs w:val="24"/>
        </w:rPr>
        <w:t>evidence that acting CEO has been has been acting in consultation with the Chairperson of the Management Committee — Counter application null and void for lack of authority.</w:t>
      </w:r>
    </w:p>
    <w:p w:rsidR="005B70F5" w:rsidRPr="00BE6426" w:rsidRDefault="005B70F5" w:rsidP="00FE2178">
      <w:pPr>
        <w:spacing w:after="0" w:line="360" w:lineRule="auto"/>
        <w:jc w:val="both"/>
        <w:rPr>
          <w:rFonts w:ascii="Arial" w:hAnsi="Arial" w:cs="Arial"/>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b/>
          <w:sz w:val="24"/>
          <w:szCs w:val="24"/>
        </w:rPr>
        <w:t>Summary:</w:t>
      </w:r>
      <w:r w:rsidRPr="00C2360F">
        <w:rPr>
          <w:rFonts w:ascii="Arial" w:hAnsi="Arial" w:cs="Arial"/>
          <w:sz w:val="24"/>
          <w:szCs w:val="24"/>
        </w:rPr>
        <w:tab/>
      </w:r>
      <w:r w:rsidR="0037253D">
        <w:rPr>
          <w:rFonts w:ascii="Arial" w:hAnsi="Arial" w:cs="Arial"/>
          <w:sz w:val="24"/>
          <w:szCs w:val="24"/>
        </w:rPr>
        <w:t>The applicants were appointed as members in accordance with the Windhoek</w:t>
      </w:r>
      <w:r w:rsidR="0037253D" w:rsidRPr="00BE6426">
        <w:rPr>
          <w:rFonts w:ascii="Arial" w:hAnsi="Arial" w:cs="Arial"/>
          <w:sz w:val="24"/>
          <w:szCs w:val="24"/>
        </w:rPr>
        <w:t xml:space="preserve"> Munic</w:t>
      </w:r>
      <w:r w:rsidR="0037253D">
        <w:rPr>
          <w:rFonts w:ascii="Arial" w:hAnsi="Arial" w:cs="Arial"/>
          <w:sz w:val="24"/>
          <w:szCs w:val="24"/>
        </w:rPr>
        <w:t xml:space="preserve">ipal Police Service Regulations which came into effect on 1 March 2013. They claimed a bonus leave benefit which, according to their contract of employment, accrued to them five years after their appointment </w:t>
      </w:r>
      <w:r w:rsidR="00103F32">
        <w:rPr>
          <w:rFonts w:ascii="Arial" w:hAnsi="Arial" w:cs="Arial"/>
          <w:sz w:val="24"/>
          <w:szCs w:val="24"/>
        </w:rPr>
        <w:t>i.e.</w:t>
      </w:r>
      <w:r w:rsidR="0037253D">
        <w:rPr>
          <w:rFonts w:ascii="Arial" w:hAnsi="Arial" w:cs="Arial"/>
          <w:sz w:val="24"/>
          <w:szCs w:val="24"/>
        </w:rPr>
        <w:t xml:space="preserve"> during or about August 2013. The first respondent refused to grant the benefit relying on the fact that the term of the</w:t>
      </w:r>
      <w:r w:rsidR="00103F32">
        <w:rPr>
          <w:rFonts w:ascii="Arial" w:hAnsi="Arial" w:cs="Arial"/>
          <w:sz w:val="24"/>
          <w:szCs w:val="24"/>
        </w:rPr>
        <w:t xml:space="preserve"> contract was in conflict with r</w:t>
      </w:r>
      <w:r w:rsidR="0037253D">
        <w:rPr>
          <w:rFonts w:ascii="Arial" w:hAnsi="Arial" w:cs="Arial"/>
          <w:sz w:val="24"/>
          <w:szCs w:val="24"/>
        </w:rPr>
        <w:t xml:space="preserve">egulation 37(1) of the Service Regulations. The applicants now claim </w:t>
      </w:r>
      <w:r w:rsidR="005669F3">
        <w:rPr>
          <w:rFonts w:ascii="Arial" w:hAnsi="Arial" w:cs="Arial"/>
          <w:sz w:val="24"/>
          <w:szCs w:val="24"/>
        </w:rPr>
        <w:t>the entitlement to the bonus leave alternatively payment in lieu thereof. The first respondent instituted a counter-application. This was struck from the roll for lack of authority.</w:t>
      </w:r>
    </w:p>
    <w:p w:rsidR="005669F3" w:rsidRDefault="005669F3" w:rsidP="00FE2178">
      <w:pPr>
        <w:spacing w:after="0" w:line="360" w:lineRule="auto"/>
        <w:jc w:val="both"/>
        <w:rPr>
          <w:rFonts w:ascii="Arial" w:hAnsi="Arial" w:cs="Arial"/>
          <w:sz w:val="24"/>
          <w:szCs w:val="24"/>
        </w:rPr>
      </w:pPr>
      <w:r w:rsidRPr="00811C6A">
        <w:rPr>
          <w:rFonts w:ascii="Arial" w:hAnsi="Arial" w:cs="Arial"/>
          <w:i/>
          <w:sz w:val="24"/>
          <w:szCs w:val="24"/>
        </w:rPr>
        <w:t>Held</w:t>
      </w:r>
      <w:r w:rsidR="00754360">
        <w:rPr>
          <w:rFonts w:ascii="Arial" w:hAnsi="Arial" w:cs="Arial"/>
          <w:i/>
          <w:sz w:val="24"/>
          <w:szCs w:val="24"/>
        </w:rPr>
        <w:t>,</w:t>
      </w:r>
      <w:r w:rsidR="0090167C">
        <w:rPr>
          <w:rFonts w:ascii="Arial" w:hAnsi="Arial" w:cs="Arial"/>
          <w:sz w:val="24"/>
          <w:szCs w:val="24"/>
        </w:rPr>
        <w:t xml:space="preserve"> that t</w:t>
      </w:r>
      <w:r w:rsidR="00362CE1">
        <w:rPr>
          <w:rFonts w:ascii="Arial" w:hAnsi="Arial" w:cs="Arial"/>
          <w:sz w:val="24"/>
          <w:szCs w:val="24"/>
        </w:rPr>
        <w:t xml:space="preserve">he literal and grammatical interpretation of regulation 37(1) is that those members who were in the service of the Council on 1 December 2004 </w:t>
      </w:r>
      <w:r w:rsidR="00280D10">
        <w:rPr>
          <w:rFonts w:ascii="Arial" w:hAnsi="Arial" w:cs="Arial"/>
          <w:sz w:val="24"/>
          <w:szCs w:val="24"/>
        </w:rPr>
        <w:t>are</w:t>
      </w:r>
      <w:r w:rsidR="00362CE1">
        <w:rPr>
          <w:rFonts w:ascii="Arial" w:hAnsi="Arial" w:cs="Arial"/>
          <w:sz w:val="24"/>
          <w:szCs w:val="24"/>
        </w:rPr>
        <w:t xml:space="preserve"> entitled to bonus leave if they had completed five years of uninterrupted service and they would also </w:t>
      </w:r>
      <w:r w:rsidR="00362CE1">
        <w:rPr>
          <w:rFonts w:ascii="Arial" w:hAnsi="Arial" w:cs="Arial"/>
          <w:sz w:val="24"/>
          <w:szCs w:val="24"/>
        </w:rPr>
        <w:lastRenderedPageBreak/>
        <w:t>be entitled to a further bonus leave</w:t>
      </w:r>
      <w:r w:rsidR="00103F32">
        <w:rPr>
          <w:rFonts w:ascii="Arial" w:hAnsi="Arial" w:cs="Arial"/>
          <w:sz w:val="24"/>
          <w:szCs w:val="24"/>
        </w:rPr>
        <w:t xml:space="preserve"> upon completion of a further five </w:t>
      </w:r>
      <w:r w:rsidR="00362CE1">
        <w:rPr>
          <w:rFonts w:ascii="Arial" w:hAnsi="Arial" w:cs="Arial"/>
          <w:sz w:val="24"/>
          <w:szCs w:val="24"/>
        </w:rPr>
        <w:t xml:space="preserve">year continuous service. </w:t>
      </w:r>
      <w:r>
        <w:rPr>
          <w:rFonts w:ascii="Arial" w:hAnsi="Arial" w:cs="Arial"/>
          <w:sz w:val="24"/>
          <w:szCs w:val="24"/>
        </w:rPr>
        <w:tab/>
      </w:r>
    </w:p>
    <w:p w:rsidR="002C61F1" w:rsidRDefault="002C61F1" w:rsidP="001E2783">
      <w:pPr>
        <w:spacing w:after="0" w:line="360" w:lineRule="auto"/>
        <w:jc w:val="both"/>
        <w:rPr>
          <w:rFonts w:ascii="Arial" w:hAnsi="Arial" w:cs="Arial"/>
          <w:sz w:val="24"/>
          <w:szCs w:val="24"/>
        </w:rPr>
      </w:pPr>
    </w:p>
    <w:p w:rsidR="001E2783" w:rsidRDefault="00362CE1" w:rsidP="001E2783">
      <w:pPr>
        <w:spacing w:after="0" w:line="360" w:lineRule="auto"/>
        <w:jc w:val="both"/>
        <w:rPr>
          <w:rFonts w:ascii="Arial" w:hAnsi="Arial" w:cs="Arial"/>
          <w:sz w:val="24"/>
          <w:szCs w:val="24"/>
        </w:rPr>
      </w:pPr>
      <w:r w:rsidRPr="00811C6A">
        <w:rPr>
          <w:rFonts w:ascii="Arial" w:hAnsi="Arial" w:cs="Arial"/>
          <w:i/>
          <w:sz w:val="24"/>
          <w:szCs w:val="24"/>
        </w:rPr>
        <w:t>Held</w:t>
      </w:r>
      <w:r w:rsidR="00754360">
        <w:rPr>
          <w:rFonts w:ascii="Arial" w:hAnsi="Arial" w:cs="Arial"/>
          <w:i/>
          <w:sz w:val="24"/>
          <w:szCs w:val="24"/>
        </w:rPr>
        <w:t>,</w:t>
      </w:r>
      <w:r>
        <w:rPr>
          <w:rFonts w:ascii="Arial" w:hAnsi="Arial" w:cs="Arial"/>
          <w:sz w:val="24"/>
          <w:szCs w:val="24"/>
        </w:rPr>
        <w:t xml:space="preserve"> further</w:t>
      </w:r>
      <w:r w:rsidR="003D77CC">
        <w:rPr>
          <w:rFonts w:ascii="Arial" w:hAnsi="Arial" w:cs="Arial"/>
          <w:sz w:val="24"/>
          <w:szCs w:val="24"/>
        </w:rPr>
        <w:t>, that</w:t>
      </w:r>
      <w:r w:rsidR="001E2783" w:rsidRPr="001E2783">
        <w:rPr>
          <w:rFonts w:ascii="Arial" w:hAnsi="Arial" w:cs="Arial"/>
          <w:sz w:val="24"/>
          <w:szCs w:val="24"/>
        </w:rPr>
        <w:t xml:space="preserve"> </w:t>
      </w:r>
      <w:r w:rsidR="003D77CC">
        <w:rPr>
          <w:rFonts w:ascii="Arial" w:hAnsi="Arial" w:cs="Arial"/>
          <w:sz w:val="24"/>
          <w:szCs w:val="24"/>
        </w:rPr>
        <w:t>t</w:t>
      </w:r>
      <w:r w:rsidR="001E2783">
        <w:rPr>
          <w:rFonts w:ascii="Arial" w:hAnsi="Arial" w:cs="Arial"/>
          <w:sz w:val="24"/>
          <w:szCs w:val="24"/>
        </w:rPr>
        <w:t>he legislative intent was not to extend this benefit to include the applicants who were appointed after 1 March 2013.</w:t>
      </w:r>
    </w:p>
    <w:p w:rsidR="00B27C0D" w:rsidRDefault="00B27C0D" w:rsidP="001E2783">
      <w:pPr>
        <w:spacing w:after="0" w:line="360" w:lineRule="auto"/>
        <w:jc w:val="both"/>
        <w:rPr>
          <w:rFonts w:ascii="Arial" w:hAnsi="Arial" w:cs="Arial"/>
          <w:sz w:val="24"/>
          <w:szCs w:val="24"/>
          <w:lang w:val="en-ZA"/>
        </w:rPr>
      </w:pPr>
    </w:p>
    <w:p w:rsidR="002C61F1" w:rsidRDefault="00B27C0D" w:rsidP="001E2783">
      <w:pPr>
        <w:spacing w:after="0" w:line="360" w:lineRule="auto"/>
        <w:jc w:val="both"/>
        <w:rPr>
          <w:rFonts w:ascii="Arial" w:hAnsi="Arial" w:cs="Arial"/>
          <w:sz w:val="24"/>
          <w:szCs w:val="24"/>
          <w:lang w:val="en-ZA"/>
        </w:rPr>
      </w:pPr>
      <w:r w:rsidRPr="00811C6A">
        <w:rPr>
          <w:rFonts w:ascii="Arial" w:hAnsi="Arial" w:cs="Arial"/>
          <w:i/>
          <w:sz w:val="24"/>
          <w:szCs w:val="24"/>
          <w:lang w:val="en-ZA"/>
        </w:rPr>
        <w:t>Held</w:t>
      </w:r>
      <w:r w:rsidR="00754360">
        <w:rPr>
          <w:rFonts w:ascii="Arial" w:hAnsi="Arial" w:cs="Arial"/>
          <w:i/>
          <w:sz w:val="24"/>
          <w:szCs w:val="24"/>
          <w:lang w:val="en-ZA"/>
        </w:rPr>
        <w:t>,</w:t>
      </w:r>
      <w:r>
        <w:rPr>
          <w:rFonts w:ascii="Arial" w:hAnsi="Arial" w:cs="Arial"/>
          <w:sz w:val="24"/>
          <w:szCs w:val="24"/>
          <w:lang w:val="en-ZA"/>
        </w:rPr>
        <w:t xml:space="preserve"> further</w:t>
      </w:r>
      <w:r w:rsidR="003D77CC">
        <w:rPr>
          <w:rFonts w:ascii="Arial" w:hAnsi="Arial" w:cs="Arial"/>
          <w:sz w:val="24"/>
          <w:szCs w:val="24"/>
          <w:lang w:val="en-ZA"/>
        </w:rPr>
        <w:t>, that a</w:t>
      </w:r>
      <w:r w:rsidR="002C61F1">
        <w:rPr>
          <w:rFonts w:ascii="Arial" w:hAnsi="Arial" w:cs="Arial"/>
          <w:sz w:val="24"/>
          <w:szCs w:val="24"/>
          <w:lang w:val="en-ZA"/>
        </w:rPr>
        <w:t xml:space="preserve">lthough there is differentiation between the </w:t>
      </w:r>
      <w:r w:rsidR="00280D10">
        <w:rPr>
          <w:rFonts w:ascii="Arial" w:hAnsi="Arial" w:cs="Arial"/>
          <w:sz w:val="24"/>
          <w:szCs w:val="24"/>
          <w:lang w:val="en-ZA"/>
        </w:rPr>
        <w:t>groups that</w:t>
      </w:r>
      <w:r w:rsidR="002C61F1">
        <w:rPr>
          <w:rFonts w:ascii="Arial" w:hAnsi="Arial" w:cs="Arial"/>
          <w:sz w:val="24"/>
          <w:szCs w:val="24"/>
          <w:lang w:val="en-ZA"/>
        </w:rPr>
        <w:t xml:space="preserve"> it is reasonably justifiable and it further applies without discrimination to all members who joined the Municipal Police force after 1 March 2013.</w:t>
      </w:r>
    </w:p>
    <w:p w:rsidR="00B27C0D" w:rsidRDefault="00B27C0D" w:rsidP="001E2783">
      <w:pPr>
        <w:spacing w:after="0" w:line="360" w:lineRule="auto"/>
        <w:jc w:val="both"/>
        <w:rPr>
          <w:rFonts w:ascii="Arial" w:hAnsi="Arial" w:cs="Arial"/>
          <w:sz w:val="24"/>
          <w:szCs w:val="24"/>
          <w:lang w:val="en-ZA"/>
        </w:rPr>
      </w:pPr>
    </w:p>
    <w:p w:rsidR="00BD3164" w:rsidRDefault="00B27C0D" w:rsidP="00FE2178">
      <w:pPr>
        <w:spacing w:after="0" w:line="360" w:lineRule="auto"/>
        <w:jc w:val="both"/>
        <w:rPr>
          <w:rFonts w:ascii="Arial" w:hAnsi="Arial" w:cs="Arial"/>
          <w:sz w:val="24"/>
          <w:szCs w:val="24"/>
        </w:rPr>
      </w:pPr>
      <w:r w:rsidRPr="00811C6A">
        <w:rPr>
          <w:rFonts w:ascii="Arial" w:hAnsi="Arial" w:cs="Arial"/>
          <w:i/>
          <w:sz w:val="24"/>
          <w:szCs w:val="24"/>
        </w:rPr>
        <w:t>Held</w:t>
      </w:r>
      <w:r w:rsidR="00754360">
        <w:rPr>
          <w:rFonts w:ascii="Arial" w:hAnsi="Arial" w:cs="Arial"/>
          <w:i/>
          <w:sz w:val="24"/>
          <w:szCs w:val="24"/>
        </w:rPr>
        <w:t>,</w:t>
      </w:r>
      <w:r w:rsidRPr="00811C6A">
        <w:rPr>
          <w:rFonts w:ascii="Arial" w:hAnsi="Arial" w:cs="Arial"/>
          <w:i/>
          <w:sz w:val="24"/>
          <w:szCs w:val="24"/>
        </w:rPr>
        <w:t xml:space="preserve"> </w:t>
      </w:r>
      <w:r>
        <w:rPr>
          <w:rFonts w:ascii="Arial" w:hAnsi="Arial" w:cs="Arial"/>
          <w:sz w:val="24"/>
          <w:szCs w:val="24"/>
        </w:rPr>
        <w:t>further</w:t>
      </w:r>
      <w:r w:rsidR="003D77CC">
        <w:rPr>
          <w:rFonts w:ascii="Arial" w:hAnsi="Arial" w:cs="Arial"/>
          <w:sz w:val="24"/>
          <w:szCs w:val="24"/>
        </w:rPr>
        <w:t>, that t</w:t>
      </w:r>
      <w:r>
        <w:rPr>
          <w:rFonts w:ascii="Arial" w:hAnsi="Arial" w:cs="Arial"/>
          <w:sz w:val="24"/>
          <w:szCs w:val="24"/>
        </w:rPr>
        <w:t xml:space="preserve">he term of the contract is </w:t>
      </w:r>
      <w:r w:rsidRPr="00B27C0D">
        <w:rPr>
          <w:rFonts w:ascii="Arial" w:hAnsi="Arial" w:cs="Arial"/>
          <w:i/>
          <w:sz w:val="24"/>
          <w:szCs w:val="24"/>
        </w:rPr>
        <w:t>ultra vires</w:t>
      </w:r>
      <w:r>
        <w:rPr>
          <w:rFonts w:ascii="Arial" w:hAnsi="Arial" w:cs="Arial"/>
          <w:sz w:val="24"/>
          <w:szCs w:val="24"/>
        </w:rPr>
        <w:t xml:space="preserve"> the Service Regulations.</w:t>
      </w:r>
    </w:p>
    <w:p w:rsidR="00C27FEA" w:rsidRDefault="00C27FEA" w:rsidP="00FE2178">
      <w:pPr>
        <w:spacing w:after="0" w:line="360" w:lineRule="auto"/>
        <w:jc w:val="both"/>
        <w:rPr>
          <w:rFonts w:ascii="Arial" w:hAnsi="Arial" w:cs="Arial"/>
          <w:sz w:val="24"/>
          <w:szCs w:val="24"/>
        </w:rPr>
      </w:pPr>
    </w:p>
    <w:p w:rsidR="00FE2178" w:rsidRPr="00C2360F" w:rsidRDefault="00BD2420"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BD2420"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B27C0D" w:rsidRPr="00C2360F" w:rsidRDefault="00B27C0D" w:rsidP="00FE2178">
      <w:pPr>
        <w:spacing w:after="0" w:line="360" w:lineRule="auto"/>
        <w:jc w:val="both"/>
        <w:rPr>
          <w:rFonts w:ascii="Arial" w:hAnsi="Arial" w:cs="Arial"/>
          <w:sz w:val="24"/>
          <w:szCs w:val="24"/>
        </w:rPr>
      </w:pPr>
    </w:p>
    <w:p w:rsidR="00E473A9" w:rsidRDefault="00E473A9" w:rsidP="00E473A9">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application for this court to grant an order in respect of pray</w:t>
      </w:r>
      <w:r w:rsidR="00CC47F7">
        <w:rPr>
          <w:rFonts w:ascii="Arial" w:hAnsi="Arial" w:cs="Arial"/>
          <w:sz w:val="24"/>
          <w:szCs w:val="24"/>
        </w:rPr>
        <w:t>er</w:t>
      </w:r>
      <w:r>
        <w:rPr>
          <w:rFonts w:ascii="Arial" w:hAnsi="Arial" w:cs="Arial"/>
          <w:sz w:val="24"/>
          <w:szCs w:val="24"/>
        </w:rPr>
        <w:t xml:space="preserve"> 2 and 3, is dismissed with costs, the cost is to include the cost of one instructing and one instructed counsel. The applicants are to pay the </w:t>
      </w:r>
      <w:r w:rsidR="005669F3">
        <w:rPr>
          <w:rFonts w:ascii="Arial" w:hAnsi="Arial" w:cs="Arial"/>
          <w:sz w:val="24"/>
          <w:szCs w:val="24"/>
        </w:rPr>
        <w:t xml:space="preserve">first </w:t>
      </w:r>
      <w:r>
        <w:rPr>
          <w:rFonts w:ascii="Arial" w:hAnsi="Arial" w:cs="Arial"/>
          <w:sz w:val="24"/>
          <w:szCs w:val="24"/>
        </w:rPr>
        <w:t>respondent</w:t>
      </w:r>
      <w:r w:rsidR="005669F3">
        <w:rPr>
          <w:rFonts w:ascii="Arial" w:hAnsi="Arial" w:cs="Arial"/>
          <w:sz w:val="24"/>
          <w:szCs w:val="24"/>
        </w:rPr>
        <w:t>’</w:t>
      </w:r>
      <w:r>
        <w:rPr>
          <w:rFonts w:ascii="Arial" w:hAnsi="Arial" w:cs="Arial"/>
          <w:sz w:val="24"/>
          <w:szCs w:val="24"/>
        </w:rPr>
        <w:t>s costs jointly and severally, the one paying the other to be absolved.</w:t>
      </w:r>
    </w:p>
    <w:p w:rsidR="003D3EAA" w:rsidRDefault="003D3EAA" w:rsidP="003D3EAA">
      <w:pPr>
        <w:pStyle w:val="ListParagraph"/>
        <w:spacing w:after="0" w:line="360" w:lineRule="auto"/>
        <w:jc w:val="both"/>
        <w:rPr>
          <w:rFonts w:ascii="Arial" w:hAnsi="Arial" w:cs="Arial"/>
          <w:sz w:val="24"/>
          <w:szCs w:val="24"/>
        </w:rPr>
      </w:pPr>
    </w:p>
    <w:p w:rsidR="005669F3" w:rsidRDefault="00E473A9" w:rsidP="005669F3">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applicants must pay the wasted costs of the second respondent jointly and severally, the one paying the other to be absolved.</w:t>
      </w:r>
    </w:p>
    <w:p w:rsidR="003D3EAA" w:rsidRPr="003D3EAA" w:rsidRDefault="003D3EAA" w:rsidP="003D3EAA">
      <w:pPr>
        <w:spacing w:after="0" w:line="360" w:lineRule="auto"/>
        <w:jc w:val="both"/>
        <w:rPr>
          <w:rFonts w:ascii="Arial" w:hAnsi="Arial" w:cs="Arial"/>
          <w:sz w:val="24"/>
          <w:szCs w:val="24"/>
        </w:rPr>
      </w:pPr>
    </w:p>
    <w:p w:rsidR="00B27C0D" w:rsidRPr="00152157" w:rsidRDefault="00E473A9" w:rsidP="00152157">
      <w:pPr>
        <w:pStyle w:val="ListParagraph"/>
        <w:numPr>
          <w:ilvl w:val="0"/>
          <w:numId w:val="7"/>
        </w:numPr>
        <w:spacing w:after="0" w:line="360" w:lineRule="auto"/>
        <w:jc w:val="both"/>
        <w:rPr>
          <w:rFonts w:ascii="Arial" w:hAnsi="Arial" w:cs="Arial"/>
          <w:sz w:val="24"/>
          <w:szCs w:val="24"/>
        </w:rPr>
      </w:pPr>
      <w:r w:rsidRPr="005669F3">
        <w:rPr>
          <w:rFonts w:ascii="Arial" w:hAnsi="Arial" w:cs="Arial"/>
          <w:sz w:val="24"/>
          <w:szCs w:val="24"/>
        </w:rPr>
        <w:t>The counter-application of the first respondent is struck from the roll with costs, which costs is to include the costs of one instructing and one instructed counsel.</w:t>
      </w:r>
    </w:p>
    <w:p w:rsidR="00537714" w:rsidRDefault="00537714" w:rsidP="00B27C0D">
      <w:pPr>
        <w:spacing w:after="0" w:line="360" w:lineRule="auto"/>
        <w:jc w:val="both"/>
        <w:rPr>
          <w:rFonts w:ascii="Arial" w:hAnsi="Arial" w:cs="Arial"/>
          <w:sz w:val="24"/>
          <w:szCs w:val="24"/>
        </w:rPr>
      </w:pPr>
    </w:p>
    <w:p w:rsidR="00152157" w:rsidRDefault="00152157" w:rsidP="00B27C0D">
      <w:pPr>
        <w:spacing w:after="0" w:line="360" w:lineRule="auto"/>
        <w:jc w:val="both"/>
        <w:rPr>
          <w:rFonts w:ascii="Arial" w:hAnsi="Arial" w:cs="Arial"/>
          <w:sz w:val="24"/>
          <w:szCs w:val="24"/>
        </w:rPr>
      </w:pPr>
    </w:p>
    <w:p w:rsidR="00152157" w:rsidRDefault="00152157" w:rsidP="00B27C0D">
      <w:pPr>
        <w:spacing w:after="0" w:line="360" w:lineRule="auto"/>
        <w:jc w:val="both"/>
        <w:rPr>
          <w:rFonts w:ascii="Arial" w:hAnsi="Arial" w:cs="Arial"/>
          <w:sz w:val="24"/>
          <w:szCs w:val="24"/>
        </w:rPr>
      </w:pPr>
    </w:p>
    <w:p w:rsidR="00152157" w:rsidRDefault="00152157" w:rsidP="00B27C0D">
      <w:pPr>
        <w:spacing w:after="0" w:line="360" w:lineRule="auto"/>
        <w:jc w:val="both"/>
        <w:rPr>
          <w:rFonts w:ascii="Arial" w:hAnsi="Arial" w:cs="Arial"/>
          <w:sz w:val="24"/>
          <w:szCs w:val="24"/>
        </w:rPr>
      </w:pPr>
    </w:p>
    <w:p w:rsidR="00152157" w:rsidRPr="00B27C0D" w:rsidRDefault="00152157" w:rsidP="00B27C0D">
      <w:pPr>
        <w:spacing w:after="0" w:line="360" w:lineRule="auto"/>
        <w:jc w:val="both"/>
        <w:rPr>
          <w:rFonts w:ascii="Arial" w:hAnsi="Arial" w:cs="Arial"/>
          <w:sz w:val="24"/>
          <w:szCs w:val="24"/>
        </w:rPr>
      </w:pPr>
    </w:p>
    <w:p w:rsidR="00FE2178" w:rsidRPr="00C2360F" w:rsidRDefault="00BD2420" w:rsidP="00FE2178">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BD2420"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021DD" w:rsidRDefault="00F021DD" w:rsidP="00FE2178">
      <w:pPr>
        <w:spacing w:after="0" w:line="360" w:lineRule="auto"/>
        <w:ind w:left="1440" w:hanging="1440"/>
        <w:jc w:val="both"/>
        <w:rPr>
          <w:rFonts w:ascii="Arial" w:hAnsi="Arial" w:cs="Arial"/>
          <w:sz w:val="24"/>
          <w:szCs w:val="24"/>
        </w:rPr>
      </w:pPr>
    </w:p>
    <w:p w:rsidR="00FE2178" w:rsidRDefault="00042D0A" w:rsidP="00FE2178">
      <w:pPr>
        <w:spacing w:after="0" w:line="360" w:lineRule="auto"/>
        <w:ind w:left="1440" w:hanging="1440"/>
        <w:jc w:val="both"/>
        <w:rPr>
          <w:rFonts w:ascii="Arial" w:hAnsi="Arial" w:cs="Arial"/>
          <w:sz w:val="24"/>
          <w:szCs w:val="24"/>
        </w:rPr>
      </w:pPr>
      <w:r>
        <w:rPr>
          <w:rFonts w:ascii="Arial" w:hAnsi="Arial" w:cs="Arial"/>
          <w:sz w:val="24"/>
          <w:szCs w:val="24"/>
        </w:rPr>
        <w:t xml:space="preserve">TOMMASI </w:t>
      </w:r>
      <w:r w:rsidR="00FE2178" w:rsidRPr="00C2360F">
        <w:rPr>
          <w:rFonts w:ascii="Arial" w:hAnsi="Arial" w:cs="Arial"/>
          <w:sz w:val="24"/>
          <w:szCs w:val="24"/>
        </w:rPr>
        <w:t>J:</w:t>
      </w:r>
    </w:p>
    <w:p w:rsidR="005E02C7" w:rsidRDefault="005E02C7" w:rsidP="00FE2178">
      <w:pPr>
        <w:spacing w:after="0" w:line="360" w:lineRule="auto"/>
        <w:ind w:left="1440" w:hanging="1440"/>
        <w:jc w:val="both"/>
        <w:rPr>
          <w:rFonts w:ascii="Arial" w:hAnsi="Arial" w:cs="Arial"/>
          <w:sz w:val="24"/>
          <w:szCs w:val="24"/>
        </w:rPr>
      </w:pPr>
    </w:p>
    <w:p w:rsidR="00C87E8A" w:rsidRDefault="00C87E8A" w:rsidP="00C87E8A">
      <w:pPr>
        <w:spacing w:after="0" w:line="360" w:lineRule="auto"/>
        <w:jc w:val="both"/>
        <w:rPr>
          <w:rFonts w:ascii="Arial" w:hAnsi="Arial" w:cs="Arial"/>
          <w:sz w:val="24"/>
          <w:szCs w:val="24"/>
          <w:u w:val="single"/>
          <w:lang w:val="en-ZA"/>
        </w:rPr>
      </w:pPr>
      <w:r w:rsidRPr="00C87E8A">
        <w:rPr>
          <w:rFonts w:ascii="Arial" w:hAnsi="Arial" w:cs="Arial"/>
          <w:sz w:val="24"/>
          <w:szCs w:val="24"/>
          <w:u w:val="single"/>
          <w:lang w:val="en-ZA"/>
        </w:rPr>
        <w:t xml:space="preserve">Introduction </w:t>
      </w:r>
    </w:p>
    <w:p w:rsidR="000B1DF7" w:rsidRPr="00C87E8A" w:rsidRDefault="000B1DF7" w:rsidP="00C87E8A">
      <w:pPr>
        <w:spacing w:after="0" w:line="360" w:lineRule="auto"/>
        <w:jc w:val="both"/>
        <w:rPr>
          <w:rFonts w:ascii="Arial" w:hAnsi="Arial" w:cs="Arial"/>
          <w:sz w:val="24"/>
          <w:szCs w:val="24"/>
          <w:u w:val="single"/>
          <w:lang w:val="en-ZA"/>
        </w:rPr>
      </w:pPr>
    </w:p>
    <w:p w:rsidR="00F41734" w:rsidRPr="00F41734" w:rsidRDefault="00C87E8A" w:rsidP="00F41734">
      <w:pPr>
        <w:spacing w:after="0" w:line="360" w:lineRule="auto"/>
        <w:jc w:val="both"/>
        <w:rPr>
          <w:rFonts w:ascii="Arial" w:hAnsi="Arial" w:cs="Arial"/>
          <w:sz w:val="24"/>
          <w:szCs w:val="24"/>
          <w:lang w:val="en-ZA"/>
        </w:rPr>
      </w:pPr>
      <w:r w:rsidRPr="00C87E8A">
        <w:rPr>
          <w:rFonts w:ascii="Arial" w:hAnsi="Arial" w:cs="Arial"/>
          <w:sz w:val="24"/>
          <w:szCs w:val="24"/>
          <w:lang w:val="en-ZA"/>
        </w:rPr>
        <w:t>[</w:t>
      </w:r>
      <w:r w:rsidR="00F021DD">
        <w:rPr>
          <w:rFonts w:ascii="Arial" w:hAnsi="Arial" w:cs="Arial"/>
          <w:sz w:val="24"/>
          <w:szCs w:val="24"/>
          <w:lang w:val="en-ZA"/>
        </w:rPr>
        <w:t>1</w:t>
      </w:r>
      <w:r w:rsidRPr="00C87E8A">
        <w:rPr>
          <w:rFonts w:ascii="Arial" w:hAnsi="Arial" w:cs="Arial"/>
          <w:sz w:val="24"/>
          <w:szCs w:val="24"/>
          <w:lang w:val="en-ZA"/>
        </w:rPr>
        <w:t>]</w:t>
      </w:r>
      <w:r w:rsidRPr="00C87E8A">
        <w:rPr>
          <w:rFonts w:ascii="Arial" w:hAnsi="Arial" w:cs="Arial"/>
          <w:sz w:val="24"/>
          <w:szCs w:val="24"/>
          <w:lang w:val="en-ZA"/>
        </w:rPr>
        <w:tab/>
      </w:r>
      <w:r w:rsidR="00112772">
        <w:rPr>
          <w:rFonts w:ascii="Arial" w:hAnsi="Arial" w:cs="Arial"/>
          <w:sz w:val="24"/>
          <w:szCs w:val="24"/>
        </w:rPr>
        <w:t xml:space="preserve"> </w:t>
      </w:r>
      <w:r w:rsidR="000B1DF7">
        <w:rPr>
          <w:rFonts w:ascii="Arial" w:hAnsi="Arial" w:cs="Arial"/>
          <w:sz w:val="24"/>
          <w:szCs w:val="24"/>
        </w:rPr>
        <w:t>T</w:t>
      </w:r>
      <w:r w:rsidR="00F41734">
        <w:rPr>
          <w:rFonts w:ascii="Arial" w:hAnsi="Arial" w:cs="Arial"/>
          <w:sz w:val="24"/>
          <w:szCs w:val="24"/>
        </w:rPr>
        <w:t>his is an application for the court to consider whether to grant a declaratory order that t</w:t>
      </w:r>
      <w:r w:rsidR="00F41734" w:rsidRPr="00F41734">
        <w:rPr>
          <w:rFonts w:ascii="Arial" w:hAnsi="Arial" w:cs="Arial"/>
          <w:sz w:val="24"/>
          <w:szCs w:val="24"/>
          <w:lang w:val="en-ZA"/>
        </w:rPr>
        <w:t>he applicants are entitled to bonus leave or payment in lieu of the bonus leave in terms of regulation 37</w:t>
      </w:r>
      <w:r w:rsidR="00F41734">
        <w:rPr>
          <w:rFonts w:ascii="Arial" w:hAnsi="Arial" w:cs="Arial"/>
          <w:sz w:val="24"/>
          <w:szCs w:val="24"/>
          <w:lang w:val="en-ZA"/>
        </w:rPr>
        <w:t xml:space="preserve"> and if so order that such bonus leave be paid within 30 days from date of the court order.</w:t>
      </w:r>
    </w:p>
    <w:p w:rsidR="00F41734" w:rsidRDefault="00F41734" w:rsidP="00F41734">
      <w:pPr>
        <w:spacing w:after="0" w:line="360" w:lineRule="auto"/>
        <w:jc w:val="both"/>
        <w:rPr>
          <w:rFonts w:ascii="Arial" w:hAnsi="Arial" w:cs="Arial"/>
          <w:sz w:val="24"/>
          <w:szCs w:val="24"/>
          <w:u w:val="single"/>
          <w:lang w:val="en-ZA"/>
        </w:rPr>
      </w:pPr>
    </w:p>
    <w:p w:rsidR="00F41734" w:rsidRDefault="00F41734" w:rsidP="00F41734">
      <w:pPr>
        <w:spacing w:after="0" w:line="360" w:lineRule="auto"/>
        <w:jc w:val="both"/>
        <w:rPr>
          <w:rFonts w:ascii="Arial" w:hAnsi="Arial" w:cs="Arial"/>
          <w:sz w:val="24"/>
          <w:szCs w:val="24"/>
          <w:u w:val="single"/>
          <w:lang w:val="en-ZA"/>
        </w:rPr>
      </w:pPr>
      <w:r w:rsidRPr="00C87E8A">
        <w:rPr>
          <w:rFonts w:ascii="Arial" w:hAnsi="Arial" w:cs="Arial"/>
          <w:sz w:val="24"/>
          <w:szCs w:val="24"/>
          <w:u w:val="single"/>
          <w:lang w:val="en-ZA"/>
        </w:rPr>
        <w:t>Background</w:t>
      </w:r>
    </w:p>
    <w:p w:rsidR="00F021DD" w:rsidRDefault="00F021DD" w:rsidP="00F41734">
      <w:pPr>
        <w:spacing w:after="0" w:line="360" w:lineRule="auto"/>
        <w:jc w:val="both"/>
        <w:rPr>
          <w:rFonts w:ascii="Arial" w:hAnsi="Arial" w:cs="Arial"/>
          <w:sz w:val="24"/>
          <w:szCs w:val="24"/>
          <w:u w:val="single"/>
          <w:lang w:val="en-ZA"/>
        </w:rPr>
      </w:pPr>
    </w:p>
    <w:p w:rsidR="00187D76" w:rsidRPr="00187D76" w:rsidRDefault="00187D76" w:rsidP="00F41734">
      <w:pPr>
        <w:spacing w:after="0" w:line="360" w:lineRule="auto"/>
        <w:jc w:val="both"/>
        <w:rPr>
          <w:rFonts w:ascii="Arial" w:hAnsi="Arial" w:cs="Arial"/>
          <w:i/>
          <w:sz w:val="24"/>
          <w:szCs w:val="24"/>
          <w:lang w:val="en-ZA"/>
        </w:rPr>
      </w:pPr>
      <w:r>
        <w:rPr>
          <w:rFonts w:ascii="Arial" w:hAnsi="Arial" w:cs="Arial"/>
          <w:i/>
          <w:sz w:val="24"/>
          <w:szCs w:val="24"/>
          <w:lang w:val="en-ZA"/>
        </w:rPr>
        <w:t>The application</w:t>
      </w:r>
    </w:p>
    <w:p w:rsidR="00F021DD" w:rsidRDefault="00F021DD" w:rsidP="00F41734">
      <w:pPr>
        <w:spacing w:after="0" w:line="360" w:lineRule="auto"/>
        <w:jc w:val="both"/>
        <w:rPr>
          <w:rFonts w:ascii="Arial" w:hAnsi="Arial" w:cs="Arial"/>
          <w:sz w:val="24"/>
          <w:szCs w:val="24"/>
          <w:lang w:val="en-ZA"/>
        </w:rPr>
      </w:pPr>
    </w:p>
    <w:p w:rsidR="00645922" w:rsidRDefault="00F41734"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t xml:space="preserve">The applicants are all employed by the second respondent as Cadet Constables since August 2014. The applicants </w:t>
      </w:r>
      <w:r w:rsidR="005669F3">
        <w:rPr>
          <w:rFonts w:ascii="Arial" w:hAnsi="Arial" w:cs="Arial"/>
          <w:sz w:val="24"/>
          <w:szCs w:val="24"/>
          <w:lang w:val="en-ZA"/>
        </w:rPr>
        <w:t xml:space="preserve">were appointed in terms of a letter of appointment which </w:t>
      </w:r>
      <w:r w:rsidR="002A241C">
        <w:rPr>
          <w:rFonts w:ascii="Arial" w:hAnsi="Arial" w:cs="Arial"/>
          <w:sz w:val="24"/>
          <w:szCs w:val="24"/>
          <w:lang w:val="en-ZA"/>
        </w:rPr>
        <w:t>stipulate</w:t>
      </w:r>
      <w:r w:rsidR="005669F3">
        <w:rPr>
          <w:rFonts w:ascii="Arial" w:hAnsi="Arial" w:cs="Arial"/>
          <w:sz w:val="24"/>
          <w:szCs w:val="24"/>
          <w:lang w:val="en-ZA"/>
        </w:rPr>
        <w:t xml:space="preserve"> </w:t>
      </w:r>
      <w:r w:rsidR="005669F3" w:rsidRPr="005669F3">
        <w:rPr>
          <w:rFonts w:ascii="Arial" w:hAnsi="Arial" w:cs="Arial"/>
          <w:i/>
          <w:sz w:val="24"/>
          <w:szCs w:val="24"/>
          <w:lang w:val="en-ZA"/>
        </w:rPr>
        <w:t>inter alia</w:t>
      </w:r>
      <w:r w:rsidR="005669F3">
        <w:rPr>
          <w:rFonts w:ascii="Arial" w:hAnsi="Arial" w:cs="Arial"/>
          <w:sz w:val="24"/>
          <w:szCs w:val="24"/>
          <w:lang w:val="en-ZA"/>
        </w:rPr>
        <w:t xml:space="preserve"> that</w:t>
      </w:r>
      <w:r w:rsidR="002A241C">
        <w:rPr>
          <w:rFonts w:ascii="Arial" w:hAnsi="Arial" w:cs="Arial"/>
          <w:sz w:val="24"/>
          <w:szCs w:val="24"/>
          <w:lang w:val="en-ZA"/>
        </w:rPr>
        <w:t xml:space="preserve"> the terms and conditions of service </w:t>
      </w:r>
      <w:r w:rsidR="00152157">
        <w:rPr>
          <w:rFonts w:ascii="Arial" w:hAnsi="Arial" w:cs="Arial"/>
          <w:sz w:val="24"/>
          <w:szCs w:val="24"/>
          <w:lang w:val="en-ZA"/>
        </w:rPr>
        <w:t xml:space="preserve">must be </w:t>
      </w:r>
      <w:r w:rsidR="002A241C">
        <w:rPr>
          <w:rFonts w:ascii="Arial" w:hAnsi="Arial" w:cs="Arial"/>
          <w:sz w:val="24"/>
          <w:szCs w:val="24"/>
          <w:lang w:val="en-ZA"/>
        </w:rPr>
        <w:t xml:space="preserve">read with the Windhoek Municipal Police Service Regulations contained in Government Notice </w:t>
      </w:r>
      <w:r w:rsidR="00645922">
        <w:rPr>
          <w:rFonts w:ascii="Arial" w:hAnsi="Arial" w:cs="Arial"/>
          <w:sz w:val="24"/>
          <w:szCs w:val="24"/>
          <w:lang w:val="en-ZA"/>
        </w:rPr>
        <w:t>No</w:t>
      </w:r>
      <w:r w:rsidR="002A241C">
        <w:rPr>
          <w:rFonts w:ascii="Arial" w:hAnsi="Arial" w:cs="Arial"/>
          <w:sz w:val="24"/>
          <w:szCs w:val="24"/>
          <w:lang w:val="en-ZA"/>
        </w:rPr>
        <w:t xml:space="preserve"> 32 of 2013 (Service Regulations 2013)</w:t>
      </w:r>
      <w:r w:rsidR="00645922">
        <w:rPr>
          <w:rFonts w:ascii="Arial" w:hAnsi="Arial" w:cs="Arial"/>
          <w:sz w:val="24"/>
          <w:szCs w:val="24"/>
          <w:lang w:val="en-ZA"/>
        </w:rPr>
        <w:t>.</w:t>
      </w:r>
      <w:r w:rsidR="002A241C">
        <w:rPr>
          <w:rFonts w:ascii="Arial" w:hAnsi="Arial" w:cs="Arial"/>
          <w:sz w:val="24"/>
          <w:szCs w:val="24"/>
          <w:lang w:val="en-ZA"/>
        </w:rPr>
        <w:t xml:space="preserve"> These regulations </w:t>
      </w:r>
      <w:r w:rsidR="00280D10">
        <w:rPr>
          <w:rFonts w:ascii="Arial" w:hAnsi="Arial" w:cs="Arial"/>
          <w:sz w:val="24"/>
          <w:szCs w:val="24"/>
          <w:lang w:val="en-ZA"/>
        </w:rPr>
        <w:t>came into effect on 1 March 2013</w:t>
      </w:r>
      <w:r w:rsidR="00645922">
        <w:rPr>
          <w:rFonts w:ascii="Arial" w:hAnsi="Arial" w:cs="Arial"/>
          <w:sz w:val="24"/>
          <w:szCs w:val="24"/>
          <w:lang w:val="en-ZA"/>
        </w:rPr>
        <w:t xml:space="preserve"> and it repealed the Municipal Police Service Regulations published under Government Notice No 296 of 1 December 2004.</w:t>
      </w:r>
    </w:p>
    <w:p w:rsidR="00645922" w:rsidRDefault="00645922" w:rsidP="00F41734">
      <w:pPr>
        <w:spacing w:after="0" w:line="360" w:lineRule="auto"/>
        <w:jc w:val="both"/>
        <w:rPr>
          <w:rFonts w:ascii="Arial" w:hAnsi="Arial" w:cs="Arial"/>
          <w:sz w:val="24"/>
          <w:szCs w:val="24"/>
          <w:lang w:val="en-ZA"/>
        </w:rPr>
      </w:pPr>
    </w:p>
    <w:p w:rsidR="00E912CF" w:rsidRDefault="005669F3"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Regulation</w:t>
      </w:r>
      <w:r w:rsidR="00645922">
        <w:rPr>
          <w:rFonts w:ascii="Arial" w:hAnsi="Arial" w:cs="Arial"/>
          <w:sz w:val="24"/>
          <w:szCs w:val="24"/>
          <w:lang w:val="en-ZA"/>
        </w:rPr>
        <w:t xml:space="preserve"> 37(1) makes provision for bonus leave. The applicants sought to claim this benefit but were informed by the</w:t>
      </w:r>
      <w:r w:rsidR="00AD4A7D">
        <w:rPr>
          <w:rFonts w:ascii="Arial" w:hAnsi="Arial" w:cs="Arial"/>
          <w:sz w:val="24"/>
          <w:szCs w:val="24"/>
          <w:lang w:val="en-ZA"/>
        </w:rPr>
        <w:t xml:space="preserve"> second respondent that their request for payment of bonus leave will be contrary to the </w:t>
      </w:r>
      <w:r>
        <w:rPr>
          <w:rFonts w:ascii="Arial" w:hAnsi="Arial" w:cs="Arial"/>
          <w:sz w:val="24"/>
          <w:szCs w:val="24"/>
          <w:lang w:val="en-ZA"/>
        </w:rPr>
        <w:t>C</w:t>
      </w:r>
      <w:r w:rsidR="00AD4A7D">
        <w:rPr>
          <w:rFonts w:ascii="Arial" w:hAnsi="Arial" w:cs="Arial"/>
          <w:sz w:val="24"/>
          <w:szCs w:val="24"/>
          <w:lang w:val="en-ZA"/>
        </w:rPr>
        <w:t>ouncil resolution 171/06/2014</w:t>
      </w:r>
      <w:r w:rsidR="00645922">
        <w:rPr>
          <w:rFonts w:ascii="Arial" w:hAnsi="Arial" w:cs="Arial"/>
          <w:sz w:val="24"/>
          <w:szCs w:val="24"/>
          <w:lang w:val="en-ZA"/>
        </w:rPr>
        <w:t xml:space="preserve"> </w:t>
      </w:r>
      <w:r w:rsidR="00AD4A7D">
        <w:rPr>
          <w:rFonts w:ascii="Arial" w:hAnsi="Arial" w:cs="Arial"/>
          <w:sz w:val="24"/>
          <w:szCs w:val="24"/>
          <w:lang w:val="en-ZA"/>
        </w:rPr>
        <w:t>and were referred t</w:t>
      </w:r>
      <w:r w:rsidR="00103F32">
        <w:rPr>
          <w:rFonts w:ascii="Arial" w:hAnsi="Arial" w:cs="Arial"/>
          <w:sz w:val="24"/>
          <w:szCs w:val="24"/>
          <w:lang w:val="en-ZA"/>
        </w:rPr>
        <w:t>o regulation 37 of the Service R</w:t>
      </w:r>
      <w:r w:rsidR="00AD4A7D">
        <w:rPr>
          <w:rFonts w:ascii="Arial" w:hAnsi="Arial" w:cs="Arial"/>
          <w:sz w:val="24"/>
          <w:szCs w:val="24"/>
          <w:lang w:val="en-ZA"/>
        </w:rPr>
        <w:t>egulations which regulates the bonus leave of members.</w:t>
      </w:r>
    </w:p>
    <w:p w:rsidR="00E912CF" w:rsidRDefault="00E912CF" w:rsidP="00F41734">
      <w:pPr>
        <w:spacing w:after="0" w:line="360" w:lineRule="auto"/>
        <w:jc w:val="both"/>
        <w:rPr>
          <w:rFonts w:ascii="Arial" w:hAnsi="Arial" w:cs="Arial"/>
          <w:sz w:val="24"/>
          <w:szCs w:val="24"/>
          <w:lang w:val="en-ZA"/>
        </w:rPr>
      </w:pPr>
    </w:p>
    <w:p w:rsidR="00112772" w:rsidRDefault="00E912CF" w:rsidP="00F41734">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F021DD">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t>It is not in dispute that the applicants exhausted the internal grievance procedure before applying to this</w:t>
      </w:r>
      <w:r w:rsidR="005669F3">
        <w:rPr>
          <w:rFonts w:ascii="Arial" w:hAnsi="Arial" w:cs="Arial"/>
          <w:sz w:val="24"/>
          <w:szCs w:val="24"/>
          <w:lang w:val="en-ZA"/>
        </w:rPr>
        <w:t xml:space="preserve"> court for the setting aside of the C</w:t>
      </w:r>
      <w:r>
        <w:rPr>
          <w:rFonts w:ascii="Arial" w:hAnsi="Arial" w:cs="Arial"/>
          <w:sz w:val="24"/>
          <w:szCs w:val="24"/>
          <w:lang w:val="en-ZA"/>
        </w:rPr>
        <w:t>ouncil resolution 171/06/2014 and for a declaratory order as stated above. The court granted the applicants the orders they sought which included the review of and the setting aside of t</w:t>
      </w:r>
      <w:r w:rsidR="005669F3">
        <w:rPr>
          <w:rFonts w:ascii="Arial" w:hAnsi="Arial" w:cs="Arial"/>
          <w:sz w:val="24"/>
          <w:szCs w:val="24"/>
          <w:lang w:val="en-ZA"/>
        </w:rPr>
        <w:t>he C</w:t>
      </w:r>
      <w:r w:rsidR="00AD4A7D">
        <w:rPr>
          <w:rFonts w:ascii="Arial" w:hAnsi="Arial" w:cs="Arial"/>
          <w:sz w:val="24"/>
          <w:szCs w:val="24"/>
          <w:lang w:val="en-ZA"/>
        </w:rPr>
        <w:t>ouncil resolution 171/06/2014</w:t>
      </w:r>
      <w:r>
        <w:rPr>
          <w:rFonts w:ascii="Arial" w:hAnsi="Arial" w:cs="Arial"/>
          <w:sz w:val="24"/>
          <w:szCs w:val="24"/>
          <w:lang w:val="en-ZA"/>
        </w:rPr>
        <w:t xml:space="preserve"> on 24 January 2022. The respondents brought an application for the rescission of that order. This court granted a rescission of prayer 2 and 3 but declined to rescind the setting aside of resolution 171/06/2014. The reasons for this decision </w:t>
      </w:r>
      <w:r w:rsidR="00187D76">
        <w:rPr>
          <w:rFonts w:ascii="Arial" w:hAnsi="Arial" w:cs="Arial"/>
          <w:sz w:val="24"/>
          <w:szCs w:val="24"/>
          <w:lang w:val="en-ZA"/>
        </w:rPr>
        <w:t>are</w:t>
      </w:r>
      <w:r>
        <w:rPr>
          <w:rFonts w:ascii="Arial" w:hAnsi="Arial" w:cs="Arial"/>
          <w:sz w:val="24"/>
          <w:szCs w:val="24"/>
          <w:lang w:val="en-ZA"/>
        </w:rPr>
        <w:t xml:space="preserve"> contained in a separate judgment.</w:t>
      </w:r>
      <w:r w:rsidR="00187D76">
        <w:rPr>
          <w:rStyle w:val="FootnoteReference"/>
          <w:rFonts w:ascii="Arial" w:hAnsi="Arial" w:cs="Arial"/>
          <w:sz w:val="24"/>
          <w:szCs w:val="24"/>
          <w:lang w:val="en-ZA"/>
        </w:rPr>
        <w:footnoteReference w:id="1"/>
      </w:r>
      <w:r>
        <w:rPr>
          <w:rFonts w:ascii="Arial" w:hAnsi="Arial" w:cs="Arial"/>
          <w:sz w:val="24"/>
          <w:szCs w:val="24"/>
          <w:lang w:val="en-ZA"/>
        </w:rPr>
        <w:t xml:space="preserve"> </w:t>
      </w:r>
    </w:p>
    <w:p w:rsidR="00187D76" w:rsidRDefault="00187D76" w:rsidP="00F41734">
      <w:pPr>
        <w:spacing w:after="0" w:line="360" w:lineRule="auto"/>
        <w:jc w:val="both"/>
        <w:rPr>
          <w:rFonts w:ascii="Arial" w:hAnsi="Arial" w:cs="Arial"/>
          <w:sz w:val="24"/>
          <w:szCs w:val="24"/>
          <w:lang w:val="en-ZA"/>
        </w:rPr>
      </w:pPr>
    </w:p>
    <w:p w:rsidR="00187D76" w:rsidRDefault="00187D76"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The parties are </w:t>
      </w:r>
      <w:r w:rsidRPr="005669F3">
        <w:rPr>
          <w:rFonts w:ascii="Arial" w:hAnsi="Arial" w:cs="Arial"/>
          <w:i/>
          <w:sz w:val="24"/>
          <w:szCs w:val="24"/>
          <w:lang w:val="en-ZA"/>
        </w:rPr>
        <w:t>ad idem</w:t>
      </w:r>
      <w:r>
        <w:rPr>
          <w:rFonts w:ascii="Arial" w:hAnsi="Arial" w:cs="Arial"/>
          <w:sz w:val="24"/>
          <w:szCs w:val="24"/>
          <w:lang w:val="en-ZA"/>
        </w:rPr>
        <w:t xml:space="preserve"> that the only issue for determination in respect of the application is whether the court ought to grant </w:t>
      </w:r>
      <w:r w:rsidR="005669F3">
        <w:rPr>
          <w:rFonts w:ascii="Arial" w:hAnsi="Arial" w:cs="Arial"/>
          <w:sz w:val="24"/>
          <w:szCs w:val="24"/>
          <w:lang w:val="en-ZA"/>
        </w:rPr>
        <w:t xml:space="preserve">prayer </w:t>
      </w:r>
      <w:r>
        <w:rPr>
          <w:rFonts w:ascii="Arial" w:hAnsi="Arial" w:cs="Arial"/>
          <w:sz w:val="24"/>
          <w:szCs w:val="24"/>
          <w:lang w:val="en-ZA"/>
        </w:rPr>
        <w:t>2 of the application which concerns the question whether the applicants are entitled to bonus leave or payme</w:t>
      </w:r>
      <w:r w:rsidR="00103F32">
        <w:rPr>
          <w:rFonts w:ascii="Arial" w:hAnsi="Arial" w:cs="Arial"/>
          <w:sz w:val="24"/>
          <w:szCs w:val="24"/>
          <w:lang w:val="en-ZA"/>
        </w:rPr>
        <w:t>nt in lieu thereof in terms of r</w:t>
      </w:r>
      <w:r>
        <w:rPr>
          <w:rFonts w:ascii="Arial" w:hAnsi="Arial" w:cs="Arial"/>
          <w:sz w:val="24"/>
          <w:szCs w:val="24"/>
          <w:lang w:val="en-ZA"/>
        </w:rPr>
        <w:t xml:space="preserve">egulation 37. The parties agree that this calls for this court </w:t>
      </w:r>
      <w:r w:rsidR="00103F32">
        <w:rPr>
          <w:rFonts w:ascii="Arial" w:hAnsi="Arial" w:cs="Arial"/>
          <w:sz w:val="24"/>
          <w:szCs w:val="24"/>
          <w:lang w:val="en-ZA"/>
        </w:rPr>
        <w:t>to interpret the provisions of r</w:t>
      </w:r>
      <w:r>
        <w:rPr>
          <w:rFonts w:ascii="Arial" w:hAnsi="Arial" w:cs="Arial"/>
          <w:sz w:val="24"/>
          <w:szCs w:val="24"/>
          <w:lang w:val="en-ZA"/>
        </w:rPr>
        <w:t>egulation 37 of the Service Regulations</w:t>
      </w:r>
      <w:r w:rsidR="005669F3">
        <w:rPr>
          <w:rFonts w:ascii="Arial" w:hAnsi="Arial" w:cs="Arial"/>
          <w:sz w:val="24"/>
          <w:szCs w:val="24"/>
          <w:lang w:val="en-ZA"/>
        </w:rPr>
        <w:t xml:space="preserve"> which came into operation on 1 March 2013</w:t>
      </w:r>
      <w:r>
        <w:rPr>
          <w:rFonts w:ascii="Arial" w:hAnsi="Arial" w:cs="Arial"/>
          <w:sz w:val="24"/>
          <w:szCs w:val="24"/>
          <w:lang w:val="en-ZA"/>
        </w:rPr>
        <w:t xml:space="preserve">. </w:t>
      </w:r>
    </w:p>
    <w:p w:rsidR="00187D76" w:rsidRDefault="00187D76" w:rsidP="00F41734">
      <w:pPr>
        <w:spacing w:after="0" w:line="360" w:lineRule="auto"/>
        <w:jc w:val="both"/>
        <w:rPr>
          <w:rFonts w:ascii="Arial" w:hAnsi="Arial" w:cs="Arial"/>
          <w:sz w:val="24"/>
          <w:szCs w:val="24"/>
          <w:lang w:val="en-ZA"/>
        </w:rPr>
      </w:pPr>
    </w:p>
    <w:p w:rsidR="00187D76" w:rsidRDefault="00187D76"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The respondents raised a point </w:t>
      </w:r>
      <w:r w:rsidRPr="00187D76">
        <w:rPr>
          <w:rFonts w:ascii="Arial" w:hAnsi="Arial" w:cs="Arial"/>
          <w:i/>
          <w:sz w:val="24"/>
          <w:szCs w:val="24"/>
          <w:lang w:val="en-ZA"/>
        </w:rPr>
        <w:t>in limine</w:t>
      </w:r>
      <w:r>
        <w:rPr>
          <w:rFonts w:ascii="Arial" w:hAnsi="Arial" w:cs="Arial"/>
          <w:sz w:val="24"/>
          <w:szCs w:val="24"/>
          <w:lang w:val="en-ZA"/>
        </w:rPr>
        <w:t xml:space="preserve"> of misjoinder of the second respondent on the ground that the second respondent has no legal capacity to be sued and to sue and as a result, the second respondent has been misjoined to the proceedings.</w:t>
      </w:r>
      <w:r w:rsidR="0036138E">
        <w:rPr>
          <w:rFonts w:ascii="Arial" w:hAnsi="Arial" w:cs="Arial"/>
          <w:sz w:val="24"/>
          <w:szCs w:val="24"/>
          <w:lang w:val="en-ZA"/>
        </w:rPr>
        <w:t xml:space="preserve"> The applicant is of the view that the second respondent has bee</w:t>
      </w:r>
      <w:r w:rsidR="00F021DD">
        <w:rPr>
          <w:rFonts w:ascii="Arial" w:hAnsi="Arial" w:cs="Arial"/>
          <w:sz w:val="24"/>
          <w:szCs w:val="24"/>
          <w:lang w:val="en-ZA"/>
        </w:rPr>
        <w:t>n established in terms of s</w:t>
      </w:r>
      <w:r w:rsidR="0036138E">
        <w:rPr>
          <w:rFonts w:ascii="Arial" w:hAnsi="Arial" w:cs="Arial"/>
          <w:sz w:val="24"/>
          <w:szCs w:val="24"/>
          <w:lang w:val="en-ZA"/>
        </w:rPr>
        <w:t xml:space="preserve"> 43C of the Police Act</w:t>
      </w:r>
      <w:r w:rsidR="00103F32">
        <w:rPr>
          <w:rFonts w:ascii="Arial" w:hAnsi="Arial" w:cs="Arial"/>
          <w:sz w:val="24"/>
          <w:szCs w:val="24"/>
          <w:lang w:val="en-ZA"/>
        </w:rPr>
        <w:t xml:space="preserve"> 19 of</w:t>
      </w:r>
      <w:r w:rsidR="0036138E">
        <w:rPr>
          <w:rFonts w:ascii="Arial" w:hAnsi="Arial" w:cs="Arial"/>
          <w:sz w:val="24"/>
          <w:szCs w:val="24"/>
          <w:lang w:val="en-ZA"/>
        </w:rPr>
        <w:t xml:space="preserve"> 1990 read with regulation 2 of the Municipal Police Services Regulations, 2002 and is similarly a statutory body. They also submit that the plea of misjoinder is dilatory in nature</w:t>
      </w:r>
      <w:r w:rsidR="005669F3">
        <w:rPr>
          <w:rFonts w:ascii="Arial" w:hAnsi="Arial" w:cs="Arial"/>
          <w:sz w:val="24"/>
          <w:szCs w:val="24"/>
          <w:lang w:val="en-ZA"/>
        </w:rPr>
        <w:t xml:space="preserve"> and it would therefore </w:t>
      </w:r>
      <w:r w:rsidR="0036138E">
        <w:rPr>
          <w:rFonts w:ascii="Arial" w:hAnsi="Arial" w:cs="Arial"/>
          <w:sz w:val="24"/>
          <w:szCs w:val="24"/>
          <w:lang w:val="en-ZA"/>
        </w:rPr>
        <w:t>not justify the dismissal of the application</w:t>
      </w:r>
      <w:r w:rsidR="00910615">
        <w:rPr>
          <w:rFonts w:ascii="Arial" w:hAnsi="Arial" w:cs="Arial"/>
          <w:sz w:val="24"/>
          <w:szCs w:val="24"/>
          <w:lang w:val="en-ZA"/>
        </w:rPr>
        <w:t>.</w:t>
      </w:r>
      <w:r w:rsidR="005669F3">
        <w:rPr>
          <w:rFonts w:ascii="Arial" w:hAnsi="Arial" w:cs="Arial"/>
          <w:sz w:val="24"/>
          <w:szCs w:val="24"/>
          <w:lang w:val="en-ZA"/>
        </w:rPr>
        <w:t xml:space="preserve"> </w:t>
      </w:r>
      <w:r w:rsidR="00910615">
        <w:rPr>
          <w:rFonts w:ascii="Arial" w:hAnsi="Arial" w:cs="Arial"/>
          <w:sz w:val="24"/>
          <w:szCs w:val="24"/>
          <w:lang w:val="en-ZA"/>
        </w:rPr>
        <w:t>They agree that it</w:t>
      </w:r>
      <w:r w:rsidR="0036138E">
        <w:rPr>
          <w:rFonts w:ascii="Arial" w:hAnsi="Arial" w:cs="Arial"/>
          <w:sz w:val="24"/>
          <w:szCs w:val="24"/>
          <w:lang w:val="en-ZA"/>
        </w:rPr>
        <w:t xml:space="preserve"> would merely render the applicants liable for wasted costs.  </w:t>
      </w:r>
    </w:p>
    <w:p w:rsidR="005A3BDE" w:rsidRDefault="005A3BDE" w:rsidP="00F41734">
      <w:pPr>
        <w:spacing w:after="0" w:line="360" w:lineRule="auto"/>
        <w:jc w:val="both"/>
        <w:rPr>
          <w:rFonts w:ascii="Arial" w:hAnsi="Arial" w:cs="Arial"/>
          <w:sz w:val="24"/>
          <w:szCs w:val="24"/>
          <w:lang w:val="en-ZA"/>
        </w:rPr>
      </w:pPr>
    </w:p>
    <w:p w:rsidR="005A3BDE" w:rsidRDefault="005A3BDE"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The respondents further raises an exception in the application proceedings of the second to the thirty-first applicants in that there has bee</w:t>
      </w:r>
      <w:r w:rsidR="0090167C">
        <w:rPr>
          <w:rFonts w:ascii="Arial" w:hAnsi="Arial" w:cs="Arial"/>
          <w:sz w:val="24"/>
          <w:szCs w:val="24"/>
          <w:lang w:val="en-ZA"/>
        </w:rPr>
        <w:t>n a failure by these applicants</w:t>
      </w:r>
      <w:r>
        <w:rPr>
          <w:rFonts w:ascii="Arial" w:hAnsi="Arial" w:cs="Arial"/>
          <w:sz w:val="24"/>
          <w:szCs w:val="24"/>
          <w:lang w:val="en-ZA"/>
        </w:rPr>
        <w:t xml:space="preserve"> to address the necessary factual allegations to sustain the relief sought. The respondents </w:t>
      </w:r>
      <w:r>
        <w:rPr>
          <w:rFonts w:ascii="Arial" w:hAnsi="Arial" w:cs="Arial"/>
          <w:sz w:val="24"/>
          <w:szCs w:val="24"/>
          <w:lang w:val="en-ZA"/>
        </w:rPr>
        <w:lastRenderedPageBreak/>
        <w:t xml:space="preserve">submit that the </w:t>
      </w:r>
      <w:r w:rsidR="00F32F3D">
        <w:rPr>
          <w:rFonts w:ascii="Arial" w:hAnsi="Arial" w:cs="Arial"/>
          <w:sz w:val="24"/>
          <w:szCs w:val="24"/>
          <w:lang w:val="en-ZA"/>
        </w:rPr>
        <w:t xml:space="preserve">claim by the second to thirty </w:t>
      </w:r>
      <w:r>
        <w:rPr>
          <w:rFonts w:ascii="Arial" w:hAnsi="Arial" w:cs="Arial"/>
          <w:sz w:val="24"/>
          <w:szCs w:val="24"/>
          <w:lang w:val="en-ZA"/>
        </w:rPr>
        <w:t>first applicants should be dismissed on the basis that they do not make the necessary allegations to sustain their claim.</w:t>
      </w:r>
    </w:p>
    <w:p w:rsidR="00B27C0D" w:rsidRDefault="00B27C0D" w:rsidP="00F41734">
      <w:pPr>
        <w:spacing w:after="0" w:line="360" w:lineRule="auto"/>
        <w:jc w:val="both"/>
        <w:rPr>
          <w:rFonts w:ascii="Arial" w:hAnsi="Arial" w:cs="Arial"/>
          <w:i/>
          <w:sz w:val="24"/>
          <w:szCs w:val="24"/>
          <w:lang w:val="en-ZA"/>
        </w:rPr>
      </w:pPr>
    </w:p>
    <w:p w:rsidR="00B27C0D" w:rsidRDefault="0090167C" w:rsidP="00F41734">
      <w:pPr>
        <w:spacing w:after="0" w:line="360" w:lineRule="auto"/>
        <w:jc w:val="both"/>
        <w:rPr>
          <w:rFonts w:ascii="Arial" w:hAnsi="Arial" w:cs="Arial"/>
          <w:i/>
          <w:sz w:val="24"/>
          <w:szCs w:val="24"/>
          <w:lang w:val="en-ZA"/>
        </w:rPr>
      </w:pPr>
      <w:r>
        <w:rPr>
          <w:rFonts w:ascii="Arial" w:hAnsi="Arial" w:cs="Arial"/>
          <w:i/>
          <w:sz w:val="24"/>
          <w:szCs w:val="24"/>
          <w:lang w:val="en-ZA"/>
        </w:rPr>
        <w:t>The counter a</w:t>
      </w:r>
      <w:r w:rsidR="00187D76">
        <w:rPr>
          <w:rFonts w:ascii="Arial" w:hAnsi="Arial" w:cs="Arial"/>
          <w:i/>
          <w:sz w:val="24"/>
          <w:szCs w:val="24"/>
          <w:lang w:val="en-ZA"/>
        </w:rPr>
        <w:t>pplication</w:t>
      </w:r>
    </w:p>
    <w:p w:rsidR="00F021DD" w:rsidRDefault="00F021DD" w:rsidP="00F41734">
      <w:pPr>
        <w:spacing w:after="0" w:line="360" w:lineRule="auto"/>
        <w:jc w:val="both"/>
        <w:rPr>
          <w:rFonts w:ascii="Arial" w:hAnsi="Arial" w:cs="Arial"/>
          <w:sz w:val="24"/>
          <w:szCs w:val="24"/>
          <w:lang w:val="en-ZA"/>
        </w:rPr>
      </w:pPr>
    </w:p>
    <w:p w:rsidR="00187D76" w:rsidRDefault="00187D76"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The respondents brought a co</w:t>
      </w:r>
      <w:r w:rsidR="007C5348">
        <w:rPr>
          <w:rFonts w:ascii="Arial" w:hAnsi="Arial" w:cs="Arial"/>
          <w:sz w:val="24"/>
          <w:szCs w:val="24"/>
          <w:lang w:val="en-ZA"/>
        </w:rPr>
        <w:t>unter-application in which they are seeking an order reviewing and correcting or s</w:t>
      </w:r>
      <w:r w:rsidR="0090167C">
        <w:rPr>
          <w:rFonts w:ascii="Arial" w:hAnsi="Arial" w:cs="Arial"/>
          <w:sz w:val="24"/>
          <w:szCs w:val="24"/>
          <w:lang w:val="en-ZA"/>
        </w:rPr>
        <w:t>etting aside clause 3.3 of the first to t</w:t>
      </w:r>
      <w:r w:rsidR="007C5348">
        <w:rPr>
          <w:rFonts w:ascii="Arial" w:hAnsi="Arial" w:cs="Arial"/>
          <w:sz w:val="24"/>
          <w:szCs w:val="24"/>
          <w:lang w:val="en-ZA"/>
        </w:rPr>
        <w:t xml:space="preserve">hirty </w:t>
      </w:r>
      <w:r w:rsidR="0090167C">
        <w:rPr>
          <w:rFonts w:ascii="Arial" w:hAnsi="Arial" w:cs="Arial"/>
          <w:sz w:val="24"/>
          <w:szCs w:val="24"/>
          <w:lang w:val="en-ZA"/>
        </w:rPr>
        <w:t>f</w:t>
      </w:r>
      <w:r w:rsidR="007C5348">
        <w:rPr>
          <w:rFonts w:ascii="Arial" w:hAnsi="Arial" w:cs="Arial"/>
          <w:sz w:val="24"/>
          <w:szCs w:val="24"/>
          <w:lang w:val="en-ZA"/>
        </w:rPr>
        <w:t xml:space="preserve">irst </w:t>
      </w:r>
      <w:r w:rsidR="006E3F39">
        <w:rPr>
          <w:rFonts w:ascii="Arial" w:hAnsi="Arial" w:cs="Arial"/>
          <w:sz w:val="24"/>
          <w:szCs w:val="24"/>
          <w:lang w:val="en-ZA"/>
        </w:rPr>
        <w:t>applicant’s</w:t>
      </w:r>
      <w:r w:rsidR="007C5348">
        <w:rPr>
          <w:rFonts w:ascii="Arial" w:hAnsi="Arial" w:cs="Arial"/>
          <w:sz w:val="24"/>
          <w:szCs w:val="24"/>
          <w:lang w:val="en-ZA"/>
        </w:rPr>
        <w:t xml:space="preserve"> letters of appointment as Cadet Constable</w:t>
      </w:r>
      <w:r w:rsidR="00152157">
        <w:rPr>
          <w:rFonts w:ascii="Arial" w:hAnsi="Arial" w:cs="Arial"/>
          <w:sz w:val="24"/>
          <w:szCs w:val="24"/>
          <w:lang w:val="en-ZA"/>
        </w:rPr>
        <w:t>s</w:t>
      </w:r>
      <w:r w:rsidR="007C5348">
        <w:rPr>
          <w:rFonts w:ascii="Arial" w:hAnsi="Arial" w:cs="Arial"/>
          <w:sz w:val="24"/>
          <w:szCs w:val="24"/>
          <w:lang w:val="en-ZA"/>
        </w:rPr>
        <w:t>.</w:t>
      </w:r>
    </w:p>
    <w:p w:rsidR="007C5348" w:rsidRDefault="007C5348" w:rsidP="00F41734">
      <w:pPr>
        <w:spacing w:after="0" w:line="360" w:lineRule="auto"/>
        <w:jc w:val="both"/>
        <w:rPr>
          <w:rFonts w:ascii="Arial" w:hAnsi="Arial" w:cs="Arial"/>
          <w:sz w:val="24"/>
          <w:szCs w:val="24"/>
          <w:lang w:val="en-ZA"/>
        </w:rPr>
      </w:pPr>
    </w:p>
    <w:p w:rsidR="005A3BDE" w:rsidRDefault="007C5348"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The applicants opposed the counter application raising the preliminary point that Mr Mayumbelo brings the counter-application on behalf of the </w:t>
      </w:r>
      <w:r w:rsidR="00910615">
        <w:rPr>
          <w:rFonts w:ascii="Arial" w:hAnsi="Arial" w:cs="Arial"/>
          <w:sz w:val="24"/>
          <w:szCs w:val="24"/>
          <w:lang w:val="en-ZA"/>
        </w:rPr>
        <w:t>first r</w:t>
      </w:r>
      <w:r>
        <w:rPr>
          <w:rFonts w:ascii="Arial" w:hAnsi="Arial" w:cs="Arial"/>
          <w:sz w:val="24"/>
          <w:szCs w:val="24"/>
          <w:lang w:val="en-ZA"/>
        </w:rPr>
        <w:t xml:space="preserve">espondents </w:t>
      </w:r>
      <w:r w:rsidR="00910615">
        <w:rPr>
          <w:rFonts w:ascii="Arial" w:hAnsi="Arial" w:cs="Arial"/>
          <w:sz w:val="24"/>
          <w:szCs w:val="24"/>
          <w:lang w:val="en-ZA"/>
        </w:rPr>
        <w:t xml:space="preserve">which is </w:t>
      </w:r>
      <w:r>
        <w:rPr>
          <w:rFonts w:ascii="Arial" w:hAnsi="Arial" w:cs="Arial"/>
          <w:sz w:val="24"/>
          <w:szCs w:val="24"/>
          <w:lang w:val="en-ZA"/>
        </w:rPr>
        <w:t>as juristic persons</w:t>
      </w:r>
      <w:r w:rsidR="00910615">
        <w:rPr>
          <w:rFonts w:ascii="Arial" w:hAnsi="Arial" w:cs="Arial"/>
          <w:sz w:val="24"/>
          <w:szCs w:val="24"/>
          <w:lang w:val="en-ZA"/>
        </w:rPr>
        <w:t xml:space="preserve"> without a resolution</w:t>
      </w:r>
      <w:r>
        <w:rPr>
          <w:rFonts w:ascii="Arial" w:hAnsi="Arial" w:cs="Arial"/>
          <w:sz w:val="24"/>
          <w:szCs w:val="24"/>
          <w:lang w:val="en-ZA"/>
        </w:rPr>
        <w:t xml:space="preserve">. </w:t>
      </w:r>
    </w:p>
    <w:p w:rsidR="00B27C0D" w:rsidRDefault="00B27C0D" w:rsidP="00F41734">
      <w:pPr>
        <w:spacing w:after="0" w:line="360" w:lineRule="auto"/>
        <w:jc w:val="both"/>
        <w:rPr>
          <w:rFonts w:ascii="Arial" w:hAnsi="Arial" w:cs="Arial"/>
          <w:sz w:val="24"/>
          <w:szCs w:val="24"/>
          <w:u w:val="single"/>
          <w:lang w:val="en-ZA"/>
        </w:rPr>
      </w:pPr>
    </w:p>
    <w:p w:rsidR="00910615" w:rsidRDefault="005A3BDE" w:rsidP="00F41734">
      <w:pPr>
        <w:spacing w:after="0" w:line="360" w:lineRule="auto"/>
        <w:jc w:val="both"/>
        <w:rPr>
          <w:rFonts w:ascii="Arial" w:hAnsi="Arial" w:cs="Arial"/>
          <w:sz w:val="24"/>
          <w:szCs w:val="24"/>
          <w:u w:val="single"/>
          <w:lang w:val="en-ZA"/>
        </w:rPr>
      </w:pPr>
      <w:r w:rsidRPr="00910615">
        <w:rPr>
          <w:rFonts w:ascii="Arial" w:hAnsi="Arial" w:cs="Arial"/>
          <w:sz w:val="24"/>
          <w:szCs w:val="24"/>
          <w:u w:val="single"/>
          <w:lang w:val="en-ZA"/>
        </w:rPr>
        <w:t xml:space="preserve">The misjoinder </w:t>
      </w:r>
    </w:p>
    <w:p w:rsidR="00F021DD" w:rsidRDefault="00F021DD" w:rsidP="00F41734">
      <w:pPr>
        <w:spacing w:after="0" w:line="360" w:lineRule="auto"/>
        <w:jc w:val="both"/>
        <w:rPr>
          <w:rFonts w:ascii="Arial" w:hAnsi="Arial" w:cs="Arial"/>
          <w:sz w:val="24"/>
          <w:szCs w:val="24"/>
          <w:lang w:val="en-ZA"/>
        </w:rPr>
      </w:pPr>
    </w:p>
    <w:p w:rsidR="00735ED0" w:rsidRDefault="005A3BDE" w:rsidP="00F4173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B027C0">
        <w:rPr>
          <w:rFonts w:ascii="Arial" w:hAnsi="Arial" w:cs="Arial"/>
          <w:sz w:val="24"/>
          <w:szCs w:val="24"/>
          <w:lang w:val="en-ZA"/>
        </w:rPr>
        <w:t xml:space="preserve">In </w:t>
      </w:r>
      <w:r w:rsidR="00B027C0" w:rsidRPr="00B027C0">
        <w:rPr>
          <w:rFonts w:ascii="Arial" w:hAnsi="Arial" w:cs="Arial"/>
          <w:i/>
          <w:sz w:val="24"/>
          <w:szCs w:val="24"/>
          <w:lang w:val="en-ZA"/>
        </w:rPr>
        <w:t>Babyface Civils CC JV Hennimma Investments CC and Others v //Kharas Regional Council and Others</w:t>
      </w:r>
      <w:r w:rsidR="00B027C0" w:rsidRPr="00B027C0">
        <w:rPr>
          <w:rFonts w:ascii="Arial" w:hAnsi="Arial" w:cs="Arial"/>
          <w:sz w:val="24"/>
          <w:szCs w:val="24"/>
          <w:lang w:val="en-ZA"/>
        </w:rPr>
        <w:t xml:space="preserve"> </w:t>
      </w:r>
      <w:r w:rsidR="00A704F9">
        <w:rPr>
          <w:rStyle w:val="FootnoteReference"/>
          <w:rFonts w:ascii="Arial" w:hAnsi="Arial" w:cs="Arial"/>
          <w:sz w:val="24"/>
          <w:szCs w:val="24"/>
          <w:lang w:val="en-ZA"/>
        </w:rPr>
        <w:footnoteReference w:id="2"/>
      </w:r>
      <w:r w:rsidR="00A704F9">
        <w:rPr>
          <w:rFonts w:ascii="Arial" w:hAnsi="Arial" w:cs="Arial"/>
          <w:sz w:val="24"/>
          <w:szCs w:val="24"/>
          <w:lang w:val="en-ZA"/>
        </w:rPr>
        <w:t xml:space="preserve"> the court </w:t>
      </w:r>
      <w:r w:rsidR="00B027C0" w:rsidRPr="00B027C0">
        <w:rPr>
          <w:rFonts w:ascii="Arial" w:hAnsi="Arial" w:cs="Arial"/>
          <w:sz w:val="24"/>
          <w:szCs w:val="24"/>
          <w:lang w:val="en-ZA"/>
        </w:rPr>
        <w:t>deprecat</w:t>
      </w:r>
      <w:r w:rsidR="00A704F9">
        <w:rPr>
          <w:rFonts w:ascii="Arial" w:hAnsi="Arial" w:cs="Arial"/>
          <w:sz w:val="24"/>
          <w:szCs w:val="24"/>
          <w:lang w:val="en-ZA"/>
        </w:rPr>
        <w:t>ed the practice</w:t>
      </w:r>
      <w:r w:rsidR="00B027C0" w:rsidRPr="00B027C0">
        <w:rPr>
          <w:rFonts w:ascii="Arial" w:hAnsi="Arial" w:cs="Arial"/>
          <w:sz w:val="24"/>
          <w:szCs w:val="24"/>
          <w:lang w:val="en-ZA"/>
        </w:rPr>
        <w:t xml:space="preserve"> </w:t>
      </w:r>
      <w:r w:rsidR="00910615">
        <w:rPr>
          <w:rFonts w:ascii="Arial" w:hAnsi="Arial" w:cs="Arial"/>
          <w:sz w:val="24"/>
          <w:szCs w:val="24"/>
          <w:lang w:val="en-ZA"/>
        </w:rPr>
        <w:t xml:space="preserve">by applicants </w:t>
      </w:r>
      <w:r w:rsidR="00B027C0" w:rsidRPr="00B027C0">
        <w:rPr>
          <w:rFonts w:ascii="Arial" w:hAnsi="Arial" w:cs="Arial"/>
          <w:sz w:val="24"/>
          <w:szCs w:val="24"/>
          <w:lang w:val="en-ZA"/>
        </w:rPr>
        <w:t>of citing every person or entity they could think of when instituting the review so as not to be faced with a point of non-joinder being taken.</w:t>
      </w:r>
      <w:r w:rsidR="00B027C0">
        <w:rPr>
          <w:rFonts w:ascii="Arial" w:hAnsi="Arial" w:cs="Arial"/>
          <w:sz w:val="24"/>
          <w:szCs w:val="24"/>
          <w:lang w:val="en-ZA"/>
        </w:rPr>
        <w:t xml:space="preserve"> The Council of the Municipality of Windhoek made the </w:t>
      </w:r>
      <w:r w:rsidR="00F32F3D">
        <w:rPr>
          <w:rFonts w:ascii="Arial" w:hAnsi="Arial" w:cs="Arial"/>
          <w:sz w:val="24"/>
          <w:szCs w:val="24"/>
          <w:lang w:val="en-ZA"/>
        </w:rPr>
        <w:t>Service Regulations and is the ‘</w:t>
      </w:r>
      <w:r w:rsidR="00B027C0">
        <w:rPr>
          <w:rFonts w:ascii="Arial" w:hAnsi="Arial" w:cs="Arial"/>
          <w:sz w:val="24"/>
          <w:szCs w:val="24"/>
          <w:lang w:val="en-ZA"/>
        </w:rPr>
        <w:t>empl</w:t>
      </w:r>
      <w:r w:rsidR="00F32F3D">
        <w:rPr>
          <w:rFonts w:ascii="Arial" w:hAnsi="Arial" w:cs="Arial"/>
          <w:sz w:val="24"/>
          <w:szCs w:val="24"/>
          <w:lang w:val="en-ZA"/>
        </w:rPr>
        <w:t>oyer’</w:t>
      </w:r>
      <w:r w:rsidR="00B027C0">
        <w:rPr>
          <w:rFonts w:ascii="Arial" w:hAnsi="Arial" w:cs="Arial"/>
          <w:sz w:val="24"/>
          <w:szCs w:val="24"/>
          <w:lang w:val="en-ZA"/>
        </w:rPr>
        <w:t xml:space="preserve"> of the</w:t>
      </w:r>
      <w:r w:rsidR="00F32F3D">
        <w:rPr>
          <w:rFonts w:ascii="Arial" w:hAnsi="Arial" w:cs="Arial"/>
          <w:sz w:val="24"/>
          <w:szCs w:val="24"/>
          <w:lang w:val="en-ZA"/>
        </w:rPr>
        <w:t xml:space="preserve"> members appointed in terms of r</w:t>
      </w:r>
      <w:r w:rsidR="00B027C0">
        <w:rPr>
          <w:rFonts w:ascii="Arial" w:hAnsi="Arial" w:cs="Arial"/>
          <w:sz w:val="24"/>
          <w:szCs w:val="24"/>
          <w:lang w:val="en-ZA"/>
        </w:rPr>
        <w:t>egulation 10</w:t>
      </w:r>
      <w:r w:rsidR="00910615">
        <w:rPr>
          <w:rFonts w:ascii="Arial" w:hAnsi="Arial" w:cs="Arial"/>
          <w:sz w:val="24"/>
          <w:szCs w:val="24"/>
          <w:lang w:val="en-ZA"/>
        </w:rPr>
        <w:t>. L</w:t>
      </w:r>
      <w:r w:rsidR="00735ED0">
        <w:rPr>
          <w:rFonts w:ascii="Arial" w:hAnsi="Arial" w:cs="Arial"/>
          <w:sz w:val="24"/>
          <w:szCs w:val="24"/>
          <w:lang w:val="en-ZA"/>
        </w:rPr>
        <w:t>egal proceedings m</w:t>
      </w:r>
      <w:r w:rsidR="00910615">
        <w:rPr>
          <w:rFonts w:ascii="Arial" w:hAnsi="Arial" w:cs="Arial"/>
          <w:sz w:val="24"/>
          <w:szCs w:val="24"/>
          <w:lang w:val="en-ZA"/>
        </w:rPr>
        <w:t xml:space="preserve">ust therefore </w:t>
      </w:r>
      <w:r w:rsidR="00735ED0">
        <w:rPr>
          <w:rFonts w:ascii="Arial" w:hAnsi="Arial" w:cs="Arial"/>
          <w:sz w:val="24"/>
          <w:szCs w:val="24"/>
          <w:lang w:val="en-ZA"/>
        </w:rPr>
        <w:t>be instituted against the Council for the Municipality of Windhoek. Citing the second respondent amounts to a misjoinder as the second respondent</w:t>
      </w:r>
      <w:r w:rsidR="00152157">
        <w:rPr>
          <w:rFonts w:ascii="Arial" w:hAnsi="Arial" w:cs="Arial"/>
          <w:sz w:val="24"/>
          <w:szCs w:val="24"/>
          <w:lang w:val="en-ZA"/>
        </w:rPr>
        <w:t>,</w:t>
      </w:r>
      <w:r w:rsidR="00735ED0">
        <w:rPr>
          <w:rFonts w:ascii="Arial" w:hAnsi="Arial" w:cs="Arial"/>
          <w:sz w:val="24"/>
          <w:szCs w:val="24"/>
          <w:lang w:val="en-ZA"/>
        </w:rPr>
        <w:t xml:space="preserve"> apart from not having the right to be sued and be sued, is not the employer of the applicants</w:t>
      </w:r>
      <w:r w:rsidR="00B027C0">
        <w:rPr>
          <w:rFonts w:ascii="Arial" w:hAnsi="Arial" w:cs="Arial"/>
          <w:sz w:val="24"/>
          <w:szCs w:val="24"/>
          <w:lang w:val="en-ZA"/>
        </w:rPr>
        <w:t xml:space="preserve">. </w:t>
      </w:r>
    </w:p>
    <w:p w:rsidR="00735ED0" w:rsidRDefault="00735ED0" w:rsidP="00F41734">
      <w:pPr>
        <w:spacing w:after="0" w:line="360" w:lineRule="auto"/>
        <w:jc w:val="both"/>
        <w:rPr>
          <w:rFonts w:ascii="Arial" w:hAnsi="Arial" w:cs="Arial"/>
          <w:sz w:val="24"/>
          <w:szCs w:val="24"/>
          <w:lang w:val="en-ZA"/>
        </w:rPr>
      </w:pPr>
    </w:p>
    <w:p w:rsidR="00F021DD" w:rsidRDefault="00735ED0" w:rsidP="00F41734">
      <w:pPr>
        <w:spacing w:after="0" w:line="360" w:lineRule="auto"/>
        <w:jc w:val="both"/>
        <w:rPr>
          <w:rFonts w:ascii="Arial" w:hAnsi="Arial" w:cs="Arial"/>
          <w:sz w:val="24"/>
          <w:szCs w:val="24"/>
        </w:rPr>
      </w:pPr>
      <w:r>
        <w:rPr>
          <w:rFonts w:ascii="Arial" w:hAnsi="Arial" w:cs="Arial"/>
          <w:sz w:val="24"/>
          <w:szCs w:val="24"/>
          <w:lang w:val="en-ZA"/>
        </w:rPr>
        <w:t>[</w:t>
      </w:r>
      <w:r w:rsidR="00F021DD">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t xml:space="preserve">As correctly pointed out by Ms </w:t>
      </w:r>
      <w:r w:rsidRPr="00B5381E">
        <w:rPr>
          <w:rFonts w:ascii="Arial" w:hAnsi="Arial" w:cs="Arial"/>
          <w:sz w:val="24"/>
          <w:szCs w:val="24"/>
        </w:rPr>
        <w:t>Ambunda-Nashilundo</w:t>
      </w:r>
      <w:r>
        <w:rPr>
          <w:rFonts w:ascii="Arial" w:hAnsi="Arial" w:cs="Arial"/>
          <w:sz w:val="24"/>
          <w:szCs w:val="24"/>
        </w:rPr>
        <w:t>,</w:t>
      </w:r>
      <w:r w:rsidR="00CB3400">
        <w:rPr>
          <w:rFonts w:ascii="Arial" w:hAnsi="Arial" w:cs="Arial"/>
          <w:sz w:val="24"/>
          <w:szCs w:val="24"/>
        </w:rPr>
        <w:t xml:space="preserve"> counsel for the applicants,</w:t>
      </w:r>
      <w:r>
        <w:rPr>
          <w:rFonts w:ascii="Arial" w:hAnsi="Arial" w:cs="Arial"/>
          <w:sz w:val="24"/>
          <w:szCs w:val="24"/>
        </w:rPr>
        <w:t xml:space="preserve"> the plea of misjoinder is dilatory and </w:t>
      </w:r>
      <w:r w:rsidR="00CB3400">
        <w:rPr>
          <w:rFonts w:ascii="Arial" w:hAnsi="Arial" w:cs="Arial"/>
          <w:sz w:val="24"/>
          <w:szCs w:val="24"/>
        </w:rPr>
        <w:t xml:space="preserve">it </w:t>
      </w:r>
      <w:r>
        <w:rPr>
          <w:rFonts w:ascii="Arial" w:hAnsi="Arial" w:cs="Arial"/>
          <w:sz w:val="24"/>
          <w:szCs w:val="24"/>
        </w:rPr>
        <w:t>does not warrant a dismissal of the application. The court however would in this regard make the appropriate costs order.</w:t>
      </w:r>
    </w:p>
    <w:p w:rsidR="0090167C" w:rsidRDefault="0090167C" w:rsidP="00F41734">
      <w:pPr>
        <w:spacing w:after="0" w:line="360" w:lineRule="auto"/>
        <w:jc w:val="both"/>
        <w:rPr>
          <w:rFonts w:ascii="Arial" w:hAnsi="Arial" w:cs="Arial"/>
          <w:sz w:val="24"/>
          <w:szCs w:val="24"/>
        </w:rPr>
      </w:pPr>
    </w:p>
    <w:p w:rsidR="00735ED0" w:rsidRPr="00F021DD" w:rsidRDefault="00170EAE" w:rsidP="00F41734">
      <w:pPr>
        <w:spacing w:after="0" w:line="360" w:lineRule="auto"/>
        <w:jc w:val="both"/>
        <w:rPr>
          <w:rFonts w:ascii="Arial" w:hAnsi="Arial" w:cs="Arial"/>
          <w:sz w:val="24"/>
          <w:szCs w:val="24"/>
        </w:rPr>
      </w:pPr>
      <w:r>
        <w:rPr>
          <w:rFonts w:ascii="Arial" w:hAnsi="Arial" w:cs="Arial"/>
          <w:sz w:val="24"/>
          <w:szCs w:val="24"/>
          <w:u w:val="single"/>
        </w:rPr>
        <w:lastRenderedPageBreak/>
        <w:t xml:space="preserve">The </w:t>
      </w:r>
      <w:r w:rsidR="00F32F3D">
        <w:rPr>
          <w:rFonts w:ascii="Arial" w:hAnsi="Arial" w:cs="Arial"/>
          <w:sz w:val="24"/>
          <w:szCs w:val="24"/>
          <w:u w:val="single"/>
        </w:rPr>
        <w:t>e</w:t>
      </w:r>
      <w:r w:rsidR="009D5CAE" w:rsidRPr="009D5CAE">
        <w:rPr>
          <w:rFonts w:ascii="Arial" w:hAnsi="Arial" w:cs="Arial"/>
          <w:sz w:val="24"/>
          <w:szCs w:val="24"/>
          <w:u w:val="single"/>
        </w:rPr>
        <w:t>xception</w:t>
      </w:r>
    </w:p>
    <w:p w:rsidR="00F021DD" w:rsidRDefault="00F021DD" w:rsidP="00F41734">
      <w:pPr>
        <w:spacing w:after="0" w:line="360" w:lineRule="auto"/>
        <w:jc w:val="both"/>
        <w:rPr>
          <w:rFonts w:ascii="Arial" w:hAnsi="Arial" w:cs="Arial"/>
          <w:sz w:val="24"/>
          <w:szCs w:val="24"/>
        </w:rPr>
      </w:pPr>
    </w:p>
    <w:p w:rsidR="00735ED0" w:rsidRDefault="00735ED0" w:rsidP="00F41734">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12</w:t>
      </w:r>
      <w:r>
        <w:rPr>
          <w:rFonts w:ascii="Arial" w:hAnsi="Arial" w:cs="Arial"/>
          <w:sz w:val="24"/>
          <w:szCs w:val="24"/>
        </w:rPr>
        <w:t>]</w:t>
      </w:r>
      <w:r w:rsidR="009D5CAE">
        <w:rPr>
          <w:rFonts w:ascii="Arial" w:hAnsi="Arial" w:cs="Arial"/>
          <w:sz w:val="24"/>
          <w:szCs w:val="24"/>
        </w:rPr>
        <w:tab/>
        <w:t>No argument was raised by the respondents in this regard and it appears from the counter application that the respondents are prepared to accept that the contract of the first applicant captures the contract of employment of all the applicants. I believe that this adequately deals with this aspect</w:t>
      </w:r>
      <w:r w:rsidR="00910615">
        <w:rPr>
          <w:rFonts w:ascii="Arial" w:hAnsi="Arial" w:cs="Arial"/>
          <w:sz w:val="24"/>
          <w:szCs w:val="24"/>
        </w:rPr>
        <w:t>. The</w:t>
      </w:r>
      <w:r w:rsidR="009D5CAE">
        <w:rPr>
          <w:rFonts w:ascii="Arial" w:hAnsi="Arial" w:cs="Arial"/>
          <w:sz w:val="24"/>
          <w:szCs w:val="24"/>
        </w:rPr>
        <w:t xml:space="preserve"> court would accept for purposes of this judgment that all the applicants entered into a similar employment contract with the same terms and conditions </w:t>
      </w:r>
      <w:r w:rsidR="00910615">
        <w:rPr>
          <w:rFonts w:ascii="Arial" w:hAnsi="Arial" w:cs="Arial"/>
          <w:sz w:val="24"/>
          <w:szCs w:val="24"/>
        </w:rPr>
        <w:t xml:space="preserve">and </w:t>
      </w:r>
      <w:r w:rsidR="009D5CAE">
        <w:rPr>
          <w:rFonts w:ascii="Arial" w:hAnsi="Arial" w:cs="Arial"/>
          <w:sz w:val="24"/>
          <w:szCs w:val="24"/>
        </w:rPr>
        <w:t>at the same time.</w:t>
      </w:r>
    </w:p>
    <w:p w:rsidR="009D5CAE" w:rsidRDefault="009D5CAE" w:rsidP="00F41734">
      <w:pPr>
        <w:spacing w:after="0" w:line="360" w:lineRule="auto"/>
        <w:jc w:val="both"/>
        <w:rPr>
          <w:rFonts w:ascii="Arial" w:hAnsi="Arial" w:cs="Arial"/>
          <w:sz w:val="24"/>
          <w:szCs w:val="24"/>
        </w:rPr>
      </w:pPr>
    </w:p>
    <w:p w:rsidR="009D5CAE" w:rsidRPr="00CB3400" w:rsidRDefault="009D5CAE" w:rsidP="00F41734">
      <w:pPr>
        <w:spacing w:after="0" w:line="360" w:lineRule="auto"/>
        <w:jc w:val="both"/>
        <w:rPr>
          <w:rFonts w:ascii="Arial" w:hAnsi="Arial" w:cs="Arial"/>
          <w:sz w:val="24"/>
          <w:szCs w:val="24"/>
          <w:u w:val="single"/>
        </w:rPr>
      </w:pPr>
      <w:r w:rsidRPr="00CB3400">
        <w:rPr>
          <w:rFonts w:ascii="Arial" w:hAnsi="Arial" w:cs="Arial"/>
          <w:sz w:val="24"/>
          <w:szCs w:val="24"/>
          <w:u w:val="single"/>
        </w:rPr>
        <w:t>The merits of the application</w:t>
      </w:r>
    </w:p>
    <w:p w:rsidR="009D5CAE" w:rsidRDefault="009D5CAE" w:rsidP="00F41734">
      <w:pPr>
        <w:spacing w:after="0" w:line="360" w:lineRule="auto"/>
        <w:jc w:val="both"/>
        <w:rPr>
          <w:rFonts w:ascii="Arial" w:hAnsi="Arial" w:cs="Arial"/>
          <w:sz w:val="24"/>
          <w:szCs w:val="24"/>
        </w:rPr>
      </w:pPr>
    </w:p>
    <w:p w:rsidR="00E731A2" w:rsidRDefault="009D5CAE" w:rsidP="00F41734">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13</w:t>
      </w:r>
      <w:r>
        <w:rPr>
          <w:rFonts w:ascii="Arial" w:hAnsi="Arial" w:cs="Arial"/>
          <w:sz w:val="24"/>
          <w:szCs w:val="24"/>
        </w:rPr>
        <w:t>]</w:t>
      </w:r>
      <w:r>
        <w:rPr>
          <w:rFonts w:ascii="Arial" w:hAnsi="Arial" w:cs="Arial"/>
          <w:sz w:val="24"/>
          <w:szCs w:val="24"/>
        </w:rPr>
        <w:tab/>
      </w:r>
      <w:r w:rsidR="00E731A2">
        <w:rPr>
          <w:rFonts w:ascii="Arial" w:hAnsi="Arial" w:cs="Arial"/>
          <w:sz w:val="24"/>
          <w:szCs w:val="24"/>
        </w:rPr>
        <w:t>The appointment</w:t>
      </w:r>
      <w:r w:rsidR="0090167C">
        <w:rPr>
          <w:rFonts w:ascii="Arial" w:hAnsi="Arial" w:cs="Arial"/>
          <w:sz w:val="24"/>
          <w:szCs w:val="24"/>
        </w:rPr>
        <w:t xml:space="preserve"> letter of the first applicant</w:t>
      </w:r>
      <w:r w:rsidR="00E731A2">
        <w:rPr>
          <w:rFonts w:ascii="Arial" w:hAnsi="Arial" w:cs="Arial"/>
          <w:sz w:val="24"/>
          <w:szCs w:val="24"/>
        </w:rPr>
        <w:t xml:space="preserve"> is dated 27 August 2014. Its introduction reads as follows:</w:t>
      </w:r>
    </w:p>
    <w:p w:rsidR="003D3EAA" w:rsidRDefault="003D3EAA" w:rsidP="00F41734">
      <w:pPr>
        <w:spacing w:after="0" w:line="360" w:lineRule="auto"/>
        <w:jc w:val="both"/>
        <w:rPr>
          <w:rFonts w:ascii="Arial" w:hAnsi="Arial" w:cs="Arial"/>
          <w:sz w:val="24"/>
          <w:szCs w:val="24"/>
        </w:rPr>
      </w:pPr>
    </w:p>
    <w:p w:rsidR="00E731A2" w:rsidRPr="00E731A2" w:rsidRDefault="00E731A2" w:rsidP="00F41734">
      <w:pPr>
        <w:spacing w:after="0" w:line="360" w:lineRule="auto"/>
        <w:jc w:val="both"/>
        <w:rPr>
          <w:rFonts w:ascii="Arial" w:hAnsi="Arial" w:cs="Arial"/>
        </w:rPr>
      </w:pPr>
      <w:r>
        <w:rPr>
          <w:rFonts w:ascii="Arial" w:hAnsi="Arial" w:cs="Arial"/>
          <w:sz w:val="24"/>
          <w:szCs w:val="24"/>
        </w:rPr>
        <w:tab/>
      </w:r>
      <w:r w:rsidRPr="00E731A2">
        <w:rPr>
          <w:rFonts w:ascii="Arial" w:hAnsi="Arial" w:cs="Arial"/>
        </w:rPr>
        <w:t xml:space="preserve">‘… your appointment and your conditions of service </w:t>
      </w:r>
      <w:r w:rsidRPr="00910615">
        <w:rPr>
          <w:rFonts w:ascii="Arial" w:hAnsi="Arial" w:cs="Arial"/>
          <w:u w:val="single"/>
        </w:rPr>
        <w:t>read with</w:t>
      </w:r>
      <w:r w:rsidRPr="00E731A2">
        <w:rPr>
          <w:rFonts w:ascii="Arial" w:hAnsi="Arial" w:cs="Arial"/>
        </w:rPr>
        <w:t xml:space="preserve"> the Windhoek Municipal Police Service Regulations, will be as follow:’</w:t>
      </w:r>
    </w:p>
    <w:p w:rsidR="00E731A2" w:rsidRDefault="00E731A2" w:rsidP="00F41734">
      <w:pPr>
        <w:spacing w:after="0" w:line="360" w:lineRule="auto"/>
        <w:jc w:val="both"/>
        <w:rPr>
          <w:rFonts w:ascii="Arial" w:hAnsi="Arial" w:cs="Arial"/>
          <w:sz w:val="24"/>
          <w:szCs w:val="24"/>
        </w:rPr>
      </w:pPr>
    </w:p>
    <w:p w:rsidR="00E731A2" w:rsidRDefault="00E731A2" w:rsidP="00F41734">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14</w:t>
      </w:r>
      <w:r>
        <w:rPr>
          <w:rFonts w:ascii="Arial" w:hAnsi="Arial" w:cs="Arial"/>
          <w:sz w:val="24"/>
          <w:szCs w:val="24"/>
        </w:rPr>
        <w:t>]</w:t>
      </w:r>
      <w:r>
        <w:rPr>
          <w:rFonts w:ascii="Arial" w:hAnsi="Arial" w:cs="Arial"/>
          <w:sz w:val="24"/>
          <w:szCs w:val="24"/>
        </w:rPr>
        <w:tab/>
        <w:t>Clause 3.3 of the appointment letter provide for the following fringe benefit:</w:t>
      </w:r>
    </w:p>
    <w:p w:rsidR="003D3EAA" w:rsidRDefault="003D3EAA" w:rsidP="00F41734">
      <w:pPr>
        <w:spacing w:after="0" w:line="360" w:lineRule="auto"/>
        <w:jc w:val="both"/>
        <w:rPr>
          <w:rFonts w:ascii="Arial" w:hAnsi="Arial" w:cs="Arial"/>
          <w:sz w:val="24"/>
          <w:szCs w:val="24"/>
        </w:rPr>
      </w:pPr>
    </w:p>
    <w:p w:rsidR="00E731A2" w:rsidRDefault="00E731A2" w:rsidP="00F41734">
      <w:pPr>
        <w:spacing w:after="0" w:line="360" w:lineRule="auto"/>
        <w:jc w:val="both"/>
        <w:rPr>
          <w:rFonts w:ascii="Arial" w:hAnsi="Arial" w:cs="Arial"/>
          <w:sz w:val="24"/>
          <w:szCs w:val="24"/>
        </w:rPr>
      </w:pPr>
      <w:r>
        <w:rPr>
          <w:rFonts w:ascii="Arial" w:hAnsi="Arial" w:cs="Arial"/>
          <w:sz w:val="24"/>
          <w:szCs w:val="24"/>
        </w:rPr>
        <w:tab/>
        <w:t>‘</w:t>
      </w:r>
      <w:r w:rsidRPr="00E731A2">
        <w:rPr>
          <w:rFonts w:ascii="Arial" w:hAnsi="Arial" w:cs="Arial"/>
        </w:rPr>
        <w:t>Bonus Leave: 73.97 working days per fifth (5) year cycle (valid for two completed cycles only)’</w:t>
      </w:r>
      <w:r w:rsidR="00910615">
        <w:rPr>
          <w:rFonts w:ascii="Arial" w:hAnsi="Arial" w:cs="Arial"/>
        </w:rPr>
        <w:t xml:space="preserve"> [my emphasis]</w:t>
      </w:r>
    </w:p>
    <w:p w:rsidR="00E731A2" w:rsidRDefault="00E731A2" w:rsidP="00F41734">
      <w:pPr>
        <w:spacing w:after="0" w:line="360" w:lineRule="auto"/>
        <w:jc w:val="both"/>
        <w:rPr>
          <w:rFonts w:ascii="Arial" w:hAnsi="Arial" w:cs="Arial"/>
          <w:sz w:val="24"/>
          <w:szCs w:val="24"/>
        </w:rPr>
      </w:pPr>
    </w:p>
    <w:p w:rsidR="00E731A2" w:rsidRPr="00E731A2" w:rsidRDefault="00E731A2" w:rsidP="00683744">
      <w:pPr>
        <w:spacing w:after="0" w:line="360" w:lineRule="auto"/>
        <w:jc w:val="both"/>
        <w:rPr>
          <w:rFonts w:ascii="Arial" w:hAnsi="Arial" w:cs="Arial"/>
          <w:sz w:val="24"/>
          <w:szCs w:val="24"/>
          <w:lang w:val="en-ZA"/>
        </w:rPr>
      </w:pPr>
      <w:r>
        <w:rPr>
          <w:rFonts w:ascii="Arial" w:hAnsi="Arial" w:cs="Arial"/>
          <w:sz w:val="24"/>
          <w:szCs w:val="24"/>
        </w:rPr>
        <w:t>[</w:t>
      </w:r>
      <w:r w:rsidR="00F021DD">
        <w:rPr>
          <w:rFonts w:ascii="Arial" w:hAnsi="Arial" w:cs="Arial"/>
          <w:sz w:val="24"/>
          <w:szCs w:val="24"/>
        </w:rPr>
        <w:t>15</w:t>
      </w:r>
      <w:r>
        <w:rPr>
          <w:rFonts w:ascii="Arial" w:hAnsi="Arial" w:cs="Arial"/>
          <w:sz w:val="24"/>
          <w:szCs w:val="24"/>
        </w:rPr>
        <w:t>]</w:t>
      </w:r>
      <w:r>
        <w:rPr>
          <w:rFonts w:ascii="Arial" w:hAnsi="Arial" w:cs="Arial"/>
          <w:sz w:val="24"/>
          <w:szCs w:val="24"/>
        </w:rPr>
        <w:tab/>
        <w:t>The above fr</w:t>
      </w:r>
      <w:r w:rsidR="00F32F3D">
        <w:rPr>
          <w:rFonts w:ascii="Arial" w:hAnsi="Arial" w:cs="Arial"/>
          <w:sz w:val="24"/>
          <w:szCs w:val="24"/>
        </w:rPr>
        <w:t>inge benefit has its origin in r</w:t>
      </w:r>
      <w:r>
        <w:rPr>
          <w:rFonts w:ascii="Arial" w:hAnsi="Arial" w:cs="Arial"/>
          <w:sz w:val="24"/>
          <w:szCs w:val="24"/>
        </w:rPr>
        <w:t xml:space="preserve">egulation 37(1) of the Service Regulations. </w:t>
      </w:r>
    </w:p>
    <w:p w:rsidR="00CB3400" w:rsidRDefault="00CB3400" w:rsidP="00F41734">
      <w:pPr>
        <w:spacing w:after="0" w:line="360" w:lineRule="auto"/>
        <w:jc w:val="both"/>
        <w:rPr>
          <w:rFonts w:ascii="Arial" w:hAnsi="Arial" w:cs="Arial"/>
          <w:sz w:val="24"/>
          <w:szCs w:val="24"/>
        </w:rPr>
      </w:pPr>
    </w:p>
    <w:p w:rsidR="00292A50" w:rsidRDefault="00CB3400" w:rsidP="00292A50">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16</w:t>
      </w:r>
      <w:r>
        <w:rPr>
          <w:rFonts w:ascii="Arial" w:hAnsi="Arial" w:cs="Arial"/>
          <w:sz w:val="24"/>
          <w:szCs w:val="24"/>
        </w:rPr>
        <w:t>]</w:t>
      </w:r>
      <w:r>
        <w:rPr>
          <w:rFonts w:ascii="Arial" w:hAnsi="Arial" w:cs="Arial"/>
          <w:sz w:val="24"/>
          <w:szCs w:val="24"/>
        </w:rPr>
        <w:tab/>
        <w:t xml:space="preserve">Ms </w:t>
      </w:r>
      <w:r w:rsidRPr="00B5381E">
        <w:rPr>
          <w:rFonts w:ascii="Arial" w:hAnsi="Arial" w:cs="Arial"/>
          <w:sz w:val="24"/>
          <w:szCs w:val="24"/>
        </w:rPr>
        <w:t>Ambunda-Nashilundo</w:t>
      </w:r>
      <w:r w:rsidR="00910615">
        <w:rPr>
          <w:rFonts w:ascii="Arial" w:hAnsi="Arial" w:cs="Arial"/>
          <w:sz w:val="24"/>
          <w:szCs w:val="24"/>
        </w:rPr>
        <w:t>,</w:t>
      </w:r>
      <w:r>
        <w:rPr>
          <w:rFonts w:ascii="Arial" w:hAnsi="Arial" w:cs="Arial"/>
          <w:sz w:val="24"/>
          <w:szCs w:val="24"/>
        </w:rPr>
        <w:t xml:space="preserve"> referring to case</w:t>
      </w:r>
      <w:r w:rsidR="00910615">
        <w:rPr>
          <w:rFonts w:ascii="Arial" w:hAnsi="Arial" w:cs="Arial"/>
          <w:sz w:val="24"/>
          <w:szCs w:val="24"/>
        </w:rPr>
        <w:t xml:space="preserve"> law</w:t>
      </w:r>
      <w:r>
        <w:rPr>
          <w:rStyle w:val="FootnoteReference"/>
          <w:rFonts w:ascii="Arial" w:hAnsi="Arial" w:cs="Arial"/>
          <w:sz w:val="24"/>
          <w:szCs w:val="24"/>
        </w:rPr>
        <w:footnoteReference w:id="3"/>
      </w:r>
      <w:r>
        <w:rPr>
          <w:rFonts w:ascii="Arial" w:hAnsi="Arial" w:cs="Arial"/>
          <w:sz w:val="24"/>
          <w:szCs w:val="24"/>
        </w:rPr>
        <w:t xml:space="preserve"> setting out the approach to statutory interpretation, submits that the court should subject itself to the proposed approach when interpreting or assessing the various interpreta</w:t>
      </w:r>
      <w:r w:rsidR="00910615">
        <w:rPr>
          <w:rFonts w:ascii="Arial" w:hAnsi="Arial" w:cs="Arial"/>
          <w:sz w:val="24"/>
          <w:szCs w:val="24"/>
        </w:rPr>
        <w:t xml:space="preserve">tions attached to regulation </w:t>
      </w:r>
      <w:r w:rsidR="00910615">
        <w:rPr>
          <w:rFonts w:ascii="Arial" w:hAnsi="Arial" w:cs="Arial"/>
          <w:sz w:val="24"/>
          <w:szCs w:val="24"/>
        </w:rPr>
        <w:lastRenderedPageBreak/>
        <w:t>37</w:t>
      </w:r>
      <w:r>
        <w:rPr>
          <w:rFonts w:ascii="Arial" w:hAnsi="Arial" w:cs="Arial"/>
          <w:sz w:val="24"/>
          <w:szCs w:val="24"/>
        </w:rPr>
        <w:t>(1)</w:t>
      </w:r>
      <w:r w:rsidR="00292A50">
        <w:rPr>
          <w:rFonts w:ascii="Arial" w:hAnsi="Arial" w:cs="Arial"/>
          <w:sz w:val="24"/>
          <w:szCs w:val="24"/>
        </w:rPr>
        <w:t xml:space="preserve">. She </w:t>
      </w:r>
      <w:r w:rsidR="00910615">
        <w:rPr>
          <w:rFonts w:ascii="Arial" w:hAnsi="Arial" w:cs="Arial"/>
          <w:sz w:val="24"/>
          <w:szCs w:val="24"/>
        </w:rPr>
        <w:t xml:space="preserve">agrees that although the </w:t>
      </w:r>
      <w:r w:rsidR="00292A50">
        <w:rPr>
          <w:rFonts w:ascii="Arial" w:hAnsi="Arial" w:cs="Arial"/>
          <w:sz w:val="24"/>
          <w:szCs w:val="24"/>
        </w:rPr>
        <w:t>applicable reg</w:t>
      </w:r>
      <w:r w:rsidR="00F32F3D">
        <w:rPr>
          <w:rFonts w:ascii="Arial" w:hAnsi="Arial" w:cs="Arial"/>
          <w:sz w:val="24"/>
          <w:szCs w:val="24"/>
        </w:rPr>
        <w:t>ulation is not r</w:t>
      </w:r>
      <w:r w:rsidR="00910615">
        <w:rPr>
          <w:rFonts w:ascii="Arial" w:hAnsi="Arial" w:cs="Arial"/>
          <w:sz w:val="24"/>
          <w:szCs w:val="24"/>
        </w:rPr>
        <w:t>egulation 34(1) of t</w:t>
      </w:r>
      <w:r w:rsidR="00292A50">
        <w:rPr>
          <w:rFonts w:ascii="Arial" w:hAnsi="Arial" w:cs="Arial"/>
          <w:sz w:val="24"/>
          <w:szCs w:val="24"/>
        </w:rPr>
        <w:t>he repealed Service Regulation</w:t>
      </w:r>
      <w:r w:rsidR="00910615">
        <w:rPr>
          <w:rFonts w:ascii="Arial" w:hAnsi="Arial" w:cs="Arial"/>
          <w:sz w:val="24"/>
          <w:szCs w:val="24"/>
        </w:rPr>
        <w:t>s</w:t>
      </w:r>
      <w:r w:rsidR="00292A50">
        <w:rPr>
          <w:rFonts w:ascii="Arial" w:hAnsi="Arial" w:cs="Arial"/>
          <w:sz w:val="24"/>
          <w:szCs w:val="24"/>
        </w:rPr>
        <w:t xml:space="preserve"> but</w:t>
      </w:r>
      <w:r w:rsidR="00910615">
        <w:rPr>
          <w:rFonts w:ascii="Arial" w:hAnsi="Arial" w:cs="Arial"/>
          <w:sz w:val="24"/>
          <w:szCs w:val="24"/>
        </w:rPr>
        <w:t xml:space="preserve"> t</w:t>
      </w:r>
      <w:r w:rsidR="00292A50">
        <w:rPr>
          <w:rFonts w:ascii="Arial" w:hAnsi="Arial" w:cs="Arial"/>
          <w:sz w:val="24"/>
          <w:szCs w:val="24"/>
        </w:rPr>
        <w:t xml:space="preserve">hat the bonus leave originated from this provision. </w:t>
      </w:r>
    </w:p>
    <w:p w:rsidR="00C27FEA" w:rsidRPr="00F021DD" w:rsidRDefault="00C27FEA" w:rsidP="00292A50">
      <w:pPr>
        <w:spacing w:after="0" w:line="360" w:lineRule="auto"/>
        <w:jc w:val="both"/>
        <w:rPr>
          <w:rFonts w:ascii="Arial" w:hAnsi="Arial" w:cs="Arial"/>
          <w:sz w:val="24"/>
          <w:szCs w:val="24"/>
        </w:rPr>
      </w:pPr>
    </w:p>
    <w:p w:rsidR="00292A50" w:rsidRDefault="00292A50" w:rsidP="00292A50">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17</w:t>
      </w:r>
      <w:r>
        <w:rPr>
          <w:rFonts w:ascii="Arial" w:hAnsi="Arial" w:cs="Arial"/>
          <w:sz w:val="24"/>
          <w:szCs w:val="24"/>
          <w:lang w:val="en-ZA"/>
        </w:rPr>
        <w:t>]</w:t>
      </w:r>
      <w:r>
        <w:rPr>
          <w:rFonts w:ascii="Arial" w:hAnsi="Arial" w:cs="Arial"/>
          <w:sz w:val="24"/>
          <w:szCs w:val="24"/>
          <w:lang w:val="en-ZA"/>
        </w:rPr>
        <w:tab/>
        <w:t>It is further the applicants’ position that they have been employed since 2014 and the first five year cycle ended during 2019</w:t>
      </w:r>
      <w:r w:rsidR="008722F5">
        <w:rPr>
          <w:rFonts w:ascii="Arial" w:hAnsi="Arial" w:cs="Arial"/>
          <w:sz w:val="24"/>
          <w:szCs w:val="24"/>
          <w:lang w:val="en-ZA"/>
        </w:rPr>
        <w:t xml:space="preserve">. A second bonus leave would therefore accrue to them </w:t>
      </w:r>
      <w:r w:rsidR="00DD51AF">
        <w:rPr>
          <w:rFonts w:ascii="Arial" w:hAnsi="Arial" w:cs="Arial"/>
          <w:sz w:val="24"/>
          <w:szCs w:val="24"/>
          <w:lang w:val="en-ZA"/>
        </w:rPr>
        <w:t>by 202</w:t>
      </w:r>
      <w:r w:rsidR="00F32F3D">
        <w:rPr>
          <w:rFonts w:ascii="Arial" w:hAnsi="Arial" w:cs="Arial"/>
          <w:sz w:val="24"/>
          <w:szCs w:val="24"/>
          <w:lang w:val="en-ZA"/>
        </w:rPr>
        <w:t>4. They claim entitlement to 73,</w:t>
      </w:r>
      <w:r w:rsidR="00102091">
        <w:rPr>
          <w:rFonts w:ascii="Arial" w:hAnsi="Arial" w:cs="Arial"/>
          <w:sz w:val="24"/>
          <w:szCs w:val="24"/>
          <w:lang w:val="en-ZA"/>
        </w:rPr>
        <w:t xml:space="preserve"> </w:t>
      </w:r>
      <w:r w:rsidR="00DD51AF">
        <w:rPr>
          <w:rFonts w:ascii="Arial" w:hAnsi="Arial" w:cs="Arial"/>
          <w:sz w:val="24"/>
          <w:szCs w:val="24"/>
          <w:lang w:val="en-ZA"/>
        </w:rPr>
        <w:t>97 bonus leave days or in the alternative payment of cash value calculated in accordance with regulation 37(8).</w:t>
      </w:r>
    </w:p>
    <w:p w:rsidR="00DB13A2" w:rsidRDefault="00DB13A2" w:rsidP="00292A50">
      <w:pPr>
        <w:spacing w:after="0" w:line="360" w:lineRule="auto"/>
        <w:jc w:val="both"/>
        <w:rPr>
          <w:rFonts w:ascii="Arial" w:hAnsi="Arial" w:cs="Arial"/>
          <w:sz w:val="24"/>
          <w:szCs w:val="24"/>
          <w:lang w:val="en-ZA"/>
        </w:rPr>
      </w:pPr>
    </w:p>
    <w:p w:rsidR="00DD51AF" w:rsidRDefault="00DB13A2" w:rsidP="00292A50">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18</w:t>
      </w:r>
      <w:r>
        <w:rPr>
          <w:rFonts w:ascii="Arial" w:hAnsi="Arial" w:cs="Arial"/>
          <w:sz w:val="24"/>
          <w:szCs w:val="24"/>
          <w:lang w:val="en-ZA"/>
        </w:rPr>
        <w:t>]</w:t>
      </w:r>
      <w:r>
        <w:rPr>
          <w:rFonts w:ascii="Arial" w:hAnsi="Arial" w:cs="Arial"/>
          <w:sz w:val="24"/>
          <w:szCs w:val="24"/>
          <w:lang w:val="en-ZA"/>
        </w:rPr>
        <w:tab/>
        <w:t xml:space="preserve">Ms Ambunda-Nashilundo </w:t>
      </w:r>
      <w:r w:rsidR="00DD51AF">
        <w:rPr>
          <w:rFonts w:ascii="Arial" w:hAnsi="Arial" w:cs="Arial"/>
          <w:sz w:val="24"/>
          <w:szCs w:val="24"/>
          <w:lang w:val="en-ZA"/>
        </w:rPr>
        <w:t xml:space="preserve">submits that it is trite that </w:t>
      </w:r>
      <w:r>
        <w:rPr>
          <w:rFonts w:ascii="Arial" w:hAnsi="Arial" w:cs="Arial"/>
          <w:sz w:val="24"/>
          <w:szCs w:val="24"/>
          <w:lang w:val="en-ZA"/>
        </w:rPr>
        <w:t>statutory</w:t>
      </w:r>
      <w:r w:rsidR="00DD51AF">
        <w:rPr>
          <w:rFonts w:ascii="Arial" w:hAnsi="Arial" w:cs="Arial"/>
          <w:sz w:val="24"/>
          <w:szCs w:val="24"/>
          <w:lang w:val="en-ZA"/>
        </w:rPr>
        <w:t xml:space="preserve"> provisions should be given their literal meaning in total context in order to ascertain the intention of the legislature. She submits that the repealed regulation did not </w:t>
      </w:r>
      <w:r w:rsidR="008722F5">
        <w:rPr>
          <w:rFonts w:ascii="Arial" w:hAnsi="Arial" w:cs="Arial"/>
          <w:sz w:val="24"/>
          <w:szCs w:val="24"/>
          <w:lang w:val="en-ZA"/>
        </w:rPr>
        <w:t xml:space="preserve">include the </w:t>
      </w:r>
      <w:r w:rsidR="00F32F3D">
        <w:rPr>
          <w:rFonts w:ascii="Arial" w:hAnsi="Arial" w:cs="Arial"/>
          <w:sz w:val="24"/>
          <w:szCs w:val="24"/>
          <w:lang w:val="en-ZA"/>
        </w:rPr>
        <w:t>words ‘</w:t>
      </w:r>
      <w:r w:rsidR="00DD51AF">
        <w:rPr>
          <w:rFonts w:ascii="Arial" w:hAnsi="Arial" w:cs="Arial"/>
          <w:sz w:val="24"/>
          <w:szCs w:val="24"/>
          <w:lang w:val="en-ZA"/>
        </w:rPr>
        <w:t>thereafter who has complet</w:t>
      </w:r>
      <w:r w:rsidR="00F32F3D">
        <w:rPr>
          <w:rFonts w:ascii="Arial" w:hAnsi="Arial" w:cs="Arial"/>
          <w:sz w:val="24"/>
          <w:szCs w:val="24"/>
          <w:lang w:val="en-ZA"/>
        </w:rPr>
        <w:t>ed’. She argues that the word ‘</w:t>
      </w:r>
      <w:r w:rsidR="00DD51AF">
        <w:rPr>
          <w:rFonts w:ascii="Arial" w:hAnsi="Arial" w:cs="Arial"/>
          <w:sz w:val="24"/>
          <w:szCs w:val="24"/>
          <w:lang w:val="en-ZA"/>
        </w:rPr>
        <w:t>thereafter</w:t>
      </w:r>
      <w:r w:rsidR="00F32F3D">
        <w:rPr>
          <w:rFonts w:ascii="Arial" w:hAnsi="Arial" w:cs="Arial"/>
          <w:sz w:val="24"/>
          <w:szCs w:val="24"/>
          <w:lang w:val="en-ZA"/>
        </w:rPr>
        <w:t>’</w:t>
      </w:r>
      <w:r w:rsidR="00DD51AF">
        <w:rPr>
          <w:rFonts w:ascii="Arial" w:hAnsi="Arial" w:cs="Arial"/>
          <w:sz w:val="24"/>
          <w:szCs w:val="24"/>
          <w:lang w:val="en-ZA"/>
        </w:rPr>
        <w:t xml:space="preserve"> was purposefully included to ensure the retrospective effect of regulation 37(1), which goes ba</w:t>
      </w:r>
      <w:r w:rsidR="008722F5">
        <w:rPr>
          <w:rFonts w:ascii="Arial" w:hAnsi="Arial" w:cs="Arial"/>
          <w:sz w:val="24"/>
          <w:szCs w:val="24"/>
          <w:lang w:val="en-ZA"/>
        </w:rPr>
        <w:t xml:space="preserve">ck to December 2004. </w:t>
      </w:r>
      <w:r>
        <w:rPr>
          <w:rFonts w:ascii="Arial" w:hAnsi="Arial" w:cs="Arial"/>
          <w:sz w:val="24"/>
          <w:szCs w:val="24"/>
          <w:lang w:val="en-ZA"/>
        </w:rPr>
        <w:t>S</w:t>
      </w:r>
      <w:r w:rsidR="00DD51AF">
        <w:rPr>
          <w:rFonts w:ascii="Arial" w:hAnsi="Arial" w:cs="Arial"/>
          <w:sz w:val="24"/>
          <w:szCs w:val="24"/>
          <w:lang w:val="en-ZA"/>
        </w:rPr>
        <w:t xml:space="preserve">he submits </w:t>
      </w:r>
      <w:r w:rsidR="008722F5">
        <w:rPr>
          <w:rFonts w:ascii="Arial" w:hAnsi="Arial" w:cs="Arial"/>
          <w:sz w:val="24"/>
          <w:szCs w:val="24"/>
          <w:lang w:val="en-ZA"/>
        </w:rPr>
        <w:t xml:space="preserve">that it </w:t>
      </w:r>
      <w:r w:rsidR="00DD51AF">
        <w:rPr>
          <w:rFonts w:ascii="Arial" w:hAnsi="Arial" w:cs="Arial"/>
          <w:sz w:val="24"/>
          <w:szCs w:val="24"/>
          <w:lang w:val="en-ZA"/>
        </w:rPr>
        <w:t>means that all members who were in the employ of the respondents since 2004 and all members employed at any time thereafter, would be entit</w:t>
      </w:r>
      <w:r w:rsidR="00F32F3D">
        <w:rPr>
          <w:rFonts w:ascii="Arial" w:hAnsi="Arial" w:cs="Arial"/>
          <w:sz w:val="24"/>
          <w:szCs w:val="24"/>
          <w:lang w:val="en-ZA"/>
        </w:rPr>
        <w:t>led to leave bonus for the two five</w:t>
      </w:r>
      <w:r w:rsidR="00DD51AF">
        <w:rPr>
          <w:rFonts w:ascii="Arial" w:hAnsi="Arial" w:cs="Arial"/>
          <w:sz w:val="24"/>
          <w:szCs w:val="24"/>
          <w:lang w:val="en-ZA"/>
        </w:rPr>
        <w:t xml:space="preserve"> year cycles. </w:t>
      </w:r>
    </w:p>
    <w:p w:rsidR="00DD51AF" w:rsidRDefault="00DD51AF" w:rsidP="00292A50">
      <w:pPr>
        <w:spacing w:after="0" w:line="360" w:lineRule="auto"/>
        <w:jc w:val="both"/>
        <w:rPr>
          <w:rFonts w:ascii="Arial" w:hAnsi="Arial" w:cs="Arial"/>
          <w:sz w:val="24"/>
          <w:szCs w:val="24"/>
          <w:lang w:val="en-ZA"/>
        </w:rPr>
      </w:pPr>
    </w:p>
    <w:p w:rsidR="0045399D" w:rsidRDefault="00DD51AF" w:rsidP="0045399D">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19</w:t>
      </w:r>
      <w:r w:rsidR="00F32F3D">
        <w:rPr>
          <w:rFonts w:ascii="Arial" w:hAnsi="Arial" w:cs="Arial"/>
          <w:sz w:val="24"/>
          <w:szCs w:val="24"/>
          <w:lang w:val="en-ZA"/>
        </w:rPr>
        <w:t>]</w:t>
      </w:r>
      <w:r w:rsidR="00F32F3D">
        <w:rPr>
          <w:rFonts w:ascii="Arial" w:hAnsi="Arial" w:cs="Arial"/>
          <w:sz w:val="24"/>
          <w:szCs w:val="24"/>
          <w:lang w:val="en-ZA"/>
        </w:rPr>
        <w:tab/>
        <w:t>She cites r</w:t>
      </w:r>
      <w:r>
        <w:rPr>
          <w:rFonts w:ascii="Arial" w:hAnsi="Arial" w:cs="Arial"/>
          <w:sz w:val="24"/>
          <w:szCs w:val="24"/>
          <w:lang w:val="en-ZA"/>
        </w:rPr>
        <w:t>egulation 37(11) in support</w:t>
      </w:r>
      <w:r w:rsidR="0045399D">
        <w:rPr>
          <w:rFonts w:ascii="Arial" w:hAnsi="Arial" w:cs="Arial"/>
          <w:sz w:val="24"/>
          <w:szCs w:val="24"/>
          <w:lang w:val="en-ZA"/>
        </w:rPr>
        <w:t xml:space="preserve"> of her proposed interpretation. She further submits that the literal and contextual meaning of regulation 37(1), read with 37(6), (7) and (11) is that for members employed before the repeal date </w:t>
      </w:r>
      <w:r w:rsidR="00F32F3D">
        <w:rPr>
          <w:rFonts w:ascii="Arial" w:hAnsi="Arial" w:cs="Arial"/>
          <w:sz w:val="24"/>
          <w:szCs w:val="24"/>
          <w:lang w:val="en-ZA"/>
        </w:rPr>
        <w:t>i.e.</w:t>
      </w:r>
      <w:r w:rsidR="0045399D">
        <w:rPr>
          <w:rFonts w:ascii="Arial" w:hAnsi="Arial" w:cs="Arial"/>
          <w:sz w:val="24"/>
          <w:szCs w:val="24"/>
          <w:lang w:val="en-ZA"/>
        </w:rPr>
        <w:t xml:space="preserve"> 1 March 2</w:t>
      </w:r>
      <w:r w:rsidR="00F32F3D">
        <w:rPr>
          <w:rFonts w:ascii="Arial" w:hAnsi="Arial" w:cs="Arial"/>
          <w:sz w:val="24"/>
          <w:szCs w:val="24"/>
          <w:lang w:val="en-ZA"/>
        </w:rPr>
        <w:t>013, and who has not completed five</w:t>
      </w:r>
      <w:r w:rsidR="0045399D">
        <w:rPr>
          <w:rFonts w:ascii="Arial" w:hAnsi="Arial" w:cs="Arial"/>
          <w:sz w:val="24"/>
          <w:szCs w:val="24"/>
          <w:lang w:val="en-ZA"/>
        </w:rPr>
        <w:t xml:space="preserve"> years</w:t>
      </w:r>
      <w:r w:rsidR="00802523">
        <w:rPr>
          <w:rFonts w:ascii="Arial" w:hAnsi="Arial" w:cs="Arial"/>
          <w:sz w:val="24"/>
          <w:szCs w:val="24"/>
          <w:lang w:val="en-ZA"/>
        </w:rPr>
        <w:t>’</w:t>
      </w:r>
      <w:r w:rsidR="0045399D">
        <w:rPr>
          <w:rFonts w:ascii="Arial" w:hAnsi="Arial" w:cs="Arial"/>
          <w:sz w:val="24"/>
          <w:szCs w:val="24"/>
          <w:lang w:val="en-ZA"/>
        </w:rPr>
        <w:t xml:space="preserve"> service, the period already served will continue and the bonus leave would acc</w:t>
      </w:r>
      <w:r w:rsidR="00802523">
        <w:rPr>
          <w:rFonts w:ascii="Arial" w:hAnsi="Arial" w:cs="Arial"/>
          <w:sz w:val="24"/>
          <w:szCs w:val="24"/>
          <w:lang w:val="en-ZA"/>
        </w:rPr>
        <w:t xml:space="preserve">rue </w:t>
      </w:r>
      <w:r w:rsidR="00F32F3D">
        <w:rPr>
          <w:rFonts w:ascii="Arial" w:hAnsi="Arial" w:cs="Arial"/>
          <w:sz w:val="24"/>
          <w:szCs w:val="24"/>
          <w:lang w:val="en-ZA"/>
        </w:rPr>
        <w:t>after the first five</w:t>
      </w:r>
      <w:r w:rsidR="0045399D">
        <w:rPr>
          <w:rFonts w:ascii="Arial" w:hAnsi="Arial" w:cs="Arial"/>
          <w:sz w:val="24"/>
          <w:szCs w:val="24"/>
          <w:lang w:val="en-ZA"/>
        </w:rPr>
        <w:t xml:space="preserve"> year continued service period. This alone, she argues, indicate that regu</w:t>
      </w:r>
      <w:r w:rsidR="00984697">
        <w:rPr>
          <w:rFonts w:ascii="Arial" w:hAnsi="Arial" w:cs="Arial"/>
          <w:sz w:val="24"/>
          <w:szCs w:val="24"/>
          <w:lang w:val="en-ZA"/>
        </w:rPr>
        <w:t>lation 34(1), as repealed by 37</w:t>
      </w:r>
      <w:r w:rsidR="0045399D">
        <w:rPr>
          <w:rFonts w:ascii="Arial" w:hAnsi="Arial" w:cs="Arial"/>
          <w:sz w:val="24"/>
          <w:szCs w:val="24"/>
          <w:lang w:val="en-ZA"/>
        </w:rPr>
        <w:t xml:space="preserve">(1), read with 37(11), is a continuation of the benefit to apply to all members employed by the applicant since December 2004. </w:t>
      </w:r>
    </w:p>
    <w:p w:rsidR="00683744" w:rsidRDefault="00683744" w:rsidP="00683744">
      <w:pPr>
        <w:spacing w:after="0" w:line="360" w:lineRule="auto"/>
        <w:jc w:val="both"/>
        <w:rPr>
          <w:rFonts w:ascii="Arial" w:hAnsi="Arial" w:cs="Arial"/>
          <w:sz w:val="24"/>
          <w:szCs w:val="24"/>
          <w:lang w:val="en-ZA"/>
        </w:rPr>
      </w:pPr>
    </w:p>
    <w:p w:rsidR="00683744" w:rsidRDefault="00683744" w:rsidP="00683744">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t xml:space="preserve">Ms Ambunda-Nashilundo concedes that the legislature in terms of regulation 37(1) is meant to have retrospective effect to include members who were employed as from December 2004 and thereafter. She submits that it can be accepted that the legislature did this so that the vested rights of members since 2004 is not affected by the repeal. </w:t>
      </w:r>
    </w:p>
    <w:p w:rsidR="00683744" w:rsidRDefault="00683744" w:rsidP="00683744">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F021DD">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t>Ms Ambunda-Nashilundo argues that the interpretation of the respondents is absurd and it does not reflect the true intention of the legislation as it is a misconstruction o</w:t>
      </w:r>
      <w:r w:rsidR="00102091">
        <w:rPr>
          <w:rFonts w:ascii="Arial" w:hAnsi="Arial" w:cs="Arial"/>
          <w:sz w:val="24"/>
          <w:szCs w:val="24"/>
          <w:lang w:val="en-ZA"/>
        </w:rPr>
        <w:t>f the clear words as they appear</w:t>
      </w:r>
      <w:r>
        <w:rPr>
          <w:rFonts w:ascii="Arial" w:hAnsi="Arial" w:cs="Arial"/>
          <w:sz w:val="24"/>
          <w:szCs w:val="24"/>
          <w:lang w:val="en-ZA"/>
        </w:rPr>
        <w:t xml:space="preserve"> from the regulation</w:t>
      </w:r>
      <w:r w:rsidR="00F32F3D">
        <w:rPr>
          <w:rFonts w:ascii="Arial" w:hAnsi="Arial" w:cs="Arial"/>
          <w:sz w:val="24"/>
          <w:szCs w:val="24"/>
          <w:lang w:val="en-ZA"/>
        </w:rPr>
        <w:t>.</w:t>
      </w:r>
      <w:r>
        <w:rPr>
          <w:rFonts w:ascii="Arial" w:hAnsi="Arial" w:cs="Arial"/>
          <w:sz w:val="24"/>
          <w:szCs w:val="24"/>
          <w:lang w:val="en-ZA"/>
        </w:rPr>
        <w:t xml:space="preserve"> She submits that the interpretation suggested by the respondents is not only wrong in law but also unconstitutional as it discriminates between members of the first respondent and disentitles the rest to</w:t>
      </w:r>
      <w:r w:rsidR="00102091">
        <w:rPr>
          <w:rFonts w:ascii="Arial" w:hAnsi="Arial" w:cs="Arial"/>
          <w:sz w:val="24"/>
          <w:szCs w:val="24"/>
          <w:lang w:val="en-ZA"/>
        </w:rPr>
        <w:t xml:space="preserve"> a </w:t>
      </w:r>
      <w:r>
        <w:rPr>
          <w:rFonts w:ascii="Arial" w:hAnsi="Arial" w:cs="Arial"/>
          <w:sz w:val="24"/>
          <w:szCs w:val="24"/>
          <w:lang w:val="en-ZA"/>
        </w:rPr>
        <w:t xml:space="preserve">statutory benefit without any justifiable grounds. </w:t>
      </w:r>
    </w:p>
    <w:p w:rsidR="00170EAE" w:rsidRDefault="00170EAE" w:rsidP="0045399D">
      <w:pPr>
        <w:spacing w:after="0" w:line="360" w:lineRule="auto"/>
        <w:jc w:val="both"/>
        <w:rPr>
          <w:rFonts w:ascii="Arial" w:hAnsi="Arial" w:cs="Arial"/>
          <w:sz w:val="24"/>
          <w:szCs w:val="24"/>
          <w:u w:val="single"/>
          <w:lang w:val="en-ZA"/>
        </w:rPr>
      </w:pPr>
    </w:p>
    <w:p w:rsidR="00DB13A2" w:rsidRDefault="00DB13A2" w:rsidP="0045399D">
      <w:pPr>
        <w:spacing w:after="0" w:line="360" w:lineRule="auto"/>
        <w:jc w:val="both"/>
        <w:rPr>
          <w:rFonts w:ascii="Arial" w:hAnsi="Arial" w:cs="Arial"/>
          <w:sz w:val="24"/>
          <w:szCs w:val="24"/>
          <w:u w:val="single"/>
          <w:lang w:val="en-ZA"/>
        </w:rPr>
      </w:pPr>
      <w:r w:rsidRPr="00A704F9">
        <w:rPr>
          <w:rFonts w:ascii="Arial" w:hAnsi="Arial" w:cs="Arial"/>
          <w:sz w:val="24"/>
          <w:szCs w:val="24"/>
          <w:u w:val="single"/>
          <w:lang w:val="en-ZA"/>
        </w:rPr>
        <w:t>Respondents’ case</w:t>
      </w:r>
    </w:p>
    <w:p w:rsidR="00F021DD" w:rsidRDefault="00F021DD" w:rsidP="0045399D">
      <w:pPr>
        <w:spacing w:after="0" w:line="360" w:lineRule="auto"/>
        <w:jc w:val="both"/>
        <w:rPr>
          <w:rFonts w:ascii="Arial" w:hAnsi="Arial" w:cs="Arial"/>
          <w:sz w:val="24"/>
          <w:szCs w:val="24"/>
          <w:lang w:val="en-ZA"/>
        </w:rPr>
      </w:pPr>
    </w:p>
    <w:p w:rsidR="00DB13A2" w:rsidRDefault="00DB13A2" w:rsidP="0045399D">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22</w:t>
      </w:r>
      <w:r>
        <w:rPr>
          <w:rFonts w:ascii="Arial" w:hAnsi="Arial" w:cs="Arial"/>
          <w:sz w:val="24"/>
          <w:szCs w:val="24"/>
          <w:lang w:val="en-ZA"/>
        </w:rPr>
        <w:t>]</w:t>
      </w:r>
      <w:r>
        <w:rPr>
          <w:rFonts w:ascii="Arial" w:hAnsi="Arial" w:cs="Arial"/>
          <w:sz w:val="24"/>
          <w:szCs w:val="24"/>
          <w:lang w:val="en-ZA"/>
        </w:rPr>
        <w:tab/>
        <w:t>Mr C</w:t>
      </w:r>
      <w:r w:rsidR="00752FC8">
        <w:rPr>
          <w:rFonts w:ascii="Arial" w:hAnsi="Arial" w:cs="Arial"/>
          <w:sz w:val="24"/>
          <w:szCs w:val="24"/>
          <w:lang w:val="en-ZA"/>
        </w:rPr>
        <w:t>hibwana, counsel for the respondents</w:t>
      </w:r>
      <w:r w:rsidR="008722F5">
        <w:rPr>
          <w:rFonts w:ascii="Arial" w:hAnsi="Arial" w:cs="Arial"/>
          <w:sz w:val="24"/>
          <w:szCs w:val="24"/>
          <w:lang w:val="en-ZA"/>
        </w:rPr>
        <w:t>,</w:t>
      </w:r>
      <w:r w:rsidR="00752FC8">
        <w:rPr>
          <w:rFonts w:ascii="Arial" w:hAnsi="Arial" w:cs="Arial"/>
          <w:sz w:val="24"/>
          <w:szCs w:val="24"/>
          <w:lang w:val="en-ZA"/>
        </w:rPr>
        <w:t xml:space="preserve"> argues that the entitlement to bonus leave is not addressed in the regulations in the same manner as all the other employment entitlement for members of the Windhoek Municipal Police. He cites the examples of other fringe b</w:t>
      </w:r>
      <w:r w:rsidR="00F32F3D">
        <w:rPr>
          <w:rFonts w:ascii="Arial" w:hAnsi="Arial" w:cs="Arial"/>
          <w:sz w:val="24"/>
          <w:szCs w:val="24"/>
          <w:lang w:val="en-ZA"/>
        </w:rPr>
        <w:t>enefits which merely refers to ‘</w:t>
      </w:r>
      <w:r w:rsidR="00752FC8">
        <w:rPr>
          <w:rFonts w:ascii="Arial" w:hAnsi="Arial" w:cs="Arial"/>
          <w:sz w:val="24"/>
          <w:szCs w:val="24"/>
          <w:lang w:val="en-ZA"/>
        </w:rPr>
        <w:t>a member</w:t>
      </w:r>
      <w:r w:rsidR="00F32F3D">
        <w:rPr>
          <w:rFonts w:ascii="Arial" w:hAnsi="Arial" w:cs="Arial"/>
          <w:sz w:val="24"/>
          <w:szCs w:val="24"/>
          <w:lang w:val="en-ZA"/>
        </w:rPr>
        <w:t>’</w:t>
      </w:r>
      <w:r w:rsidR="00752FC8">
        <w:rPr>
          <w:rFonts w:ascii="Arial" w:hAnsi="Arial" w:cs="Arial"/>
          <w:sz w:val="24"/>
          <w:szCs w:val="24"/>
          <w:lang w:val="en-ZA"/>
        </w:rPr>
        <w:t xml:space="preserve"> without any qualification on the identity of the member and most importantly when the member should have been in service to qualify for the employment entitlement</w:t>
      </w:r>
      <w:r w:rsidR="00102091">
        <w:rPr>
          <w:rFonts w:ascii="Arial" w:hAnsi="Arial" w:cs="Arial"/>
          <w:sz w:val="24"/>
          <w:szCs w:val="24"/>
          <w:lang w:val="en-ZA"/>
        </w:rPr>
        <w:t>. He proposes that the court</w:t>
      </w:r>
      <w:r w:rsidR="00752FC8">
        <w:rPr>
          <w:rFonts w:ascii="Arial" w:hAnsi="Arial" w:cs="Arial"/>
          <w:sz w:val="24"/>
          <w:szCs w:val="24"/>
          <w:lang w:val="en-ZA"/>
        </w:rPr>
        <w:t xml:space="preserve"> embark upon the absence of a qualification in comparison to the other provisions that similarly award employment entitlements as he is of the view that this would be a crucial factor which must be taken into consideration. </w:t>
      </w:r>
    </w:p>
    <w:p w:rsidR="00752FC8" w:rsidRDefault="00752FC8" w:rsidP="0045399D">
      <w:pPr>
        <w:spacing w:after="0" w:line="360" w:lineRule="auto"/>
        <w:jc w:val="both"/>
        <w:rPr>
          <w:rFonts w:ascii="Arial" w:hAnsi="Arial" w:cs="Arial"/>
          <w:sz w:val="24"/>
          <w:szCs w:val="24"/>
          <w:lang w:val="en-ZA"/>
        </w:rPr>
      </w:pPr>
    </w:p>
    <w:p w:rsidR="00752FC8" w:rsidRDefault="00752FC8" w:rsidP="0045399D">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23</w:t>
      </w:r>
      <w:r>
        <w:rPr>
          <w:rFonts w:ascii="Arial" w:hAnsi="Arial" w:cs="Arial"/>
          <w:sz w:val="24"/>
          <w:szCs w:val="24"/>
          <w:lang w:val="en-ZA"/>
        </w:rPr>
        <w:t>]</w:t>
      </w:r>
      <w:r>
        <w:rPr>
          <w:rFonts w:ascii="Arial" w:hAnsi="Arial" w:cs="Arial"/>
          <w:sz w:val="24"/>
          <w:szCs w:val="24"/>
          <w:lang w:val="en-ZA"/>
        </w:rPr>
        <w:tab/>
        <w:t>According to Mr Chibwana</w:t>
      </w:r>
      <w:r w:rsidR="00F32F3D">
        <w:rPr>
          <w:rFonts w:ascii="Arial" w:hAnsi="Arial" w:cs="Arial"/>
          <w:sz w:val="24"/>
          <w:szCs w:val="24"/>
          <w:lang w:val="en-ZA"/>
        </w:rPr>
        <w:t>,</w:t>
      </w:r>
      <w:r>
        <w:rPr>
          <w:rFonts w:ascii="Arial" w:hAnsi="Arial" w:cs="Arial"/>
          <w:sz w:val="24"/>
          <w:szCs w:val="24"/>
          <w:lang w:val="en-ZA"/>
        </w:rPr>
        <w:t xml:space="preserve"> a further crucial</w:t>
      </w:r>
      <w:r w:rsidR="00F32F3D">
        <w:rPr>
          <w:rFonts w:ascii="Arial" w:hAnsi="Arial" w:cs="Arial"/>
          <w:sz w:val="24"/>
          <w:szCs w:val="24"/>
          <w:lang w:val="en-ZA"/>
        </w:rPr>
        <w:t xml:space="preserve"> factor is the use of the word ‘and’</w:t>
      </w:r>
      <w:r w:rsidR="00683744">
        <w:rPr>
          <w:rFonts w:ascii="Arial" w:hAnsi="Arial" w:cs="Arial"/>
          <w:sz w:val="24"/>
          <w:szCs w:val="24"/>
          <w:lang w:val="en-ZA"/>
        </w:rPr>
        <w:t xml:space="preserve">. He submits that </w:t>
      </w:r>
      <w:r>
        <w:rPr>
          <w:rFonts w:ascii="Arial" w:hAnsi="Arial" w:cs="Arial"/>
          <w:sz w:val="24"/>
          <w:szCs w:val="24"/>
          <w:lang w:val="en-ZA"/>
        </w:rPr>
        <w:t xml:space="preserve">this should be given its ordinary meaning. He, like </w:t>
      </w:r>
      <w:r w:rsidR="00211081">
        <w:rPr>
          <w:rFonts w:ascii="Arial" w:hAnsi="Arial" w:cs="Arial"/>
          <w:sz w:val="24"/>
          <w:szCs w:val="24"/>
          <w:lang w:val="en-ZA"/>
        </w:rPr>
        <w:t>Ms Ambunda-Nashilundo</w:t>
      </w:r>
      <w:r w:rsidR="00F32F3D">
        <w:rPr>
          <w:rFonts w:ascii="Arial" w:hAnsi="Arial" w:cs="Arial"/>
          <w:sz w:val="24"/>
          <w:szCs w:val="24"/>
          <w:lang w:val="en-ZA"/>
        </w:rPr>
        <w:t>,</w:t>
      </w:r>
      <w:r>
        <w:rPr>
          <w:rFonts w:ascii="Arial" w:hAnsi="Arial" w:cs="Arial"/>
          <w:sz w:val="24"/>
          <w:szCs w:val="24"/>
          <w:lang w:val="en-ZA"/>
        </w:rPr>
        <w:t xml:space="preserve"> </w:t>
      </w:r>
      <w:r w:rsidR="00211081">
        <w:rPr>
          <w:rFonts w:ascii="Arial" w:hAnsi="Arial" w:cs="Arial"/>
          <w:sz w:val="24"/>
          <w:szCs w:val="24"/>
          <w:lang w:val="en-ZA"/>
        </w:rPr>
        <w:t>argues that the literal, grammatical and ordinary interpretation of the language utilised by the regulation maker</w:t>
      </w:r>
      <w:r w:rsidR="001F02E5">
        <w:rPr>
          <w:rFonts w:ascii="Arial" w:hAnsi="Arial" w:cs="Arial"/>
          <w:sz w:val="24"/>
          <w:szCs w:val="24"/>
          <w:lang w:val="en-ZA"/>
        </w:rPr>
        <w:t>,</w:t>
      </w:r>
      <w:r w:rsidR="00211081">
        <w:rPr>
          <w:rFonts w:ascii="Arial" w:hAnsi="Arial" w:cs="Arial"/>
          <w:sz w:val="24"/>
          <w:szCs w:val="24"/>
          <w:lang w:val="en-ZA"/>
        </w:rPr>
        <w:t xml:space="preserve"> should be applied when interpreting the regulations</w:t>
      </w:r>
      <w:r w:rsidR="001F02E5">
        <w:rPr>
          <w:rFonts w:ascii="Arial" w:hAnsi="Arial" w:cs="Arial"/>
          <w:sz w:val="24"/>
          <w:szCs w:val="24"/>
          <w:lang w:val="en-ZA"/>
        </w:rPr>
        <w:t>,</w:t>
      </w:r>
      <w:r w:rsidR="00211081">
        <w:rPr>
          <w:rFonts w:ascii="Arial" w:hAnsi="Arial" w:cs="Arial"/>
          <w:sz w:val="24"/>
          <w:szCs w:val="24"/>
          <w:lang w:val="en-ZA"/>
        </w:rPr>
        <w:t xml:space="preserve"> citing </w:t>
      </w:r>
      <w:r w:rsidR="00211081" w:rsidRPr="00211081">
        <w:rPr>
          <w:rFonts w:ascii="Arial" w:hAnsi="Arial" w:cs="Arial"/>
          <w:i/>
          <w:sz w:val="24"/>
          <w:szCs w:val="24"/>
          <w:lang w:val="en-ZA"/>
        </w:rPr>
        <w:t>Torbitt and Others v International University of Management</w:t>
      </w:r>
      <w:r w:rsidR="00211081" w:rsidRPr="00211081">
        <w:rPr>
          <w:rFonts w:ascii="Arial" w:hAnsi="Arial" w:cs="Arial"/>
          <w:sz w:val="24"/>
          <w:szCs w:val="24"/>
          <w:lang w:val="en-ZA"/>
        </w:rPr>
        <w:t> </w:t>
      </w:r>
      <w:r w:rsidR="00211081">
        <w:rPr>
          <w:rStyle w:val="FootnoteReference"/>
          <w:rFonts w:ascii="Arial" w:hAnsi="Arial" w:cs="Arial"/>
          <w:sz w:val="24"/>
          <w:szCs w:val="24"/>
          <w:lang w:val="en-ZA"/>
        </w:rPr>
        <w:footnoteReference w:id="4"/>
      </w:r>
      <w:r w:rsidR="00211081">
        <w:rPr>
          <w:rFonts w:ascii="Arial" w:hAnsi="Arial" w:cs="Arial"/>
          <w:sz w:val="24"/>
          <w:szCs w:val="24"/>
          <w:lang w:val="en-ZA"/>
        </w:rPr>
        <w:t xml:space="preserve"> in support of his submissions. He also provided the court with a list of cases</w:t>
      </w:r>
      <w:r w:rsidR="00A704F9">
        <w:rPr>
          <w:rStyle w:val="FootnoteReference"/>
          <w:rFonts w:ascii="Arial" w:hAnsi="Arial" w:cs="Arial"/>
          <w:sz w:val="24"/>
          <w:szCs w:val="24"/>
          <w:lang w:val="en-ZA"/>
        </w:rPr>
        <w:footnoteReference w:id="5"/>
      </w:r>
      <w:r w:rsidR="00211081">
        <w:rPr>
          <w:rFonts w:ascii="Arial" w:hAnsi="Arial" w:cs="Arial"/>
          <w:sz w:val="24"/>
          <w:szCs w:val="24"/>
          <w:lang w:val="en-ZA"/>
        </w:rPr>
        <w:t xml:space="preserve"> in support o</w:t>
      </w:r>
      <w:r w:rsidR="00F32F3D">
        <w:rPr>
          <w:rFonts w:ascii="Arial" w:hAnsi="Arial" w:cs="Arial"/>
          <w:sz w:val="24"/>
          <w:szCs w:val="24"/>
          <w:lang w:val="en-ZA"/>
        </w:rPr>
        <w:t>f his contention that the word ‘and’</w:t>
      </w:r>
      <w:r w:rsidR="00211081">
        <w:rPr>
          <w:rFonts w:ascii="Arial" w:hAnsi="Arial" w:cs="Arial"/>
          <w:sz w:val="24"/>
          <w:szCs w:val="24"/>
          <w:lang w:val="en-ZA"/>
        </w:rPr>
        <w:t xml:space="preserve"> as it appears in the regulations is a conjunction and its function is to indicate an additional separate condition to be met for an outcome to be reached. He submit</w:t>
      </w:r>
      <w:r w:rsidR="00683744">
        <w:rPr>
          <w:rFonts w:ascii="Arial" w:hAnsi="Arial" w:cs="Arial"/>
          <w:sz w:val="24"/>
          <w:szCs w:val="24"/>
          <w:lang w:val="en-ZA"/>
        </w:rPr>
        <w:t>s</w:t>
      </w:r>
      <w:r w:rsidR="00211081">
        <w:rPr>
          <w:rFonts w:ascii="Arial" w:hAnsi="Arial" w:cs="Arial"/>
          <w:sz w:val="24"/>
          <w:szCs w:val="24"/>
          <w:lang w:val="en-ZA"/>
        </w:rPr>
        <w:t xml:space="preserve"> that no absurdity </w:t>
      </w:r>
      <w:r w:rsidR="00211081">
        <w:rPr>
          <w:rFonts w:ascii="Arial" w:hAnsi="Arial" w:cs="Arial"/>
          <w:sz w:val="24"/>
          <w:szCs w:val="24"/>
          <w:lang w:val="en-ZA"/>
        </w:rPr>
        <w:lastRenderedPageBreak/>
        <w:t xml:space="preserve">could arise from this interpretation because this interpretation does not render the purpose for the grant of the bonus leave nugatory.  </w:t>
      </w:r>
    </w:p>
    <w:p w:rsidR="00752FC8" w:rsidRDefault="00752FC8" w:rsidP="0045399D">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24</w:t>
      </w:r>
      <w:r>
        <w:rPr>
          <w:rFonts w:ascii="Arial" w:hAnsi="Arial" w:cs="Arial"/>
          <w:sz w:val="24"/>
          <w:szCs w:val="24"/>
          <w:lang w:val="en-ZA"/>
        </w:rPr>
        <w:t>]</w:t>
      </w:r>
      <w:r>
        <w:rPr>
          <w:rFonts w:ascii="Arial" w:hAnsi="Arial" w:cs="Arial"/>
          <w:sz w:val="24"/>
          <w:szCs w:val="24"/>
          <w:lang w:val="en-ZA"/>
        </w:rPr>
        <w:tab/>
        <w:t xml:space="preserve">Mr Chibwana, referring to the affidavit filed, argued that there was no dispute that the purpose of the bonus leave was to encourage members of the newly formed Windhoek City Police to serve and stay in the employment of the City Police. </w:t>
      </w:r>
    </w:p>
    <w:p w:rsidR="00211081" w:rsidRDefault="00211081" w:rsidP="0045399D">
      <w:pPr>
        <w:spacing w:after="0" w:line="360" w:lineRule="auto"/>
        <w:jc w:val="both"/>
        <w:rPr>
          <w:rFonts w:ascii="Arial" w:hAnsi="Arial" w:cs="Arial"/>
          <w:sz w:val="24"/>
          <w:szCs w:val="24"/>
          <w:lang w:val="en-ZA"/>
        </w:rPr>
      </w:pPr>
    </w:p>
    <w:p w:rsidR="00211081" w:rsidRDefault="00211081" w:rsidP="0045399D">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25</w:t>
      </w:r>
      <w:r w:rsidR="00384F89">
        <w:rPr>
          <w:rFonts w:ascii="Arial" w:hAnsi="Arial" w:cs="Arial"/>
          <w:sz w:val="24"/>
          <w:szCs w:val="24"/>
          <w:lang w:val="en-ZA"/>
        </w:rPr>
        <w:t>]</w:t>
      </w:r>
      <w:r w:rsidR="00384F89">
        <w:rPr>
          <w:rFonts w:ascii="Arial" w:hAnsi="Arial" w:cs="Arial"/>
          <w:sz w:val="24"/>
          <w:szCs w:val="24"/>
          <w:lang w:val="en-ZA"/>
        </w:rPr>
        <w:tab/>
        <w:t>Mr Chibwana raises an interesting question: ‘</w:t>
      </w:r>
      <w:r>
        <w:rPr>
          <w:rFonts w:ascii="Arial" w:hAnsi="Arial" w:cs="Arial"/>
          <w:sz w:val="24"/>
          <w:szCs w:val="24"/>
          <w:lang w:val="en-ZA"/>
        </w:rPr>
        <w:t>Wh</w:t>
      </w:r>
      <w:r w:rsidR="001F02E5">
        <w:rPr>
          <w:rFonts w:ascii="Arial" w:hAnsi="Arial" w:cs="Arial"/>
          <w:sz w:val="24"/>
          <w:szCs w:val="24"/>
          <w:lang w:val="en-ZA"/>
        </w:rPr>
        <w:t>at to make of Regulation 37(11)?</w:t>
      </w:r>
      <w:r w:rsidR="0092619F">
        <w:rPr>
          <w:rFonts w:ascii="Arial" w:hAnsi="Arial" w:cs="Arial"/>
          <w:sz w:val="24"/>
          <w:szCs w:val="24"/>
          <w:lang w:val="en-ZA"/>
        </w:rPr>
        <w:t>’</w:t>
      </w:r>
      <w:r>
        <w:rPr>
          <w:rFonts w:ascii="Arial" w:hAnsi="Arial" w:cs="Arial"/>
          <w:sz w:val="24"/>
          <w:szCs w:val="24"/>
          <w:lang w:val="en-ZA"/>
        </w:rPr>
        <w:t xml:space="preserve"> His view is that this regulation is a transitional provision</w:t>
      </w:r>
      <w:r w:rsidR="00A704F9">
        <w:rPr>
          <w:rFonts w:ascii="Arial" w:hAnsi="Arial" w:cs="Arial"/>
          <w:sz w:val="24"/>
          <w:szCs w:val="24"/>
          <w:lang w:val="en-ZA"/>
        </w:rPr>
        <w:t xml:space="preserve"> and its purpose was to grant bonus leave to </w:t>
      </w:r>
      <w:r w:rsidR="001F02E5">
        <w:rPr>
          <w:rFonts w:ascii="Arial" w:hAnsi="Arial" w:cs="Arial"/>
          <w:sz w:val="24"/>
          <w:szCs w:val="24"/>
          <w:lang w:val="en-ZA"/>
        </w:rPr>
        <w:t>those members</w:t>
      </w:r>
      <w:r w:rsidR="00A704F9">
        <w:rPr>
          <w:rFonts w:ascii="Arial" w:hAnsi="Arial" w:cs="Arial"/>
          <w:sz w:val="24"/>
          <w:szCs w:val="24"/>
          <w:lang w:val="en-ZA"/>
        </w:rPr>
        <w:t xml:space="preserve"> who, at the time regulation 34(1) was repealed, had not yet accrued five years of continuous service. </w:t>
      </w:r>
      <w:r w:rsidR="009A3D6A">
        <w:rPr>
          <w:rFonts w:ascii="Arial" w:hAnsi="Arial" w:cs="Arial"/>
          <w:sz w:val="24"/>
          <w:szCs w:val="24"/>
          <w:lang w:val="en-ZA"/>
        </w:rPr>
        <w:t>In this regard</w:t>
      </w:r>
      <w:r w:rsidR="00384F89">
        <w:rPr>
          <w:rFonts w:ascii="Arial" w:hAnsi="Arial" w:cs="Arial"/>
          <w:sz w:val="24"/>
          <w:szCs w:val="24"/>
          <w:lang w:val="en-ZA"/>
        </w:rPr>
        <w:t>,</w:t>
      </w:r>
      <w:r w:rsidR="009A3D6A">
        <w:rPr>
          <w:rFonts w:ascii="Arial" w:hAnsi="Arial" w:cs="Arial"/>
          <w:sz w:val="24"/>
          <w:szCs w:val="24"/>
          <w:lang w:val="en-ZA"/>
        </w:rPr>
        <w:t xml:space="preserve"> he refers the court to </w:t>
      </w:r>
      <w:r w:rsidR="00C84DB2" w:rsidRPr="00C84DB2">
        <w:rPr>
          <w:rFonts w:ascii="Arial" w:hAnsi="Arial" w:cs="Arial"/>
          <w:i/>
          <w:sz w:val="24"/>
          <w:szCs w:val="24"/>
          <w:lang w:val="en-ZA"/>
        </w:rPr>
        <w:t xml:space="preserve">Ohorongo Cement (Pty) Ltd </w:t>
      </w:r>
      <w:r w:rsidR="009A3D6A" w:rsidRPr="00C84DB2">
        <w:rPr>
          <w:rFonts w:ascii="Arial" w:hAnsi="Arial" w:cs="Arial"/>
          <w:i/>
          <w:sz w:val="24"/>
          <w:szCs w:val="24"/>
          <w:lang w:val="en-ZA"/>
        </w:rPr>
        <w:t xml:space="preserve">v </w:t>
      </w:r>
      <w:r w:rsidR="00C84DB2" w:rsidRPr="00C84DB2">
        <w:rPr>
          <w:rFonts w:ascii="Arial" w:hAnsi="Arial" w:cs="Arial"/>
          <w:i/>
          <w:sz w:val="24"/>
          <w:szCs w:val="24"/>
          <w:lang w:val="en-ZA"/>
        </w:rPr>
        <w:t>Jack's Trading</w:t>
      </w:r>
      <w:r w:rsidR="009A3D6A" w:rsidRPr="00C84DB2">
        <w:rPr>
          <w:rFonts w:ascii="Arial" w:hAnsi="Arial" w:cs="Arial"/>
          <w:i/>
          <w:sz w:val="24"/>
          <w:szCs w:val="24"/>
          <w:lang w:val="en-ZA"/>
        </w:rPr>
        <w:t xml:space="preserve"> CC </w:t>
      </w:r>
      <w:r w:rsidR="00C84DB2" w:rsidRPr="00C84DB2">
        <w:rPr>
          <w:rFonts w:ascii="Arial" w:hAnsi="Arial" w:cs="Arial"/>
          <w:i/>
          <w:sz w:val="24"/>
          <w:szCs w:val="24"/>
          <w:lang w:val="en-ZA"/>
        </w:rPr>
        <w:t>and Others and a Similar Matter</w:t>
      </w:r>
      <w:r w:rsidR="00C84DB2" w:rsidRPr="009A3D6A">
        <w:rPr>
          <w:rFonts w:ascii="Arial" w:hAnsi="Arial" w:cs="Arial"/>
          <w:sz w:val="24"/>
          <w:szCs w:val="24"/>
          <w:lang w:val="en-ZA"/>
        </w:rPr>
        <w:t xml:space="preserve"> </w:t>
      </w:r>
      <w:r w:rsidR="00C84DB2">
        <w:rPr>
          <w:rStyle w:val="FootnoteReference"/>
          <w:rFonts w:ascii="Arial" w:hAnsi="Arial" w:cs="Arial"/>
          <w:sz w:val="24"/>
          <w:szCs w:val="24"/>
          <w:lang w:val="en-ZA"/>
        </w:rPr>
        <w:footnoteReference w:id="6"/>
      </w:r>
      <w:r w:rsidR="00984697">
        <w:rPr>
          <w:rFonts w:ascii="Arial" w:hAnsi="Arial" w:cs="Arial"/>
          <w:sz w:val="24"/>
          <w:szCs w:val="24"/>
          <w:lang w:val="en-ZA"/>
        </w:rPr>
        <w:t xml:space="preserve"> </w:t>
      </w:r>
      <w:r w:rsidR="00C84DB2">
        <w:rPr>
          <w:rFonts w:ascii="Arial" w:hAnsi="Arial" w:cs="Arial"/>
          <w:sz w:val="24"/>
          <w:szCs w:val="24"/>
          <w:lang w:val="en-ZA"/>
        </w:rPr>
        <w:t xml:space="preserve">which sets out the approach to be adopted by the court when interpreting various provisions of a statute. </w:t>
      </w:r>
    </w:p>
    <w:p w:rsidR="00C84DB2" w:rsidRDefault="00C84DB2" w:rsidP="0045399D">
      <w:pPr>
        <w:spacing w:after="0" w:line="360" w:lineRule="auto"/>
        <w:jc w:val="both"/>
        <w:rPr>
          <w:rFonts w:ascii="Arial" w:hAnsi="Arial" w:cs="Arial"/>
          <w:sz w:val="24"/>
          <w:szCs w:val="24"/>
          <w:lang w:val="en-ZA"/>
        </w:rPr>
      </w:pPr>
    </w:p>
    <w:p w:rsidR="00C84DB2" w:rsidRDefault="00C84DB2" w:rsidP="0045399D">
      <w:pPr>
        <w:spacing w:after="0" w:line="360" w:lineRule="auto"/>
        <w:jc w:val="both"/>
        <w:rPr>
          <w:rFonts w:ascii="Arial" w:hAnsi="Arial" w:cs="Arial"/>
          <w:sz w:val="24"/>
          <w:szCs w:val="24"/>
          <w:lang w:val="en-ZA"/>
        </w:rPr>
      </w:pPr>
      <w:r>
        <w:rPr>
          <w:rFonts w:ascii="Arial" w:hAnsi="Arial" w:cs="Arial"/>
          <w:sz w:val="24"/>
          <w:szCs w:val="24"/>
          <w:lang w:val="en-ZA"/>
        </w:rPr>
        <w:t>[</w:t>
      </w:r>
      <w:r w:rsidR="00F021DD">
        <w:rPr>
          <w:rFonts w:ascii="Arial" w:hAnsi="Arial" w:cs="Arial"/>
          <w:sz w:val="24"/>
          <w:szCs w:val="24"/>
          <w:lang w:val="en-ZA"/>
        </w:rPr>
        <w:t>26</w:t>
      </w:r>
      <w:r>
        <w:rPr>
          <w:rFonts w:ascii="Arial" w:hAnsi="Arial" w:cs="Arial"/>
          <w:sz w:val="24"/>
          <w:szCs w:val="24"/>
          <w:lang w:val="en-ZA"/>
        </w:rPr>
        <w:t>]</w:t>
      </w:r>
      <w:r>
        <w:rPr>
          <w:rFonts w:ascii="Arial" w:hAnsi="Arial" w:cs="Arial"/>
          <w:sz w:val="24"/>
          <w:szCs w:val="24"/>
          <w:lang w:val="en-ZA"/>
        </w:rPr>
        <w:tab/>
        <w:t>Mr Chibwana submits that the interpretation advanced by the applicants renders regulation 37(11) unnecessary and therefore non-</w:t>
      </w:r>
      <w:r w:rsidR="001125B7">
        <w:rPr>
          <w:rFonts w:ascii="Arial" w:hAnsi="Arial" w:cs="Arial"/>
          <w:sz w:val="24"/>
          <w:szCs w:val="24"/>
          <w:lang w:val="en-ZA"/>
        </w:rPr>
        <w:t>operational</w:t>
      </w:r>
      <w:r>
        <w:rPr>
          <w:rFonts w:ascii="Arial" w:hAnsi="Arial" w:cs="Arial"/>
          <w:sz w:val="24"/>
          <w:szCs w:val="24"/>
          <w:lang w:val="en-ZA"/>
        </w:rPr>
        <w:t xml:space="preserve">. He proposed an interpretation which would not render another provision ineffectual. His argument is that regulation 37(11) addresses </w:t>
      </w:r>
      <w:r w:rsidR="001125B7">
        <w:rPr>
          <w:rFonts w:ascii="Arial" w:hAnsi="Arial" w:cs="Arial"/>
          <w:sz w:val="24"/>
          <w:szCs w:val="24"/>
          <w:lang w:val="en-ZA"/>
        </w:rPr>
        <w:t>the manner in which the first respondent must consider the grant of bonus leave to persons who joined the employment of first respondent after the enactment of regulation 34(1) and before its repeal</w:t>
      </w:r>
      <w:r w:rsidR="0092619F">
        <w:rPr>
          <w:rFonts w:ascii="Arial" w:hAnsi="Arial" w:cs="Arial"/>
          <w:sz w:val="24"/>
          <w:szCs w:val="24"/>
          <w:lang w:val="en-ZA"/>
        </w:rPr>
        <w:t>. He submit that</w:t>
      </w:r>
      <w:r w:rsidR="001125B7">
        <w:rPr>
          <w:rFonts w:ascii="Arial" w:hAnsi="Arial" w:cs="Arial"/>
          <w:sz w:val="24"/>
          <w:szCs w:val="24"/>
          <w:lang w:val="en-ZA"/>
        </w:rPr>
        <w:t xml:space="preserve"> it did not address members </w:t>
      </w:r>
      <w:r w:rsidR="002E6866">
        <w:rPr>
          <w:rFonts w:ascii="Arial" w:hAnsi="Arial" w:cs="Arial"/>
          <w:sz w:val="24"/>
          <w:szCs w:val="24"/>
          <w:lang w:val="en-ZA"/>
        </w:rPr>
        <w:t>who joined</w:t>
      </w:r>
      <w:r w:rsidR="001125B7">
        <w:rPr>
          <w:rFonts w:ascii="Arial" w:hAnsi="Arial" w:cs="Arial"/>
          <w:sz w:val="24"/>
          <w:szCs w:val="24"/>
          <w:lang w:val="en-ZA"/>
        </w:rPr>
        <w:t xml:space="preserve"> the Municipal Police Service afte</w:t>
      </w:r>
      <w:r w:rsidR="0092619F">
        <w:rPr>
          <w:rFonts w:ascii="Arial" w:hAnsi="Arial" w:cs="Arial"/>
          <w:sz w:val="24"/>
          <w:szCs w:val="24"/>
          <w:lang w:val="en-ZA"/>
        </w:rPr>
        <w:t>r the enactment of regulation 37</w:t>
      </w:r>
      <w:r w:rsidR="001125B7">
        <w:rPr>
          <w:rFonts w:ascii="Arial" w:hAnsi="Arial" w:cs="Arial"/>
          <w:sz w:val="24"/>
          <w:szCs w:val="24"/>
          <w:lang w:val="en-ZA"/>
        </w:rPr>
        <w:t>(1)</w:t>
      </w:r>
      <w:r w:rsidR="0092619F">
        <w:rPr>
          <w:rFonts w:ascii="Arial" w:hAnsi="Arial" w:cs="Arial"/>
          <w:sz w:val="24"/>
          <w:szCs w:val="24"/>
          <w:lang w:val="en-ZA"/>
        </w:rPr>
        <w:t>.</w:t>
      </w:r>
      <w:r w:rsidR="001125B7">
        <w:rPr>
          <w:rFonts w:ascii="Arial" w:hAnsi="Arial" w:cs="Arial"/>
          <w:sz w:val="24"/>
          <w:szCs w:val="24"/>
          <w:lang w:val="en-ZA"/>
        </w:rPr>
        <w:t xml:space="preserve"> </w:t>
      </w:r>
    </w:p>
    <w:p w:rsidR="008225EE" w:rsidRPr="0045399D" w:rsidRDefault="008225EE" w:rsidP="00DB13A2">
      <w:pPr>
        <w:spacing w:after="0" w:line="360" w:lineRule="auto"/>
        <w:jc w:val="both"/>
        <w:rPr>
          <w:rFonts w:ascii="Arial" w:hAnsi="Arial" w:cs="Arial"/>
          <w:sz w:val="24"/>
          <w:szCs w:val="24"/>
          <w:lang w:val="en-ZA"/>
        </w:rPr>
      </w:pPr>
    </w:p>
    <w:p w:rsidR="00E731A2" w:rsidRPr="00E06DDD" w:rsidRDefault="008225EE" w:rsidP="00F41734">
      <w:pPr>
        <w:spacing w:after="0" w:line="360" w:lineRule="auto"/>
        <w:jc w:val="both"/>
        <w:rPr>
          <w:rFonts w:ascii="Arial" w:hAnsi="Arial" w:cs="Arial"/>
          <w:sz w:val="24"/>
          <w:szCs w:val="24"/>
          <w:u w:val="single"/>
        </w:rPr>
      </w:pPr>
      <w:r w:rsidRPr="00E06DDD">
        <w:rPr>
          <w:rFonts w:ascii="Arial" w:hAnsi="Arial" w:cs="Arial"/>
          <w:sz w:val="24"/>
          <w:szCs w:val="24"/>
          <w:u w:val="single"/>
        </w:rPr>
        <w:t>The law</w:t>
      </w:r>
      <w:r w:rsidR="00292A50" w:rsidRPr="00E06DDD">
        <w:rPr>
          <w:rFonts w:ascii="Arial" w:hAnsi="Arial" w:cs="Arial"/>
          <w:sz w:val="24"/>
          <w:szCs w:val="24"/>
          <w:u w:val="single"/>
        </w:rPr>
        <w:t xml:space="preserve"> </w:t>
      </w:r>
    </w:p>
    <w:p w:rsidR="00F021DD" w:rsidRDefault="00F021DD" w:rsidP="00F41734">
      <w:pPr>
        <w:spacing w:after="0" w:line="360" w:lineRule="auto"/>
        <w:jc w:val="both"/>
        <w:rPr>
          <w:rFonts w:ascii="Arial" w:hAnsi="Arial" w:cs="Arial"/>
          <w:sz w:val="24"/>
          <w:szCs w:val="24"/>
        </w:rPr>
      </w:pPr>
    </w:p>
    <w:p w:rsidR="00984697" w:rsidRDefault="008225EE" w:rsidP="00F41734">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27</w:t>
      </w:r>
      <w:r>
        <w:rPr>
          <w:rFonts w:ascii="Arial" w:hAnsi="Arial" w:cs="Arial"/>
          <w:sz w:val="24"/>
          <w:szCs w:val="24"/>
        </w:rPr>
        <w:t>]</w:t>
      </w:r>
      <w:r>
        <w:rPr>
          <w:rFonts w:ascii="Arial" w:hAnsi="Arial" w:cs="Arial"/>
          <w:sz w:val="24"/>
          <w:szCs w:val="24"/>
        </w:rPr>
        <w:tab/>
        <w:t xml:space="preserve">Both parties are </w:t>
      </w:r>
      <w:r w:rsidRPr="001F02E5">
        <w:rPr>
          <w:rFonts w:ascii="Arial" w:hAnsi="Arial" w:cs="Arial"/>
          <w:i/>
          <w:sz w:val="24"/>
          <w:szCs w:val="24"/>
        </w:rPr>
        <w:t>ad idem</w:t>
      </w:r>
      <w:r>
        <w:rPr>
          <w:rFonts w:ascii="Arial" w:hAnsi="Arial" w:cs="Arial"/>
          <w:sz w:val="24"/>
          <w:szCs w:val="24"/>
        </w:rPr>
        <w:t xml:space="preserve"> when it comes to the law applicable to the interpretation of statutes. It has recently in </w:t>
      </w:r>
      <w:r w:rsidRPr="008225EE">
        <w:rPr>
          <w:rFonts w:ascii="Arial" w:hAnsi="Arial" w:cs="Arial"/>
          <w:i/>
          <w:sz w:val="24"/>
          <w:szCs w:val="24"/>
        </w:rPr>
        <w:t>Shoprite Namibia (Pty) Ltd v Namibia Foo</w:t>
      </w:r>
      <w:r w:rsidR="006E3F39">
        <w:rPr>
          <w:rFonts w:ascii="Arial" w:hAnsi="Arial" w:cs="Arial"/>
          <w:i/>
          <w:sz w:val="24"/>
          <w:szCs w:val="24"/>
        </w:rPr>
        <w:t>d and Allied Workers Union and a</w:t>
      </w:r>
      <w:r w:rsidRPr="008225EE">
        <w:rPr>
          <w:rFonts w:ascii="Arial" w:hAnsi="Arial" w:cs="Arial"/>
          <w:i/>
          <w:sz w:val="24"/>
          <w:szCs w:val="24"/>
        </w:rPr>
        <w:t>nother</w:t>
      </w:r>
      <w:r w:rsidR="00384F89">
        <w:rPr>
          <w:rStyle w:val="FootnoteReference"/>
          <w:rFonts w:ascii="Arial" w:hAnsi="Arial" w:cs="Arial"/>
          <w:i/>
          <w:sz w:val="24"/>
          <w:szCs w:val="24"/>
        </w:rPr>
        <w:footnoteReference w:id="7"/>
      </w:r>
      <w:r>
        <w:rPr>
          <w:rFonts w:ascii="Arial" w:hAnsi="Arial" w:cs="Arial"/>
          <w:sz w:val="24"/>
          <w:szCs w:val="24"/>
        </w:rPr>
        <w:t xml:space="preserve"> captured the case law as it applies to the interpretation of statutory provisions as follow:</w:t>
      </w:r>
    </w:p>
    <w:p w:rsidR="0096064E" w:rsidRPr="00E731A2" w:rsidRDefault="0096064E" w:rsidP="00F41734">
      <w:pPr>
        <w:spacing w:after="0" w:line="360" w:lineRule="auto"/>
        <w:jc w:val="both"/>
        <w:rPr>
          <w:rFonts w:ascii="Arial" w:hAnsi="Arial" w:cs="Arial"/>
          <w:sz w:val="24"/>
          <w:szCs w:val="24"/>
        </w:rPr>
      </w:pPr>
    </w:p>
    <w:p w:rsidR="008225EE" w:rsidRPr="00E06DDD" w:rsidRDefault="008225EE" w:rsidP="008225EE">
      <w:pPr>
        <w:spacing w:after="0" w:line="360" w:lineRule="auto"/>
        <w:ind w:firstLine="720"/>
        <w:jc w:val="both"/>
        <w:rPr>
          <w:rFonts w:ascii="Arial" w:hAnsi="Arial" w:cs="Arial"/>
        </w:rPr>
      </w:pPr>
      <w:r w:rsidRPr="00E06DDD">
        <w:rPr>
          <w:rFonts w:ascii="Arial" w:hAnsi="Arial" w:cs="Arial"/>
        </w:rPr>
        <w:t xml:space="preserve">‘[37] This court in </w:t>
      </w:r>
      <w:r w:rsidRPr="00E06DDD">
        <w:rPr>
          <w:rFonts w:ascii="Arial" w:hAnsi="Arial" w:cs="Arial"/>
          <w:i/>
        </w:rPr>
        <w:t>Total Namibia (Pty) Ltd v OBM Engineering and Petroleum Distributors CC</w:t>
      </w:r>
      <w:r w:rsidRPr="00E06DDD">
        <w:rPr>
          <w:rFonts w:ascii="Arial" w:hAnsi="Arial" w:cs="Arial"/>
        </w:rPr>
        <w:t xml:space="preserve">  recently adopted the lucid articulation of the approach to be followed in the construction of text by Wallis JA in </w:t>
      </w:r>
      <w:r w:rsidRPr="00E06DDD">
        <w:rPr>
          <w:rFonts w:ascii="Arial" w:hAnsi="Arial" w:cs="Arial"/>
          <w:i/>
        </w:rPr>
        <w:t>South Africa in Natal Joint Municipal Pension Fund v Endumeni Municipality</w:t>
      </w:r>
      <w:r w:rsidRPr="00E06DDD">
        <w:rPr>
          <w:rFonts w:ascii="Arial" w:hAnsi="Arial" w:cs="Arial"/>
        </w:rPr>
        <w:t xml:space="preserve">:  </w:t>
      </w:r>
    </w:p>
    <w:p w:rsidR="008225EE" w:rsidRDefault="008225EE" w:rsidP="008225EE">
      <w:pPr>
        <w:spacing w:after="0" w:line="360" w:lineRule="auto"/>
        <w:jc w:val="both"/>
        <w:rPr>
          <w:rFonts w:ascii="Arial" w:hAnsi="Arial" w:cs="Arial"/>
        </w:rPr>
      </w:pPr>
      <w:r w:rsidRPr="00E06DDD">
        <w:rPr>
          <w:rFonts w:ascii="Arial" w:hAnsi="Arial" w:cs="Arial"/>
        </w:rPr>
        <w:tab/>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w:t>
      </w:r>
      <w:r w:rsidR="001F02E5">
        <w:rPr>
          <w:rFonts w:ascii="Arial" w:hAnsi="Arial" w:cs="Arial"/>
        </w:rPr>
        <w:t xml:space="preserve"> in</w:t>
      </w:r>
      <w:r w:rsidRPr="00E06DDD">
        <w:rPr>
          <w:rFonts w:ascii="Arial" w:hAnsi="Arial" w:cs="Arial"/>
        </w:rPr>
        <w:t xml:space="preserve"> light of the ordinary rules of grammar and syntax; the context in which the provision appears; the apparent purpose to which it is directed; and the material known to those responsible for its production. Where more than one meaning is possible, each pos</w:t>
      </w:r>
      <w:r w:rsidR="001F02E5">
        <w:rPr>
          <w:rFonts w:ascii="Arial" w:hAnsi="Arial" w:cs="Arial"/>
        </w:rPr>
        <w:t xml:space="preserve">sibility must be weighed in </w:t>
      </w:r>
      <w:r w:rsidRPr="00E06DDD">
        <w:rPr>
          <w:rFonts w:ascii="Arial" w:hAnsi="Arial" w:cs="Arial"/>
        </w:rPr>
        <w:t>light of all these factors. The process is objective, not subjective. A sensible meaning is to be preferred to one</w:t>
      </w:r>
      <w:r w:rsidR="00E06DDD" w:rsidRPr="00E06DDD">
        <w:rPr>
          <w:rFonts w:ascii="Arial" w:hAnsi="Arial" w:cs="Arial"/>
        </w:rPr>
        <w:t xml:space="preserve"> </w:t>
      </w:r>
      <w:r w:rsidRPr="00E06DDD">
        <w:rPr>
          <w:rFonts w:ascii="Arial" w:hAnsi="Arial" w:cs="Arial"/>
        </w:rPr>
        <w:t>that leads to insensible or unbusinesslike results or undermines the apparent purpose of the document. Judges must be alert to, and guard against, the temptation to substitute what they regard as reasonable, sensible or businesslike for the words actually used.'</w:t>
      </w:r>
    </w:p>
    <w:p w:rsidR="00984697" w:rsidRPr="00E06DDD" w:rsidRDefault="00984697" w:rsidP="008225EE">
      <w:pPr>
        <w:spacing w:after="0" w:line="360" w:lineRule="auto"/>
        <w:jc w:val="both"/>
        <w:rPr>
          <w:rFonts w:ascii="Arial" w:hAnsi="Arial" w:cs="Arial"/>
        </w:rPr>
      </w:pPr>
    </w:p>
    <w:p w:rsidR="008225EE" w:rsidRDefault="00C27FEA" w:rsidP="001F02E5">
      <w:pPr>
        <w:spacing w:after="0" w:line="360" w:lineRule="auto"/>
        <w:ind w:firstLine="720"/>
        <w:jc w:val="both"/>
        <w:rPr>
          <w:rFonts w:ascii="Arial" w:hAnsi="Arial" w:cs="Arial"/>
        </w:rPr>
      </w:pPr>
      <w:r>
        <w:rPr>
          <w:rFonts w:ascii="Arial" w:hAnsi="Arial" w:cs="Arial"/>
        </w:rPr>
        <w:t xml:space="preserve">[38] </w:t>
      </w:r>
      <w:r w:rsidR="008225EE" w:rsidRPr="00E06DDD">
        <w:rPr>
          <w:rFonts w:ascii="Arial" w:hAnsi="Arial" w:cs="Arial"/>
        </w:rPr>
        <w:t>In Total Namibia, this court also referred to the approach in England and concluded:</w:t>
      </w:r>
    </w:p>
    <w:p w:rsidR="00984697" w:rsidRPr="00E06DDD" w:rsidRDefault="00984697" w:rsidP="008225EE">
      <w:pPr>
        <w:spacing w:after="0" w:line="360" w:lineRule="auto"/>
        <w:jc w:val="both"/>
        <w:rPr>
          <w:rFonts w:ascii="Arial" w:hAnsi="Arial" w:cs="Arial"/>
        </w:rPr>
      </w:pPr>
    </w:p>
    <w:p w:rsidR="008225EE" w:rsidRDefault="008225EE" w:rsidP="008225EE">
      <w:pPr>
        <w:spacing w:after="0" w:line="360" w:lineRule="auto"/>
        <w:jc w:val="both"/>
        <w:rPr>
          <w:rFonts w:ascii="Arial" w:hAnsi="Arial" w:cs="Arial"/>
        </w:rPr>
      </w:pPr>
      <w:r w:rsidRPr="00E06DDD">
        <w:rPr>
          <w:rFonts w:ascii="Arial" w:hAnsi="Arial" w:cs="Arial"/>
        </w:rPr>
        <w:tab/>
        <w:t>'What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w:t>
      </w:r>
    </w:p>
    <w:p w:rsidR="00984697" w:rsidRPr="00E06DDD" w:rsidRDefault="00984697" w:rsidP="008225EE">
      <w:pPr>
        <w:spacing w:after="0" w:line="360" w:lineRule="auto"/>
        <w:jc w:val="both"/>
        <w:rPr>
          <w:rFonts w:ascii="Arial" w:hAnsi="Arial" w:cs="Arial"/>
        </w:rPr>
      </w:pPr>
    </w:p>
    <w:p w:rsidR="008225EE" w:rsidRDefault="001F02E5" w:rsidP="008225EE">
      <w:pPr>
        <w:spacing w:after="0" w:line="360" w:lineRule="auto"/>
        <w:jc w:val="both"/>
        <w:rPr>
          <w:rFonts w:ascii="Arial" w:hAnsi="Arial" w:cs="Arial"/>
        </w:rPr>
      </w:pPr>
      <w:r>
        <w:rPr>
          <w:rFonts w:ascii="Arial" w:hAnsi="Arial" w:cs="Arial"/>
        </w:rPr>
        <w:t xml:space="preserve"> </w:t>
      </w:r>
      <w:r>
        <w:rPr>
          <w:rFonts w:ascii="Arial" w:hAnsi="Arial" w:cs="Arial"/>
        </w:rPr>
        <w:tab/>
      </w:r>
      <w:r w:rsidR="00C27FEA">
        <w:rPr>
          <w:rFonts w:ascii="Arial" w:hAnsi="Arial" w:cs="Arial"/>
        </w:rPr>
        <w:t xml:space="preserve">[39] </w:t>
      </w:r>
      <w:r w:rsidR="008225EE" w:rsidRPr="00E06DDD">
        <w:rPr>
          <w:rFonts w:ascii="Arial" w:hAnsi="Arial" w:cs="Arial"/>
        </w:rPr>
        <w:t>As this court said in Namibian Association of Medical Aid Funds:</w:t>
      </w:r>
    </w:p>
    <w:p w:rsidR="00984697" w:rsidRPr="00E06DDD" w:rsidRDefault="00984697" w:rsidP="008225EE">
      <w:pPr>
        <w:spacing w:after="0" w:line="360" w:lineRule="auto"/>
        <w:jc w:val="both"/>
        <w:rPr>
          <w:rFonts w:ascii="Arial" w:hAnsi="Arial" w:cs="Arial"/>
        </w:rPr>
      </w:pPr>
    </w:p>
    <w:p w:rsidR="003D3EAA" w:rsidRDefault="008225EE" w:rsidP="008225EE">
      <w:pPr>
        <w:spacing w:after="0" w:line="360" w:lineRule="auto"/>
        <w:jc w:val="both"/>
        <w:rPr>
          <w:rFonts w:ascii="Arial" w:hAnsi="Arial" w:cs="Arial"/>
        </w:rPr>
      </w:pPr>
      <w:r w:rsidRPr="00E06DDD">
        <w:rPr>
          <w:rFonts w:ascii="Arial" w:hAnsi="Arial" w:cs="Arial"/>
        </w:rPr>
        <w:tab/>
        <w:t xml:space="preserve">'To paraphrase what was stated by this court in </w:t>
      </w:r>
      <w:r w:rsidRPr="00E06DDD">
        <w:rPr>
          <w:rFonts w:ascii="Arial" w:hAnsi="Arial" w:cs="Arial"/>
          <w:i/>
        </w:rPr>
        <w:t>Total</w:t>
      </w:r>
      <w:r w:rsidRPr="00E06DDD">
        <w:rPr>
          <w:rFonts w:ascii="Arial" w:hAnsi="Arial" w:cs="Arial"/>
        </w:rPr>
        <w:t xml:space="preserve">, the approach to interpretation would entail assessing the meaning of the words used within their statutory context, as well against the broader purpose of the Act.' </w:t>
      </w:r>
    </w:p>
    <w:p w:rsidR="001F02E5" w:rsidRPr="00E06DDD" w:rsidRDefault="001F02E5" w:rsidP="008225EE">
      <w:pPr>
        <w:spacing w:after="0" w:line="360" w:lineRule="auto"/>
        <w:jc w:val="both"/>
        <w:rPr>
          <w:rFonts w:ascii="Arial" w:hAnsi="Arial" w:cs="Arial"/>
        </w:rPr>
      </w:pPr>
    </w:p>
    <w:p w:rsidR="008225EE" w:rsidRPr="00E06DDD" w:rsidRDefault="00C27FEA" w:rsidP="001F02E5">
      <w:pPr>
        <w:spacing w:after="0" w:line="360" w:lineRule="auto"/>
        <w:ind w:firstLine="720"/>
        <w:jc w:val="both"/>
        <w:rPr>
          <w:rFonts w:ascii="Arial" w:hAnsi="Arial" w:cs="Arial"/>
        </w:rPr>
      </w:pPr>
      <w:r>
        <w:rPr>
          <w:rFonts w:ascii="Arial" w:hAnsi="Arial" w:cs="Arial"/>
        </w:rPr>
        <w:lastRenderedPageBreak/>
        <w:t xml:space="preserve">[40] </w:t>
      </w:r>
      <w:r w:rsidR="008225EE" w:rsidRPr="00E06DDD">
        <w:rPr>
          <w:rFonts w:ascii="Arial" w:hAnsi="Arial" w:cs="Arial"/>
        </w:rPr>
        <w:t xml:space="preserve">This process has aptly been described as 'essentially one unitary exercise' in which text and context are relevant to construing provisions.  </w:t>
      </w:r>
    </w:p>
    <w:p w:rsidR="008225EE" w:rsidRDefault="008225EE" w:rsidP="001F02E5">
      <w:pPr>
        <w:spacing w:after="0" w:line="360" w:lineRule="auto"/>
        <w:ind w:firstLine="720"/>
        <w:jc w:val="both"/>
        <w:rPr>
          <w:rFonts w:ascii="Arial" w:hAnsi="Arial" w:cs="Arial"/>
        </w:rPr>
      </w:pPr>
      <w:r w:rsidRPr="00E06DDD">
        <w:rPr>
          <w:rFonts w:ascii="Arial" w:hAnsi="Arial" w:cs="Arial"/>
        </w:rPr>
        <w:t xml:space="preserve">[41] This court has also stressed the importance of the Constitution in interpreting statutory provisions:  </w:t>
      </w:r>
    </w:p>
    <w:p w:rsidR="00984697" w:rsidRPr="00E06DDD" w:rsidRDefault="00984697" w:rsidP="008225EE">
      <w:pPr>
        <w:spacing w:after="0" w:line="360" w:lineRule="auto"/>
        <w:jc w:val="both"/>
        <w:rPr>
          <w:rFonts w:ascii="Arial" w:hAnsi="Arial" w:cs="Arial"/>
        </w:rPr>
      </w:pPr>
    </w:p>
    <w:p w:rsidR="009D5CAE" w:rsidRPr="003D3EAA" w:rsidRDefault="008225EE" w:rsidP="008225EE">
      <w:pPr>
        <w:spacing w:after="0" w:line="360" w:lineRule="auto"/>
        <w:jc w:val="both"/>
        <w:rPr>
          <w:rFonts w:ascii="Arial" w:hAnsi="Arial" w:cs="Arial"/>
        </w:rPr>
      </w:pPr>
      <w:r w:rsidRPr="00E06DDD">
        <w:rPr>
          <w:rFonts w:ascii="Arial" w:hAnsi="Arial" w:cs="Arial"/>
        </w:rPr>
        <w:tab/>
      </w:r>
      <w:r w:rsidRPr="003D3EAA">
        <w:rPr>
          <w:rFonts w:ascii="Arial" w:hAnsi="Arial" w:cs="Arial"/>
        </w:rPr>
        <w:t>'The Constitution and the values enshrined in it form the starting point in interpreting statutory provisions. An interpretation consistent with advancing and giving effect to the values enshrined in the Constitution is to be preferred where a statute is reasonably capable of such interpretation.'</w:t>
      </w:r>
      <w:r w:rsidR="009D5CAE" w:rsidRPr="003D3EAA">
        <w:rPr>
          <w:rFonts w:ascii="Arial" w:hAnsi="Arial" w:cs="Arial"/>
        </w:rPr>
        <w:tab/>
      </w:r>
    </w:p>
    <w:p w:rsidR="00E06DDD" w:rsidRDefault="00E06DDD" w:rsidP="008225EE">
      <w:pPr>
        <w:spacing w:after="0" w:line="360" w:lineRule="auto"/>
        <w:jc w:val="both"/>
        <w:rPr>
          <w:rFonts w:ascii="Arial" w:hAnsi="Arial" w:cs="Arial"/>
          <w:sz w:val="24"/>
          <w:szCs w:val="24"/>
        </w:rPr>
      </w:pPr>
    </w:p>
    <w:p w:rsidR="00910615" w:rsidRDefault="00E06DDD" w:rsidP="008225EE">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28</w:t>
      </w:r>
      <w:r>
        <w:rPr>
          <w:rFonts w:ascii="Arial" w:hAnsi="Arial" w:cs="Arial"/>
          <w:sz w:val="24"/>
          <w:szCs w:val="24"/>
        </w:rPr>
        <w:t>]</w:t>
      </w:r>
      <w:r>
        <w:rPr>
          <w:rFonts w:ascii="Arial" w:hAnsi="Arial" w:cs="Arial"/>
          <w:sz w:val="24"/>
          <w:szCs w:val="24"/>
        </w:rPr>
        <w:tab/>
      </w:r>
      <w:r w:rsidR="005527F6">
        <w:rPr>
          <w:rFonts w:ascii="Arial" w:hAnsi="Arial" w:cs="Arial"/>
          <w:sz w:val="24"/>
          <w:szCs w:val="24"/>
        </w:rPr>
        <w:t xml:space="preserve">It is important to consider the origin of the provision </w:t>
      </w:r>
      <w:r w:rsidR="001F02E5">
        <w:rPr>
          <w:rFonts w:ascii="Arial" w:hAnsi="Arial" w:cs="Arial"/>
          <w:sz w:val="24"/>
          <w:szCs w:val="24"/>
        </w:rPr>
        <w:t>i.e.</w:t>
      </w:r>
      <w:r w:rsidR="005527F6">
        <w:rPr>
          <w:rFonts w:ascii="Arial" w:hAnsi="Arial" w:cs="Arial"/>
          <w:sz w:val="24"/>
          <w:szCs w:val="24"/>
        </w:rPr>
        <w:t xml:space="preserve"> the old provision (R</w:t>
      </w:r>
      <w:r w:rsidR="00F6693B">
        <w:rPr>
          <w:rFonts w:ascii="Arial" w:hAnsi="Arial" w:cs="Arial"/>
          <w:sz w:val="24"/>
          <w:szCs w:val="24"/>
        </w:rPr>
        <w:t xml:space="preserve">egulation 34). It is the origin of the benefit and it is befitting that the court takes cognisance </w:t>
      </w:r>
      <w:r w:rsidR="0092619F">
        <w:rPr>
          <w:rFonts w:ascii="Arial" w:hAnsi="Arial" w:cs="Arial"/>
          <w:sz w:val="24"/>
          <w:szCs w:val="24"/>
        </w:rPr>
        <w:t xml:space="preserve">thereof </w:t>
      </w:r>
      <w:r w:rsidR="00F6693B">
        <w:rPr>
          <w:rFonts w:ascii="Arial" w:hAnsi="Arial" w:cs="Arial"/>
          <w:sz w:val="24"/>
          <w:szCs w:val="24"/>
        </w:rPr>
        <w:t>and as a starting point the court must have regard to the clear wording of the provision.</w:t>
      </w:r>
    </w:p>
    <w:p w:rsidR="00910615" w:rsidRDefault="00910615" w:rsidP="008225EE">
      <w:pPr>
        <w:spacing w:after="0" w:line="360" w:lineRule="auto"/>
        <w:jc w:val="both"/>
        <w:rPr>
          <w:rFonts w:ascii="Arial" w:hAnsi="Arial" w:cs="Arial"/>
          <w:sz w:val="24"/>
          <w:szCs w:val="24"/>
        </w:rPr>
      </w:pPr>
    </w:p>
    <w:p w:rsidR="00362CE1" w:rsidRPr="00362CE1" w:rsidRDefault="00362CE1" w:rsidP="008225EE">
      <w:pPr>
        <w:spacing w:after="0" w:line="360" w:lineRule="auto"/>
        <w:jc w:val="both"/>
        <w:rPr>
          <w:rFonts w:ascii="Arial" w:hAnsi="Arial" w:cs="Arial"/>
          <w:i/>
          <w:sz w:val="24"/>
          <w:szCs w:val="24"/>
        </w:rPr>
      </w:pPr>
      <w:r w:rsidRPr="00362CE1">
        <w:rPr>
          <w:rFonts w:ascii="Arial" w:hAnsi="Arial" w:cs="Arial"/>
          <w:i/>
          <w:sz w:val="24"/>
          <w:szCs w:val="24"/>
        </w:rPr>
        <w:t>Repealed Regulation 34(1)</w:t>
      </w:r>
    </w:p>
    <w:p w:rsidR="00F021DD" w:rsidRDefault="00F021DD" w:rsidP="00910615">
      <w:pPr>
        <w:spacing w:after="0" w:line="360" w:lineRule="auto"/>
        <w:jc w:val="both"/>
        <w:rPr>
          <w:rFonts w:ascii="Arial" w:hAnsi="Arial" w:cs="Arial"/>
          <w:sz w:val="24"/>
          <w:szCs w:val="24"/>
        </w:rPr>
      </w:pPr>
    </w:p>
    <w:p w:rsidR="00910615" w:rsidRDefault="00910615" w:rsidP="00910615">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29</w:t>
      </w:r>
      <w:r>
        <w:rPr>
          <w:rFonts w:ascii="Arial" w:hAnsi="Arial" w:cs="Arial"/>
          <w:sz w:val="24"/>
          <w:szCs w:val="24"/>
        </w:rPr>
        <w:t>]</w:t>
      </w:r>
      <w:r>
        <w:rPr>
          <w:rFonts w:ascii="Arial" w:hAnsi="Arial" w:cs="Arial"/>
          <w:sz w:val="24"/>
          <w:szCs w:val="24"/>
        </w:rPr>
        <w:tab/>
        <w:t>The repealed regulation 34(1) reads as follow:</w:t>
      </w:r>
    </w:p>
    <w:p w:rsidR="001F02E5" w:rsidRDefault="001F02E5" w:rsidP="00910615">
      <w:pPr>
        <w:spacing w:after="0" w:line="360" w:lineRule="auto"/>
        <w:jc w:val="both"/>
        <w:rPr>
          <w:rFonts w:ascii="Arial" w:hAnsi="Arial" w:cs="Arial"/>
          <w:sz w:val="24"/>
          <w:szCs w:val="24"/>
        </w:rPr>
      </w:pPr>
    </w:p>
    <w:p w:rsidR="00910615" w:rsidRDefault="00910615" w:rsidP="00910615">
      <w:pPr>
        <w:spacing w:after="0" w:line="360" w:lineRule="auto"/>
        <w:jc w:val="both"/>
        <w:rPr>
          <w:rFonts w:ascii="Arial" w:hAnsi="Arial" w:cs="Arial"/>
          <w:sz w:val="24"/>
          <w:szCs w:val="24"/>
          <w:lang w:val="en-ZA"/>
        </w:rPr>
      </w:pPr>
      <w:r>
        <w:rPr>
          <w:rFonts w:ascii="Arial" w:hAnsi="Arial" w:cs="Arial"/>
          <w:sz w:val="24"/>
          <w:szCs w:val="24"/>
        </w:rPr>
        <w:tab/>
      </w:r>
      <w:r w:rsidRPr="00B5381E">
        <w:rPr>
          <w:rFonts w:ascii="Arial" w:hAnsi="Arial" w:cs="Arial"/>
          <w:lang w:val="en-ZA"/>
        </w:rPr>
        <w:t xml:space="preserve">‘The Council must grant to a member who is in the service of the Council at the date these regulations come into operation and who has completed a minimum of five years continuous service a bonus leave, and thereafter at intervals of five </w:t>
      </w:r>
      <w:r w:rsidR="001F02E5" w:rsidRPr="00B5381E">
        <w:rPr>
          <w:rFonts w:ascii="Arial" w:hAnsi="Arial" w:cs="Arial"/>
          <w:lang w:val="en-ZA"/>
        </w:rPr>
        <w:t>years’ service</w:t>
      </w:r>
      <w:r w:rsidRPr="00B5381E">
        <w:rPr>
          <w:rFonts w:ascii="Arial" w:hAnsi="Arial" w:cs="Arial"/>
          <w:lang w:val="en-ZA"/>
        </w:rPr>
        <w:t xml:space="preserve"> period, but only for a maximum of two five </w:t>
      </w:r>
      <w:r w:rsidR="001F02E5" w:rsidRPr="00B5381E">
        <w:rPr>
          <w:rFonts w:ascii="Arial" w:hAnsi="Arial" w:cs="Arial"/>
          <w:lang w:val="en-ZA"/>
        </w:rPr>
        <w:t>years’ service</w:t>
      </w:r>
      <w:r w:rsidRPr="00B5381E">
        <w:rPr>
          <w:rFonts w:ascii="Arial" w:hAnsi="Arial" w:cs="Arial"/>
          <w:lang w:val="en-ZA"/>
        </w:rPr>
        <w:t xml:space="preserve"> periods.’</w:t>
      </w:r>
    </w:p>
    <w:p w:rsidR="00910615" w:rsidRDefault="00910615" w:rsidP="008225EE">
      <w:pPr>
        <w:spacing w:after="0" w:line="360" w:lineRule="auto"/>
        <w:jc w:val="both"/>
        <w:rPr>
          <w:rFonts w:ascii="Arial" w:hAnsi="Arial" w:cs="Arial"/>
          <w:sz w:val="24"/>
          <w:szCs w:val="24"/>
        </w:rPr>
      </w:pPr>
    </w:p>
    <w:p w:rsidR="00AE5E6D" w:rsidRDefault="00910615" w:rsidP="008225EE">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30</w:t>
      </w:r>
      <w:r>
        <w:rPr>
          <w:rFonts w:ascii="Arial" w:hAnsi="Arial" w:cs="Arial"/>
          <w:sz w:val="24"/>
          <w:szCs w:val="24"/>
        </w:rPr>
        <w:t>]</w:t>
      </w:r>
      <w:r>
        <w:rPr>
          <w:rFonts w:ascii="Arial" w:hAnsi="Arial" w:cs="Arial"/>
          <w:sz w:val="24"/>
          <w:szCs w:val="24"/>
        </w:rPr>
        <w:tab/>
      </w:r>
      <w:r w:rsidR="00F6693B">
        <w:rPr>
          <w:rFonts w:ascii="Arial" w:hAnsi="Arial" w:cs="Arial"/>
          <w:sz w:val="24"/>
          <w:szCs w:val="24"/>
        </w:rPr>
        <w:t>Mr Chibwana</w:t>
      </w:r>
      <w:r>
        <w:rPr>
          <w:rFonts w:ascii="Arial" w:hAnsi="Arial" w:cs="Arial"/>
          <w:sz w:val="24"/>
          <w:szCs w:val="24"/>
        </w:rPr>
        <w:t xml:space="preserve"> correctly points out that</w:t>
      </w:r>
      <w:r w:rsidR="00F6693B">
        <w:rPr>
          <w:rFonts w:ascii="Arial" w:hAnsi="Arial" w:cs="Arial"/>
          <w:sz w:val="24"/>
          <w:szCs w:val="24"/>
        </w:rPr>
        <w:t xml:space="preserve"> this regulation gives a description of the member who qualifies for the benefit </w:t>
      </w:r>
      <w:r w:rsidR="0092619F">
        <w:rPr>
          <w:rFonts w:ascii="Arial" w:hAnsi="Arial" w:cs="Arial"/>
          <w:sz w:val="24"/>
          <w:szCs w:val="24"/>
        </w:rPr>
        <w:t>ie</w:t>
      </w:r>
      <w:r w:rsidR="00F6693B">
        <w:rPr>
          <w:rFonts w:ascii="Arial" w:hAnsi="Arial" w:cs="Arial"/>
          <w:sz w:val="24"/>
          <w:szCs w:val="24"/>
        </w:rPr>
        <w:t xml:space="preserve"> it is for a member who </w:t>
      </w:r>
      <w:r w:rsidR="00384F89">
        <w:rPr>
          <w:rFonts w:ascii="Arial" w:hAnsi="Arial" w:cs="Arial"/>
          <w:sz w:val="24"/>
          <w:szCs w:val="24"/>
        </w:rPr>
        <w:t>‘</w:t>
      </w:r>
      <w:r w:rsidR="00F6693B">
        <w:rPr>
          <w:rFonts w:ascii="Arial" w:hAnsi="Arial" w:cs="Arial"/>
          <w:sz w:val="24"/>
          <w:szCs w:val="24"/>
        </w:rPr>
        <w:t>is</w:t>
      </w:r>
      <w:r w:rsidR="00384F89">
        <w:rPr>
          <w:rFonts w:ascii="Arial" w:hAnsi="Arial" w:cs="Arial"/>
          <w:sz w:val="24"/>
          <w:szCs w:val="24"/>
        </w:rPr>
        <w:t>’</w:t>
      </w:r>
      <w:r w:rsidR="00F6693B">
        <w:rPr>
          <w:rFonts w:ascii="Arial" w:hAnsi="Arial" w:cs="Arial"/>
          <w:sz w:val="24"/>
          <w:szCs w:val="24"/>
        </w:rPr>
        <w:t xml:space="preserve"> in the service of the Council at the date the regulations came into operation. There is nothing ambiguous about this description</w:t>
      </w:r>
      <w:r w:rsidR="00683744">
        <w:rPr>
          <w:rFonts w:ascii="Arial" w:hAnsi="Arial" w:cs="Arial"/>
          <w:sz w:val="24"/>
          <w:szCs w:val="24"/>
        </w:rPr>
        <w:t xml:space="preserve"> or qualification of the member</w:t>
      </w:r>
      <w:r w:rsidR="00F6693B">
        <w:rPr>
          <w:rFonts w:ascii="Arial" w:hAnsi="Arial" w:cs="Arial"/>
          <w:sz w:val="24"/>
          <w:szCs w:val="24"/>
        </w:rPr>
        <w:t>. This p</w:t>
      </w:r>
      <w:r w:rsidR="00384F89">
        <w:rPr>
          <w:rFonts w:ascii="Arial" w:hAnsi="Arial" w:cs="Arial"/>
          <w:sz w:val="24"/>
          <w:szCs w:val="24"/>
        </w:rPr>
        <w:t>rovision relate</w:t>
      </w:r>
      <w:r w:rsidR="0092619F">
        <w:rPr>
          <w:rFonts w:ascii="Arial" w:hAnsi="Arial" w:cs="Arial"/>
          <w:sz w:val="24"/>
          <w:szCs w:val="24"/>
        </w:rPr>
        <w:t>s</w:t>
      </w:r>
      <w:r w:rsidR="00384F89">
        <w:rPr>
          <w:rFonts w:ascii="Arial" w:hAnsi="Arial" w:cs="Arial"/>
          <w:sz w:val="24"/>
          <w:szCs w:val="24"/>
        </w:rPr>
        <w:t xml:space="preserve"> to members who ‘</w:t>
      </w:r>
      <w:r w:rsidR="00F6693B">
        <w:rPr>
          <w:rFonts w:ascii="Arial" w:hAnsi="Arial" w:cs="Arial"/>
          <w:sz w:val="24"/>
          <w:szCs w:val="24"/>
        </w:rPr>
        <w:t>is</w:t>
      </w:r>
      <w:r w:rsidR="00384F89">
        <w:rPr>
          <w:rFonts w:ascii="Arial" w:hAnsi="Arial" w:cs="Arial"/>
          <w:sz w:val="24"/>
          <w:szCs w:val="24"/>
        </w:rPr>
        <w:t>’</w:t>
      </w:r>
      <w:r w:rsidR="00F6693B">
        <w:rPr>
          <w:rFonts w:ascii="Arial" w:hAnsi="Arial" w:cs="Arial"/>
          <w:sz w:val="24"/>
          <w:szCs w:val="24"/>
        </w:rPr>
        <w:t xml:space="preserve"> (present tense) in the service of the Council at 1 December 2004. It does not include other member</w:t>
      </w:r>
      <w:r w:rsidR="00AE5E6D">
        <w:rPr>
          <w:rFonts w:ascii="Arial" w:hAnsi="Arial" w:cs="Arial"/>
          <w:sz w:val="24"/>
          <w:szCs w:val="24"/>
        </w:rPr>
        <w:t>s</w:t>
      </w:r>
      <w:r w:rsidR="00F6693B">
        <w:rPr>
          <w:rFonts w:ascii="Arial" w:hAnsi="Arial" w:cs="Arial"/>
          <w:sz w:val="24"/>
          <w:szCs w:val="24"/>
        </w:rPr>
        <w:t xml:space="preserve"> who </w:t>
      </w:r>
      <w:r w:rsidR="00AE5E6D">
        <w:rPr>
          <w:rFonts w:ascii="Arial" w:hAnsi="Arial" w:cs="Arial"/>
          <w:sz w:val="24"/>
          <w:szCs w:val="24"/>
        </w:rPr>
        <w:t>were</w:t>
      </w:r>
      <w:r w:rsidR="001F02E5">
        <w:rPr>
          <w:rFonts w:ascii="Arial" w:hAnsi="Arial" w:cs="Arial"/>
          <w:sz w:val="24"/>
          <w:szCs w:val="24"/>
        </w:rPr>
        <w:t xml:space="preserve"> appointed after the date the s</w:t>
      </w:r>
      <w:r w:rsidR="00F6693B">
        <w:rPr>
          <w:rFonts w:ascii="Arial" w:hAnsi="Arial" w:cs="Arial"/>
          <w:sz w:val="24"/>
          <w:szCs w:val="24"/>
        </w:rPr>
        <w:t xml:space="preserve">ervice regulations came into </w:t>
      </w:r>
      <w:r w:rsidR="00AE5E6D">
        <w:rPr>
          <w:rFonts w:ascii="Arial" w:hAnsi="Arial" w:cs="Arial"/>
          <w:sz w:val="24"/>
          <w:szCs w:val="24"/>
        </w:rPr>
        <w:t>operation.</w:t>
      </w:r>
      <w:r w:rsidR="00F6693B">
        <w:rPr>
          <w:rFonts w:ascii="Arial" w:hAnsi="Arial" w:cs="Arial"/>
          <w:sz w:val="24"/>
          <w:szCs w:val="24"/>
        </w:rPr>
        <w:t xml:space="preserve"> </w:t>
      </w:r>
    </w:p>
    <w:p w:rsidR="00AE5E6D" w:rsidRDefault="00AE5E6D" w:rsidP="008225EE">
      <w:pPr>
        <w:spacing w:after="0" w:line="360" w:lineRule="auto"/>
        <w:jc w:val="both"/>
        <w:rPr>
          <w:rFonts w:ascii="Arial" w:hAnsi="Arial" w:cs="Arial"/>
          <w:sz w:val="24"/>
          <w:szCs w:val="24"/>
        </w:rPr>
      </w:pPr>
    </w:p>
    <w:p w:rsidR="00E06DDD" w:rsidRDefault="00AE5E6D" w:rsidP="008225EE">
      <w:pPr>
        <w:spacing w:after="0" w:line="360" w:lineRule="auto"/>
        <w:jc w:val="both"/>
        <w:rPr>
          <w:rFonts w:ascii="Arial" w:hAnsi="Arial" w:cs="Arial"/>
          <w:sz w:val="24"/>
          <w:szCs w:val="24"/>
        </w:rPr>
      </w:pPr>
      <w:r>
        <w:rPr>
          <w:rFonts w:ascii="Arial" w:hAnsi="Arial" w:cs="Arial"/>
          <w:sz w:val="24"/>
          <w:szCs w:val="24"/>
        </w:rPr>
        <w:lastRenderedPageBreak/>
        <w:t>[</w:t>
      </w:r>
      <w:r w:rsidR="00F021DD">
        <w:rPr>
          <w:rFonts w:ascii="Arial" w:hAnsi="Arial" w:cs="Arial"/>
          <w:sz w:val="24"/>
          <w:szCs w:val="24"/>
        </w:rPr>
        <w:t>31</w:t>
      </w:r>
      <w:r>
        <w:rPr>
          <w:rFonts w:ascii="Arial" w:hAnsi="Arial" w:cs="Arial"/>
          <w:sz w:val="24"/>
          <w:szCs w:val="24"/>
        </w:rPr>
        <w:t>]</w:t>
      </w:r>
      <w:r>
        <w:rPr>
          <w:rFonts w:ascii="Arial" w:hAnsi="Arial" w:cs="Arial"/>
          <w:sz w:val="24"/>
          <w:szCs w:val="24"/>
        </w:rPr>
        <w:tab/>
        <w:t>The first clause of this p</w:t>
      </w:r>
      <w:r w:rsidR="00384F89">
        <w:rPr>
          <w:rFonts w:ascii="Arial" w:hAnsi="Arial" w:cs="Arial"/>
          <w:sz w:val="24"/>
          <w:szCs w:val="24"/>
        </w:rPr>
        <w:t>rovision is joined by the word ‘</w:t>
      </w:r>
      <w:r>
        <w:rPr>
          <w:rFonts w:ascii="Arial" w:hAnsi="Arial" w:cs="Arial"/>
          <w:sz w:val="24"/>
          <w:szCs w:val="24"/>
        </w:rPr>
        <w:t>and</w:t>
      </w:r>
      <w:r w:rsidR="00384F89">
        <w:rPr>
          <w:rFonts w:ascii="Arial" w:hAnsi="Arial" w:cs="Arial"/>
          <w:sz w:val="24"/>
          <w:szCs w:val="24"/>
        </w:rPr>
        <w:t>’</w:t>
      </w:r>
      <w:r>
        <w:rPr>
          <w:rFonts w:ascii="Arial" w:hAnsi="Arial" w:cs="Arial"/>
          <w:sz w:val="24"/>
          <w:szCs w:val="24"/>
        </w:rPr>
        <w:t xml:space="preserve"> and this court has to determine whether this word is conjunctive or disjunctive. It is evident from the grammatical structure of the provision that it is used to add another condition and </w:t>
      </w:r>
      <w:r w:rsidR="00DD44AC">
        <w:rPr>
          <w:rFonts w:ascii="Arial" w:hAnsi="Arial" w:cs="Arial"/>
          <w:sz w:val="24"/>
          <w:szCs w:val="24"/>
        </w:rPr>
        <w:t xml:space="preserve">in this provision </w:t>
      </w:r>
      <w:r w:rsidR="00683744">
        <w:rPr>
          <w:rFonts w:ascii="Arial" w:hAnsi="Arial" w:cs="Arial"/>
          <w:sz w:val="24"/>
          <w:szCs w:val="24"/>
        </w:rPr>
        <w:t xml:space="preserve">therefore </w:t>
      </w:r>
      <w:r w:rsidR="00DD44AC">
        <w:rPr>
          <w:rFonts w:ascii="Arial" w:hAnsi="Arial" w:cs="Arial"/>
          <w:sz w:val="24"/>
          <w:szCs w:val="24"/>
        </w:rPr>
        <w:t xml:space="preserve">is a conjunctive. It adds the condition that the same member described in the first clause </w:t>
      </w:r>
      <w:r w:rsidR="0092619F">
        <w:rPr>
          <w:rFonts w:ascii="Arial" w:hAnsi="Arial" w:cs="Arial"/>
          <w:sz w:val="24"/>
          <w:szCs w:val="24"/>
        </w:rPr>
        <w:t>ie</w:t>
      </w:r>
      <w:r w:rsidR="00DD44AC">
        <w:rPr>
          <w:rFonts w:ascii="Arial" w:hAnsi="Arial" w:cs="Arial"/>
          <w:sz w:val="24"/>
          <w:szCs w:val="24"/>
        </w:rPr>
        <w:t xml:space="preserve"> who is in the service of the Council on 1 December 2004, would have to complete a minimum of five years continuous service </w:t>
      </w:r>
      <w:r w:rsidR="00683744">
        <w:rPr>
          <w:rFonts w:ascii="Arial" w:hAnsi="Arial" w:cs="Arial"/>
          <w:sz w:val="24"/>
          <w:szCs w:val="24"/>
        </w:rPr>
        <w:t xml:space="preserve">before Council </w:t>
      </w:r>
      <w:r w:rsidR="00BA68C1">
        <w:rPr>
          <w:rFonts w:ascii="Arial" w:hAnsi="Arial" w:cs="Arial"/>
          <w:sz w:val="24"/>
          <w:szCs w:val="24"/>
        </w:rPr>
        <w:t>must</w:t>
      </w:r>
      <w:r w:rsidR="00DD44AC">
        <w:rPr>
          <w:rFonts w:ascii="Arial" w:hAnsi="Arial" w:cs="Arial"/>
          <w:sz w:val="24"/>
          <w:szCs w:val="24"/>
        </w:rPr>
        <w:t xml:space="preserve"> grant</w:t>
      </w:r>
      <w:r w:rsidR="00683744">
        <w:rPr>
          <w:rFonts w:ascii="Arial" w:hAnsi="Arial" w:cs="Arial"/>
          <w:sz w:val="24"/>
          <w:szCs w:val="24"/>
        </w:rPr>
        <w:t xml:space="preserve"> him/her </w:t>
      </w:r>
      <w:r w:rsidR="00DD44AC">
        <w:rPr>
          <w:rFonts w:ascii="Arial" w:hAnsi="Arial" w:cs="Arial"/>
          <w:sz w:val="24"/>
          <w:szCs w:val="24"/>
        </w:rPr>
        <w:t>a bon</w:t>
      </w:r>
      <w:r w:rsidR="00384F89">
        <w:rPr>
          <w:rFonts w:ascii="Arial" w:hAnsi="Arial" w:cs="Arial"/>
          <w:sz w:val="24"/>
          <w:szCs w:val="24"/>
        </w:rPr>
        <w:t>us leave. The same conjunctive ‘</w:t>
      </w:r>
      <w:r w:rsidR="00DD44AC">
        <w:rPr>
          <w:rFonts w:ascii="Arial" w:hAnsi="Arial" w:cs="Arial"/>
          <w:sz w:val="24"/>
          <w:szCs w:val="24"/>
        </w:rPr>
        <w:t>and</w:t>
      </w:r>
      <w:r w:rsidR="00384F89">
        <w:rPr>
          <w:rFonts w:ascii="Arial" w:hAnsi="Arial" w:cs="Arial"/>
          <w:sz w:val="24"/>
          <w:szCs w:val="24"/>
        </w:rPr>
        <w:t>’</w:t>
      </w:r>
      <w:r w:rsidR="00DD44AC">
        <w:rPr>
          <w:rFonts w:ascii="Arial" w:hAnsi="Arial" w:cs="Arial"/>
          <w:sz w:val="24"/>
          <w:szCs w:val="24"/>
        </w:rPr>
        <w:t xml:space="preserve"> joins a further condition for the same member to qualify for bonus leave beyond the first five year continuous service by </w:t>
      </w:r>
      <w:r w:rsidR="00384F89">
        <w:rPr>
          <w:rFonts w:ascii="Arial" w:hAnsi="Arial" w:cs="Arial"/>
          <w:sz w:val="24"/>
          <w:szCs w:val="24"/>
        </w:rPr>
        <w:t>the use of the word ‘</w:t>
      </w:r>
      <w:r w:rsidR="00683744">
        <w:rPr>
          <w:rFonts w:ascii="Arial" w:hAnsi="Arial" w:cs="Arial"/>
          <w:sz w:val="24"/>
          <w:szCs w:val="24"/>
        </w:rPr>
        <w:t>ther</w:t>
      </w:r>
      <w:r w:rsidR="00362CE1">
        <w:rPr>
          <w:rFonts w:ascii="Arial" w:hAnsi="Arial" w:cs="Arial"/>
          <w:sz w:val="24"/>
          <w:szCs w:val="24"/>
        </w:rPr>
        <w:t>e</w:t>
      </w:r>
      <w:r w:rsidR="00683744">
        <w:rPr>
          <w:rFonts w:ascii="Arial" w:hAnsi="Arial" w:cs="Arial"/>
          <w:sz w:val="24"/>
          <w:szCs w:val="24"/>
        </w:rPr>
        <w:t>after</w:t>
      </w:r>
      <w:r w:rsidR="00384F89">
        <w:rPr>
          <w:rFonts w:ascii="Arial" w:hAnsi="Arial" w:cs="Arial"/>
          <w:sz w:val="24"/>
          <w:szCs w:val="24"/>
        </w:rPr>
        <w:t>’</w:t>
      </w:r>
      <w:r w:rsidR="00683744">
        <w:rPr>
          <w:rFonts w:ascii="Arial" w:hAnsi="Arial" w:cs="Arial"/>
          <w:sz w:val="24"/>
          <w:szCs w:val="24"/>
        </w:rPr>
        <w:t xml:space="preserve">. It further </w:t>
      </w:r>
      <w:r w:rsidR="00DD44AC">
        <w:rPr>
          <w:rFonts w:ascii="Arial" w:hAnsi="Arial" w:cs="Arial"/>
          <w:sz w:val="24"/>
          <w:szCs w:val="24"/>
        </w:rPr>
        <w:t xml:space="preserve">limits the entitlement to a period of two five year service. </w:t>
      </w:r>
    </w:p>
    <w:p w:rsidR="00984697" w:rsidRDefault="00984697" w:rsidP="008225EE">
      <w:pPr>
        <w:spacing w:after="0" w:line="360" w:lineRule="auto"/>
        <w:jc w:val="both"/>
        <w:rPr>
          <w:rFonts w:ascii="Arial" w:hAnsi="Arial" w:cs="Arial"/>
          <w:sz w:val="24"/>
          <w:szCs w:val="24"/>
        </w:rPr>
      </w:pPr>
    </w:p>
    <w:p w:rsidR="00DD44AC" w:rsidRDefault="00DD44AC" w:rsidP="008225EE">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32</w:t>
      </w:r>
      <w:r>
        <w:rPr>
          <w:rFonts w:ascii="Arial" w:hAnsi="Arial" w:cs="Arial"/>
          <w:sz w:val="24"/>
          <w:szCs w:val="24"/>
        </w:rPr>
        <w:t>]</w:t>
      </w:r>
      <w:r>
        <w:rPr>
          <w:rFonts w:ascii="Arial" w:hAnsi="Arial" w:cs="Arial"/>
          <w:sz w:val="24"/>
          <w:szCs w:val="24"/>
        </w:rPr>
        <w:tab/>
        <w:t>If this court has</w:t>
      </w:r>
      <w:r w:rsidR="00384F89">
        <w:rPr>
          <w:rFonts w:ascii="Arial" w:hAnsi="Arial" w:cs="Arial"/>
          <w:sz w:val="24"/>
          <w:szCs w:val="24"/>
        </w:rPr>
        <w:t xml:space="preserve"> regard to the context of this ‘</w:t>
      </w:r>
      <w:r>
        <w:rPr>
          <w:rFonts w:ascii="Arial" w:hAnsi="Arial" w:cs="Arial"/>
          <w:sz w:val="24"/>
          <w:szCs w:val="24"/>
        </w:rPr>
        <w:t>fringe benefit</w:t>
      </w:r>
      <w:r w:rsidR="00384F89">
        <w:rPr>
          <w:rFonts w:ascii="Arial" w:hAnsi="Arial" w:cs="Arial"/>
          <w:sz w:val="24"/>
          <w:szCs w:val="24"/>
        </w:rPr>
        <w:t>’</w:t>
      </w:r>
      <w:r>
        <w:rPr>
          <w:rFonts w:ascii="Arial" w:hAnsi="Arial" w:cs="Arial"/>
          <w:sz w:val="24"/>
          <w:szCs w:val="24"/>
        </w:rPr>
        <w:t xml:space="preserve"> in relation to the other </w:t>
      </w:r>
      <w:r w:rsidR="008F6A24">
        <w:rPr>
          <w:rFonts w:ascii="Arial" w:hAnsi="Arial" w:cs="Arial"/>
          <w:sz w:val="24"/>
          <w:szCs w:val="24"/>
        </w:rPr>
        <w:t xml:space="preserve">benefits, </w:t>
      </w:r>
      <w:r>
        <w:rPr>
          <w:rFonts w:ascii="Arial" w:hAnsi="Arial" w:cs="Arial"/>
          <w:sz w:val="24"/>
          <w:szCs w:val="24"/>
        </w:rPr>
        <w:t xml:space="preserve">as pointed out by Mr Chibwana, then the only logical conclusion is that the </w:t>
      </w:r>
      <w:r w:rsidR="00683744">
        <w:rPr>
          <w:rFonts w:ascii="Arial" w:hAnsi="Arial" w:cs="Arial"/>
          <w:sz w:val="24"/>
          <w:szCs w:val="24"/>
        </w:rPr>
        <w:t xml:space="preserve">legislative intent was for </w:t>
      </w:r>
      <w:r>
        <w:rPr>
          <w:rFonts w:ascii="Arial" w:hAnsi="Arial" w:cs="Arial"/>
          <w:sz w:val="24"/>
          <w:szCs w:val="24"/>
        </w:rPr>
        <w:t xml:space="preserve">this benefit to be limited to those who were in the service of the </w:t>
      </w:r>
      <w:r w:rsidR="008F6A24">
        <w:rPr>
          <w:rFonts w:ascii="Arial" w:hAnsi="Arial" w:cs="Arial"/>
          <w:sz w:val="24"/>
          <w:szCs w:val="24"/>
        </w:rPr>
        <w:t>Council on 1 December 2004 and that the benefit was in</w:t>
      </w:r>
      <w:r w:rsidR="00384F89">
        <w:rPr>
          <w:rFonts w:ascii="Arial" w:hAnsi="Arial" w:cs="Arial"/>
          <w:sz w:val="24"/>
          <w:szCs w:val="24"/>
        </w:rPr>
        <w:t>tended for a limited period of ten</w:t>
      </w:r>
      <w:r w:rsidR="008F6A24">
        <w:rPr>
          <w:rFonts w:ascii="Arial" w:hAnsi="Arial" w:cs="Arial"/>
          <w:sz w:val="24"/>
          <w:szCs w:val="24"/>
        </w:rPr>
        <w:t xml:space="preserve"> years. This is consistent with the respondent’s averment that the aim was to encourage those members to remain in the servic</w:t>
      </w:r>
      <w:r w:rsidR="00384F89">
        <w:rPr>
          <w:rFonts w:ascii="Arial" w:hAnsi="Arial" w:cs="Arial"/>
          <w:sz w:val="24"/>
          <w:szCs w:val="24"/>
        </w:rPr>
        <w:t>e of the Council for at least ten</w:t>
      </w:r>
      <w:r w:rsidR="008F6A24">
        <w:rPr>
          <w:rFonts w:ascii="Arial" w:hAnsi="Arial" w:cs="Arial"/>
          <w:sz w:val="24"/>
          <w:szCs w:val="24"/>
        </w:rPr>
        <w:t xml:space="preserve"> years. </w:t>
      </w:r>
    </w:p>
    <w:p w:rsidR="00170EAE" w:rsidRDefault="00170EAE" w:rsidP="008225EE">
      <w:pPr>
        <w:spacing w:after="0" w:line="360" w:lineRule="auto"/>
        <w:jc w:val="both"/>
        <w:rPr>
          <w:rFonts w:ascii="Arial" w:hAnsi="Arial" w:cs="Arial"/>
          <w:i/>
          <w:sz w:val="24"/>
          <w:szCs w:val="24"/>
        </w:rPr>
      </w:pPr>
    </w:p>
    <w:p w:rsidR="00362CE1" w:rsidRPr="00362CE1" w:rsidRDefault="00362CE1" w:rsidP="008225EE">
      <w:pPr>
        <w:spacing w:after="0" w:line="360" w:lineRule="auto"/>
        <w:jc w:val="both"/>
        <w:rPr>
          <w:rFonts w:ascii="Arial" w:hAnsi="Arial" w:cs="Arial"/>
          <w:i/>
          <w:sz w:val="24"/>
          <w:szCs w:val="24"/>
        </w:rPr>
      </w:pPr>
      <w:r>
        <w:rPr>
          <w:rFonts w:ascii="Arial" w:hAnsi="Arial" w:cs="Arial"/>
          <w:i/>
          <w:sz w:val="24"/>
          <w:szCs w:val="24"/>
        </w:rPr>
        <w:t>Regulation 37(1)</w:t>
      </w:r>
    </w:p>
    <w:p w:rsidR="00F021DD" w:rsidRDefault="00F021DD" w:rsidP="00362CE1">
      <w:pPr>
        <w:spacing w:after="0" w:line="360" w:lineRule="auto"/>
        <w:jc w:val="both"/>
        <w:rPr>
          <w:rFonts w:ascii="Arial" w:hAnsi="Arial" w:cs="Arial"/>
          <w:sz w:val="24"/>
          <w:szCs w:val="24"/>
        </w:rPr>
      </w:pPr>
    </w:p>
    <w:p w:rsidR="00362CE1" w:rsidRDefault="008F6A24" w:rsidP="00362CE1">
      <w:pPr>
        <w:spacing w:after="0" w:line="360" w:lineRule="auto"/>
        <w:jc w:val="both"/>
        <w:rPr>
          <w:rFonts w:ascii="Arial" w:hAnsi="Arial" w:cs="Arial"/>
          <w:sz w:val="24"/>
          <w:szCs w:val="24"/>
          <w:lang w:val="en-ZA"/>
        </w:rPr>
      </w:pPr>
      <w:r>
        <w:rPr>
          <w:rFonts w:ascii="Arial" w:hAnsi="Arial" w:cs="Arial"/>
          <w:sz w:val="24"/>
          <w:szCs w:val="24"/>
        </w:rPr>
        <w:t>[</w:t>
      </w:r>
      <w:r w:rsidR="00F021DD">
        <w:rPr>
          <w:rFonts w:ascii="Arial" w:hAnsi="Arial" w:cs="Arial"/>
          <w:sz w:val="24"/>
          <w:szCs w:val="24"/>
        </w:rPr>
        <w:t>33</w:t>
      </w:r>
      <w:r>
        <w:rPr>
          <w:rFonts w:ascii="Arial" w:hAnsi="Arial" w:cs="Arial"/>
          <w:sz w:val="24"/>
          <w:szCs w:val="24"/>
        </w:rPr>
        <w:t>]</w:t>
      </w:r>
      <w:r>
        <w:rPr>
          <w:rFonts w:ascii="Arial" w:hAnsi="Arial" w:cs="Arial"/>
          <w:sz w:val="24"/>
          <w:szCs w:val="24"/>
        </w:rPr>
        <w:tab/>
        <w:t xml:space="preserve">Regulation 37(1) basically retained the same grammatical structure as the old regulation. </w:t>
      </w:r>
      <w:r w:rsidR="00362CE1" w:rsidRPr="00B5381E">
        <w:rPr>
          <w:rFonts w:ascii="Arial" w:hAnsi="Arial" w:cs="Arial"/>
          <w:sz w:val="24"/>
          <w:szCs w:val="24"/>
          <w:lang w:val="en-ZA"/>
        </w:rPr>
        <w:t>Regulation 37(1) and (2)</w:t>
      </w:r>
      <w:r w:rsidR="00362CE1" w:rsidRPr="00B5381E">
        <w:rPr>
          <w:rFonts w:ascii="Arial" w:hAnsi="Arial" w:cs="Arial"/>
          <w:i/>
          <w:sz w:val="24"/>
          <w:szCs w:val="24"/>
          <w:lang w:val="en-ZA"/>
        </w:rPr>
        <w:t xml:space="preserve">(a)(ii) </w:t>
      </w:r>
      <w:r w:rsidR="00362CE1" w:rsidRPr="00B5381E">
        <w:rPr>
          <w:rFonts w:ascii="Arial" w:hAnsi="Arial" w:cs="Arial"/>
          <w:sz w:val="24"/>
          <w:szCs w:val="24"/>
          <w:lang w:val="en-ZA"/>
        </w:rPr>
        <w:t xml:space="preserve">of the </w:t>
      </w:r>
      <w:r w:rsidR="00362CE1">
        <w:rPr>
          <w:rFonts w:ascii="Arial" w:hAnsi="Arial" w:cs="Arial"/>
          <w:sz w:val="24"/>
          <w:szCs w:val="24"/>
          <w:lang w:val="en-ZA"/>
        </w:rPr>
        <w:t>Service Regulations read</w:t>
      </w:r>
      <w:r w:rsidR="00362CE1" w:rsidRPr="00B5381E">
        <w:rPr>
          <w:rFonts w:ascii="Arial" w:hAnsi="Arial" w:cs="Arial"/>
          <w:sz w:val="24"/>
          <w:szCs w:val="24"/>
          <w:lang w:val="en-ZA"/>
        </w:rPr>
        <w:t xml:space="preserve"> as follow:</w:t>
      </w:r>
      <w:r w:rsidR="00362CE1" w:rsidRPr="00B5381E">
        <w:rPr>
          <w:rFonts w:ascii="Arial" w:hAnsi="Arial" w:cs="Arial"/>
          <w:sz w:val="24"/>
          <w:szCs w:val="24"/>
          <w:lang w:val="en-ZA"/>
        </w:rPr>
        <w:tab/>
      </w:r>
    </w:p>
    <w:p w:rsidR="003D3EAA" w:rsidRPr="00B5381E" w:rsidRDefault="003D3EAA" w:rsidP="00362CE1">
      <w:pPr>
        <w:spacing w:after="0" w:line="360" w:lineRule="auto"/>
        <w:jc w:val="both"/>
        <w:rPr>
          <w:rFonts w:ascii="Arial" w:hAnsi="Arial" w:cs="Arial"/>
          <w:sz w:val="24"/>
          <w:szCs w:val="24"/>
          <w:lang w:val="en-ZA"/>
        </w:rPr>
      </w:pPr>
    </w:p>
    <w:p w:rsidR="00362CE1" w:rsidRPr="003D3EAA" w:rsidRDefault="00362CE1" w:rsidP="00362CE1">
      <w:pPr>
        <w:spacing w:after="0" w:line="360" w:lineRule="auto"/>
        <w:ind w:firstLine="720"/>
        <w:jc w:val="both"/>
        <w:rPr>
          <w:rFonts w:ascii="Arial" w:hAnsi="Arial" w:cs="Arial"/>
          <w:lang w:val="en-ZA"/>
        </w:rPr>
      </w:pPr>
      <w:r w:rsidRPr="003D3EAA">
        <w:rPr>
          <w:rFonts w:ascii="Arial" w:hAnsi="Arial" w:cs="Arial"/>
          <w:lang w:val="en-ZA"/>
        </w:rPr>
        <w:t>‘(1) The Co</w:t>
      </w:r>
      <w:r w:rsidR="0092619F">
        <w:rPr>
          <w:rFonts w:ascii="Arial" w:hAnsi="Arial" w:cs="Arial"/>
          <w:lang w:val="en-ZA"/>
        </w:rPr>
        <w:t xml:space="preserve">uncil must grant to a member who was </w:t>
      </w:r>
      <w:r w:rsidRPr="003D3EAA">
        <w:rPr>
          <w:rFonts w:ascii="Arial" w:hAnsi="Arial" w:cs="Arial"/>
          <w:lang w:val="en-ZA"/>
        </w:rPr>
        <w:t>in the service of the</w:t>
      </w:r>
      <w:r w:rsidR="0092619F">
        <w:rPr>
          <w:rFonts w:ascii="Arial" w:hAnsi="Arial" w:cs="Arial"/>
          <w:lang w:val="en-ZA"/>
        </w:rPr>
        <w:t xml:space="preserve"> Council at the date the </w:t>
      </w:r>
      <w:r w:rsidRPr="003D3EAA">
        <w:rPr>
          <w:rFonts w:ascii="Arial" w:hAnsi="Arial" w:cs="Arial"/>
          <w:lang w:val="en-ZA"/>
        </w:rPr>
        <w:t xml:space="preserve">regulations repealed by regulation 71 came into operation and thereafter who has completed a minimum of five years continuous service, a bonus leave, and thereafter for one more five year service period, but only to a maximum of two 5 </w:t>
      </w:r>
      <w:r w:rsidR="00BA68C1" w:rsidRPr="003D3EAA">
        <w:rPr>
          <w:rFonts w:ascii="Arial" w:hAnsi="Arial" w:cs="Arial"/>
          <w:lang w:val="en-ZA"/>
        </w:rPr>
        <w:t>years’ service</w:t>
      </w:r>
      <w:r w:rsidRPr="003D3EAA">
        <w:rPr>
          <w:rFonts w:ascii="Arial" w:hAnsi="Arial" w:cs="Arial"/>
          <w:lang w:val="en-ZA"/>
        </w:rPr>
        <w:t xml:space="preserve"> period where after the right to bonus leave lapses.</w:t>
      </w:r>
    </w:p>
    <w:p w:rsidR="00362CE1" w:rsidRPr="003D3EAA" w:rsidRDefault="00362CE1" w:rsidP="00362CE1">
      <w:pPr>
        <w:spacing w:after="0" w:line="360" w:lineRule="auto"/>
        <w:ind w:firstLine="720"/>
        <w:jc w:val="both"/>
        <w:rPr>
          <w:rFonts w:ascii="Arial" w:hAnsi="Arial" w:cs="Arial"/>
          <w:lang w:val="en-ZA"/>
        </w:rPr>
      </w:pPr>
      <w:r w:rsidRPr="003D3EAA">
        <w:rPr>
          <w:rFonts w:ascii="Arial" w:hAnsi="Arial" w:cs="Arial"/>
          <w:lang w:val="en-ZA"/>
        </w:rPr>
        <w:t>(2)  The number of leave days to be granted for a bonus leave must be as follows:</w:t>
      </w:r>
    </w:p>
    <w:p w:rsidR="00362CE1" w:rsidRPr="003D3EAA" w:rsidRDefault="00362CE1" w:rsidP="00362CE1">
      <w:pPr>
        <w:spacing w:after="0" w:line="360" w:lineRule="auto"/>
        <w:ind w:left="720" w:firstLine="720"/>
        <w:jc w:val="both"/>
        <w:rPr>
          <w:rFonts w:ascii="Arial" w:hAnsi="Arial" w:cs="Arial"/>
          <w:lang w:val="en-ZA"/>
        </w:rPr>
      </w:pPr>
      <w:r w:rsidRPr="003D3EAA">
        <w:rPr>
          <w:rFonts w:ascii="Arial" w:hAnsi="Arial" w:cs="Arial"/>
          <w:lang w:val="en-ZA"/>
        </w:rPr>
        <w:t>(a) (i) …</w:t>
      </w:r>
    </w:p>
    <w:p w:rsidR="00362CE1" w:rsidRPr="003D3EAA" w:rsidRDefault="00384F89" w:rsidP="00362CE1">
      <w:pPr>
        <w:spacing w:after="0" w:line="360" w:lineRule="auto"/>
        <w:ind w:left="720" w:firstLine="720"/>
        <w:jc w:val="both"/>
        <w:rPr>
          <w:rFonts w:ascii="Arial" w:hAnsi="Arial" w:cs="Arial"/>
          <w:lang w:val="en-ZA"/>
        </w:rPr>
      </w:pPr>
      <w:r>
        <w:rPr>
          <w:rFonts w:ascii="Arial" w:hAnsi="Arial" w:cs="Arial"/>
          <w:lang w:val="en-ZA"/>
        </w:rPr>
        <w:t xml:space="preserve">(b) </w:t>
      </w:r>
      <w:r w:rsidR="00362CE1" w:rsidRPr="003D3EAA">
        <w:rPr>
          <w:rFonts w:ascii="Arial" w:hAnsi="Arial" w:cs="Arial"/>
          <w:lang w:val="en-ZA"/>
        </w:rPr>
        <w:t>(ii) 73,97 working days for any other member</w:t>
      </w:r>
      <w:r w:rsidR="00BA68C1">
        <w:rPr>
          <w:rFonts w:ascii="Arial" w:hAnsi="Arial" w:cs="Arial"/>
          <w:lang w:val="en-ZA"/>
        </w:rPr>
        <w:t>.</w:t>
      </w:r>
      <w:r w:rsidR="00362CE1" w:rsidRPr="003D3EAA">
        <w:rPr>
          <w:rFonts w:ascii="Arial" w:hAnsi="Arial" w:cs="Arial"/>
          <w:lang w:val="en-ZA"/>
        </w:rPr>
        <w:t>’</w:t>
      </w:r>
    </w:p>
    <w:p w:rsidR="00683744" w:rsidRDefault="00683744" w:rsidP="008225EE">
      <w:pPr>
        <w:spacing w:after="0" w:line="360" w:lineRule="auto"/>
        <w:jc w:val="both"/>
        <w:rPr>
          <w:rFonts w:ascii="Arial" w:hAnsi="Arial" w:cs="Arial"/>
          <w:sz w:val="24"/>
          <w:szCs w:val="24"/>
        </w:rPr>
      </w:pPr>
    </w:p>
    <w:p w:rsidR="00094151" w:rsidRDefault="00362CE1" w:rsidP="008225EE">
      <w:pPr>
        <w:spacing w:after="0" w:line="360" w:lineRule="auto"/>
        <w:jc w:val="both"/>
        <w:rPr>
          <w:rFonts w:ascii="Arial" w:hAnsi="Arial" w:cs="Arial"/>
          <w:sz w:val="24"/>
          <w:szCs w:val="24"/>
        </w:rPr>
      </w:pPr>
      <w:r>
        <w:rPr>
          <w:rFonts w:ascii="Arial" w:hAnsi="Arial" w:cs="Arial"/>
          <w:sz w:val="24"/>
          <w:szCs w:val="24"/>
        </w:rPr>
        <w:lastRenderedPageBreak/>
        <w:t>[</w:t>
      </w:r>
      <w:r w:rsidR="00F021DD">
        <w:rPr>
          <w:rFonts w:ascii="Arial" w:hAnsi="Arial" w:cs="Arial"/>
          <w:sz w:val="24"/>
          <w:szCs w:val="24"/>
        </w:rPr>
        <w:t>34</w:t>
      </w:r>
      <w:r>
        <w:rPr>
          <w:rFonts w:ascii="Arial" w:hAnsi="Arial" w:cs="Arial"/>
          <w:sz w:val="24"/>
          <w:szCs w:val="24"/>
        </w:rPr>
        <w:t>]</w:t>
      </w:r>
      <w:r>
        <w:rPr>
          <w:rFonts w:ascii="Arial" w:hAnsi="Arial" w:cs="Arial"/>
          <w:sz w:val="24"/>
          <w:szCs w:val="24"/>
        </w:rPr>
        <w:tab/>
        <w:t xml:space="preserve">This regulation </w:t>
      </w:r>
      <w:r w:rsidR="008F6A24">
        <w:rPr>
          <w:rFonts w:ascii="Arial" w:hAnsi="Arial" w:cs="Arial"/>
          <w:sz w:val="24"/>
          <w:szCs w:val="24"/>
        </w:rPr>
        <w:t xml:space="preserve">still </w:t>
      </w:r>
      <w:r w:rsidR="00BA68C1">
        <w:rPr>
          <w:rFonts w:ascii="Arial" w:hAnsi="Arial" w:cs="Arial"/>
          <w:sz w:val="24"/>
          <w:szCs w:val="24"/>
        </w:rPr>
        <w:t>describes</w:t>
      </w:r>
      <w:r w:rsidR="008F6A24">
        <w:rPr>
          <w:rFonts w:ascii="Arial" w:hAnsi="Arial" w:cs="Arial"/>
          <w:sz w:val="24"/>
          <w:szCs w:val="24"/>
        </w:rPr>
        <w:t xml:space="preserve"> the member who qualifies as the member who was in the service of the Council on 1 December 2004. It is noted in passing as pointed out by Ms Ambunda-</w:t>
      </w:r>
      <w:r w:rsidR="00BA68C1">
        <w:rPr>
          <w:rFonts w:ascii="Arial" w:hAnsi="Arial" w:cs="Arial"/>
          <w:sz w:val="24"/>
          <w:szCs w:val="24"/>
        </w:rPr>
        <w:t>Nashilundo</w:t>
      </w:r>
      <w:r w:rsidR="008F6A24">
        <w:rPr>
          <w:rFonts w:ascii="Arial" w:hAnsi="Arial" w:cs="Arial"/>
          <w:sz w:val="24"/>
          <w:szCs w:val="24"/>
        </w:rPr>
        <w:t xml:space="preserve"> that the p</w:t>
      </w:r>
      <w:r w:rsidR="00384F89">
        <w:rPr>
          <w:rFonts w:ascii="Arial" w:hAnsi="Arial" w:cs="Arial"/>
          <w:sz w:val="24"/>
          <w:szCs w:val="24"/>
        </w:rPr>
        <w:t>rovision erroneously refers to r</w:t>
      </w:r>
      <w:r w:rsidR="008F6A24">
        <w:rPr>
          <w:rFonts w:ascii="Arial" w:hAnsi="Arial" w:cs="Arial"/>
          <w:sz w:val="24"/>
          <w:szCs w:val="24"/>
        </w:rPr>
        <w:t xml:space="preserve">egulation 71. </w:t>
      </w:r>
      <w:r w:rsidR="00FB4AF0">
        <w:rPr>
          <w:rFonts w:ascii="Arial" w:hAnsi="Arial" w:cs="Arial"/>
          <w:sz w:val="24"/>
          <w:szCs w:val="24"/>
        </w:rPr>
        <w:t xml:space="preserve">The word </w:t>
      </w:r>
      <w:r w:rsidR="00384F89">
        <w:rPr>
          <w:rFonts w:ascii="Arial" w:hAnsi="Arial" w:cs="Arial"/>
          <w:sz w:val="24"/>
          <w:szCs w:val="24"/>
        </w:rPr>
        <w:t>‘and’</w:t>
      </w:r>
      <w:r w:rsidR="00094151">
        <w:rPr>
          <w:rFonts w:ascii="Arial" w:hAnsi="Arial" w:cs="Arial"/>
          <w:sz w:val="24"/>
          <w:szCs w:val="24"/>
        </w:rPr>
        <w:t>,</w:t>
      </w:r>
      <w:r w:rsidR="00FB4AF0">
        <w:rPr>
          <w:rFonts w:ascii="Arial" w:hAnsi="Arial" w:cs="Arial"/>
          <w:sz w:val="24"/>
          <w:szCs w:val="24"/>
        </w:rPr>
        <w:t xml:space="preserve"> in a similar manner</w:t>
      </w:r>
      <w:r w:rsidR="00094151">
        <w:rPr>
          <w:rFonts w:ascii="Arial" w:hAnsi="Arial" w:cs="Arial"/>
          <w:sz w:val="24"/>
          <w:szCs w:val="24"/>
        </w:rPr>
        <w:t xml:space="preserve"> as the previous regulation,</w:t>
      </w:r>
      <w:r w:rsidR="00FB4AF0">
        <w:rPr>
          <w:rFonts w:ascii="Arial" w:hAnsi="Arial" w:cs="Arial"/>
          <w:sz w:val="24"/>
          <w:szCs w:val="24"/>
        </w:rPr>
        <w:t xml:space="preserve"> add</w:t>
      </w:r>
      <w:r w:rsidR="00094151">
        <w:rPr>
          <w:rFonts w:ascii="Arial" w:hAnsi="Arial" w:cs="Arial"/>
          <w:sz w:val="24"/>
          <w:szCs w:val="24"/>
        </w:rPr>
        <w:t>s</w:t>
      </w:r>
      <w:r w:rsidR="00FB4AF0">
        <w:rPr>
          <w:rFonts w:ascii="Arial" w:hAnsi="Arial" w:cs="Arial"/>
          <w:sz w:val="24"/>
          <w:szCs w:val="24"/>
        </w:rPr>
        <w:t xml:space="preserve"> the condition that</w:t>
      </w:r>
      <w:r w:rsidR="00094151">
        <w:rPr>
          <w:rFonts w:ascii="Arial" w:hAnsi="Arial" w:cs="Arial"/>
          <w:sz w:val="24"/>
          <w:szCs w:val="24"/>
        </w:rPr>
        <w:t xml:space="preserve"> </w:t>
      </w:r>
      <w:r w:rsidR="000619EE">
        <w:rPr>
          <w:rFonts w:ascii="Arial" w:hAnsi="Arial" w:cs="Arial"/>
          <w:sz w:val="24"/>
          <w:szCs w:val="24"/>
        </w:rPr>
        <w:t>‘</w:t>
      </w:r>
      <w:r w:rsidR="00094151">
        <w:rPr>
          <w:rFonts w:ascii="Arial" w:hAnsi="Arial" w:cs="Arial"/>
          <w:sz w:val="24"/>
          <w:szCs w:val="24"/>
        </w:rPr>
        <w:t>thereafter</w:t>
      </w:r>
      <w:r w:rsidR="000619EE">
        <w:rPr>
          <w:rFonts w:ascii="Arial" w:hAnsi="Arial" w:cs="Arial"/>
          <w:sz w:val="24"/>
          <w:szCs w:val="24"/>
        </w:rPr>
        <w:t>’</w:t>
      </w:r>
      <w:r w:rsidR="00FB4AF0">
        <w:rPr>
          <w:rFonts w:ascii="Arial" w:hAnsi="Arial" w:cs="Arial"/>
          <w:sz w:val="24"/>
          <w:szCs w:val="24"/>
        </w:rPr>
        <w:t xml:space="preserve"> the same member who was in the service of the Council on 1 December 2004</w:t>
      </w:r>
      <w:r w:rsidR="00094151">
        <w:rPr>
          <w:rFonts w:ascii="Arial" w:hAnsi="Arial" w:cs="Arial"/>
          <w:sz w:val="24"/>
          <w:szCs w:val="24"/>
        </w:rPr>
        <w:t xml:space="preserve"> and </w:t>
      </w:r>
      <w:r w:rsidR="00FB4AF0">
        <w:rPr>
          <w:rFonts w:ascii="Arial" w:hAnsi="Arial" w:cs="Arial"/>
          <w:sz w:val="24"/>
          <w:szCs w:val="24"/>
        </w:rPr>
        <w:t xml:space="preserve">who </w:t>
      </w:r>
      <w:r w:rsidR="00094151">
        <w:rPr>
          <w:rFonts w:ascii="Arial" w:hAnsi="Arial" w:cs="Arial"/>
          <w:sz w:val="24"/>
          <w:szCs w:val="24"/>
        </w:rPr>
        <w:t xml:space="preserve">thereafter </w:t>
      </w:r>
      <w:r w:rsidR="00FB4AF0">
        <w:rPr>
          <w:rFonts w:ascii="Arial" w:hAnsi="Arial" w:cs="Arial"/>
          <w:sz w:val="24"/>
          <w:szCs w:val="24"/>
        </w:rPr>
        <w:t xml:space="preserve">completed a minimum of five years continuous </w:t>
      </w:r>
      <w:r w:rsidR="00BA68C1">
        <w:rPr>
          <w:rFonts w:ascii="Arial" w:hAnsi="Arial" w:cs="Arial"/>
          <w:sz w:val="24"/>
          <w:szCs w:val="24"/>
        </w:rPr>
        <w:t>service</w:t>
      </w:r>
      <w:r w:rsidR="00094151">
        <w:rPr>
          <w:rFonts w:ascii="Arial" w:hAnsi="Arial" w:cs="Arial"/>
          <w:sz w:val="24"/>
          <w:szCs w:val="24"/>
        </w:rPr>
        <w:t xml:space="preserve"> </w:t>
      </w:r>
      <w:r w:rsidR="00FB4AF0">
        <w:rPr>
          <w:rFonts w:ascii="Arial" w:hAnsi="Arial" w:cs="Arial"/>
          <w:sz w:val="24"/>
          <w:szCs w:val="24"/>
        </w:rPr>
        <w:t xml:space="preserve">is entitled to bonus leave. </w:t>
      </w:r>
      <w:r w:rsidR="00384F89">
        <w:rPr>
          <w:rFonts w:ascii="Arial" w:hAnsi="Arial" w:cs="Arial"/>
          <w:sz w:val="24"/>
          <w:szCs w:val="24"/>
        </w:rPr>
        <w:t>The word ‘thereafter’</w:t>
      </w:r>
      <w:r w:rsidR="00094151">
        <w:rPr>
          <w:rFonts w:ascii="Arial" w:hAnsi="Arial" w:cs="Arial"/>
          <w:sz w:val="24"/>
          <w:szCs w:val="24"/>
        </w:rPr>
        <w:t xml:space="preserve"> clearly refers to the period following 1 December 2004 and it does not refer to members who were appointed thereafter as proposed by the applicants. The qualifying </w:t>
      </w:r>
      <w:r w:rsidR="00BA68C1">
        <w:rPr>
          <w:rFonts w:ascii="Arial" w:hAnsi="Arial" w:cs="Arial"/>
          <w:sz w:val="24"/>
          <w:szCs w:val="24"/>
        </w:rPr>
        <w:t>phrase still describes</w:t>
      </w:r>
      <w:r w:rsidR="00094151">
        <w:rPr>
          <w:rFonts w:ascii="Arial" w:hAnsi="Arial" w:cs="Arial"/>
          <w:sz w:val="24"/>
          <w:szCs w:val="24"/>
        </w:rPr>
        <w:t xml:space="preserve"> the specific group of members who </w:t>
      </w:r>
      <w:r>
        <w:rPr>
          <w:rFonts w:ascii="Arial" w:hAnsi="Arial" w:cs="Arial"/>
          <w:sz w:val="24"/>
          <w:szCs w:val="24"/>
        </w:rPr>
        <w:t xml:space="preserve">are entitled to </w:t>
      </w:r>
      <w:r w:rsidR="00094151">
        <w:rPr>
          <w:rFonts w:ascii="Arial" w:hAnsi="Arial" w:cs="Arial"/>
          <w:sz w:val="24"/>
          <w:szCs w:val="24"/>
        </w:rPr>
        <w:t>this benefit.</w:t>
      </w:r>
    </w:p>
    <w:p w:rsidR="00094151" w:rsidRDefault="00094151" w:rsidP="008225EE">
      <w:pPr>
        <w:spacing w:after="0" w:line="360" w:lineRule="auto"/>
        <w:jc w:val="both"/>
        <w:rPr>
          <w:rFonts w:ascii="Arial" w:hAnsi="Arial" w:cs="Arial"/>
          <w:sz w:val="24"/>
          <w:szCs w:val="24"/>
        </w:rPr>
      </w:pPr>
    </w:p>
    <w:p w:rsidR="008F6A24" w:rsidRDefault="00094151" w:rsidP="008225EE">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35</w:t>
      </w:r>
      <w:r>
        <w:rPr>
          <w:rFonts w:ascii="Arial" w:hAnsi="Arial" w:cs="Arial"/>
          <w:sz w:val="24"/>
          <w:szCs w:val="24"/>
        </w:rPr>
        <w:t>]</w:t>
      </w:r>
      <w:r>
        <w:rPr>
          <w:rFonts w:ascii="Arial" w:hAnsi="Arial" w:cs="Arial"/>
          <w:sz w:val="24"/>
          <w:szCs w:val="24"/>
        </w:rPr>
        <w:tab/>
        <w:t xml:space="preserve"> The new regulation </w:t>
      </w:r>
      <w:r w:rsidR="00FB4AF0">
        <w:rPr>
          <w:rFonts w:ascii="Arial" w:hAnsi="Arial" w:cs="Arial"/>
          <w:sz w:val="24"/>
          <w:szCs w:val="24"/>
        </w:rPr>
        <w:t xml:space="preserve">contains the same limitation of two five year service period as the old regulation. The literal and grammatical interpretation </w:t>
      </w:r>
      <w:r>
        <w:rPr>
          <w:rFonts w:ascii="Arial" w:hAnsi="Arial" w:cs="Arial"/>
          <w:sz w:val="24"/>
          <w:szCs w:val="24"/>
        </w:rPr>
        <w:t xml:space="preserve">of the new regulation is in fact as proposed by the respondents </w:t>
      </w:r>
      <w:r w:rsidR="000619EE">
        <w:rPr>
          <w:rFonts w:ascii="Arial" w:hAnsi="Arial" w:cs="Arial"/>
          <w:sz w:val="24"/>
          <w:szCs w:val="24"/>
        </w:rPr>
        <w:t>ie</w:t>
      </w:r>
      <w:r>
        <w:rPr>
          <w:rFonts w:ascii="Arial" w:hAnsi="Arial" w:cs="Arial"/>
          <w:sz w:val="24"/>
          <w:szCs w:val="24"/>
        </w:rPr>
        <w:t xml:space="preserve"> </w:t>
      </w:r>
      <w:r w:rsidR="00FB4AF0">
        <w:rPr>
          <w:rFonts w:ascii="Arial" w:hAnsi="Arial" w:cs="Arial"/>
          <w:sz w:val="24"/>
          <w:szCs w:val="24"/>
        </w:rPr>
        <w:t>that those members who were in the service of t</w:t>
      </w:r>
      <w:r w:rsidR="000619EE">
        <w:rPr>
          <w:rFonts w:ascii="Arial" w:hAnsi="Arial" w:cs="Arial"/>
          <w:sz w:val="24"/>
          <w:szCs w:val="24"/>
        </w:rPr>
        <w:t>he Council on 1 December 2004 are</w:t>
      </w:r>
      <w:r w:rsidR="00FB4AF0">
        <w:rPr>
          <w:rFonts w:ascii="Arial" w:hAnsi="Arial" w:cs="Arial"/>
          <w:sz w:val="24"/>
          <w:szCs w:val="24"/>
        </w:rPr>
        <w:t xml:space="preserve"> entitled to bonus leave if they had completed five years of uninterrupted service and </w:t>
      </w:r>
      <w:r>
        <w:rPr>
          <w:rFonts w:ascii="Arial" w:hAnsi="Arial" w:cs="Arial"/>
          <w:sz w:val="24"/>
          <w:szCs w:val="24"/>
        </w:rPr>
        <w:t xml:space="preserve">they would also be entitled to </w:t>
      </w:r>
      <w:r w:rsidR="00FB4AF0">
        <w:rPr>
          <w:rFonts w:ascii="Arial" w:hAnsi="Arial" w:cs="Arial"/>
          <w:sz w:val="24"/>
          <w:szCs w:val="24"/>
        </w:rPr>
        <w:t>a further bonus leav</w:t>
      </w:r>
      <w:r w:rsidR="00384F89">
        <w:rPr>
          <w:rFonts w:ascii="Arial" w:hAnsi="Arial" w:cs="Arial"/>
          <w:sz w:val="24"/>
          <w:szCs w:val="24"/>
        </w:rPr>
        <w:t>e upon completion of a further five</w:t>
      </w:r>
      <w:r w:rsidR="00FB4AF0">
        <w:rPr>
          <w:rFonts w:ascii="Arial" w:hAnsi="Arial" w:cs="Arial"/>
          <w:sz w:val="24"/>
          <w:szCs w:val="24"/>
        </w:rPr>
        <w:t xml:space="preserve"> year continuous </w:t>
      </w:r>
      <w:r w:rsidR="00362CE1">
        <w:rPr>
          <w:rFonts w:ascii="Arial" w:hAnsi="Arial" w:cs="Arial"/>
          <w:sz w:val="24"/>
          <w:szCs w:val="24"/>
        </w:rPr>
        <w:t>service</w:t>
      </w:r>
      <w:r w:rsidR="00FB4AF0">
        <w:rPr>
          <w:rFonts w:ascii="Arial" w:hAnsi="Arial" w:cs="Arial"/>
          <w:sz w:val="24"/>
          <w:szCs w:val="24"/>
        </w:rPr>
        <w:t xml:space="preserve">. These members referred to would therefore have been in the service </w:t>
      </w:r>
      <w:r w:rsidR="00384F89">
        <w:rPr>
          <w:rFonts w:ascii="Arial" w:hAnsi="Arial" w:cs="Arial"/>
          <w:sz w:val="24"/>
          <w:szCs w:val="24"/>
        </w:rPr>
        <w:t>of the Council for a period of nine</w:t>
      </w:r>
      <w:r w:rsidR="00FB4AF0">
        <w:rPr>
          <w:rFonts w:ascii="Arial" w:hAnsi="Arial" w:cs="Arial"/>
          <w:sz w:val="24"/>
          <w:szCs w:val="24"/>
        </w:rPr>
        <w:t xml:space="preserve"> years and four months (</w:t>
      </w:r>
      <w:r w:rsidR="000619EE">
        <w:rPr>
          <w:rFonts w:ascii="Arial" w:hAnsi="Arial" w:cs="Arial"/>
          <w:sz w:val="24"/>
          <w:szCs w:val="24"/>
        </w:rPr>
        <w:t>i</w:t>
      </w:r>
      <w:r w:rsidR="00BA68C1">
        <w:rPr>
          <w:rFonts w:ascii="Arial" w:hAnsi="Arial" w:cs="Arial"/>
          <w:sz w:val="24"/>
          <w:szCs w:val="24"/>
        </w:rPr>
        <w:t>e</w:t>
      </w:r>
      <w:r w:rsidR="00FB4AF0">
        <w:rPr>
          <w:rFonts w:ascii="Arial" w:hAnsi="Arial" w:cs="Arial"/>
          <w:sz w:val="24"/>
          <w:szCs w:val="24"/>
        </w:rPr>
        <w:t xml:space="preserve"> from 1 December 2004 to 1 March</w:t>
      </w:r>
      <w:r>
        <w:rPr>
          <w:rFonts w:ascii="Arial" w:hAnsi="Arial" w:cs="Arial"/>
          <w:sz w:val="24"/>
          <w:szCs w:val="24"/>
        </w:rPr>
        <w:t xml:space="preserve"> 2013). T</w:t>
      </w:r>
      <w:r w:rsidR="006551DB">
        <w:rPr>
          <w:rFonts w:ascii="Arial" w:hAnsi="Arial" w:cs="Arial"/>
          <w:sz w:val="24"/>
          <w:szCs w:val="24"/>
        </w:rPr>
        <w:t xml:space="preserve">hey would therefore have </w:t>
      </w:r>
      <w:r>
        <w:rPr>
          <w:rFonts w:ascii="Arial" w:hAnsi="Arial" w:cs="Arial"/>
          <w:sz w:val="24"/>
          <w:szCs w:val="24"/>
        </w:rPr>
        <w:t>qualif</w:t>
      </w:r>
      <w:r w:rsidR="006551DB">
        <w:rPr>
          <w:rFonts w:ascii="Arial" w:hAnsi="Arial" w:cs="Arial"/>
          <w:sz w:val="24"/>
          <w:szCs w:val="24"/>
        </w:rPr>
        <w:t>ied</w:t>
      </w:r>
      <w:r w:rsidR="000619EE">
        <w:rPr>
          <w:rFonts w:ascii="Arial" w:hAnsi="Arial" w:cs="Arial"/>
          <w:sz w:val="24"/>
          <w:szCs w:val="24"/>
        </w:rPr>
        <w:t xml:space="preserve"> for bonus leave</w:t>
      </w:r>
      <w:r>
        <w:rPr>
          <w:rFonts w:ascii="Arial" w:hAnsi="Arial" w:cs="Arial"/>
          <w:sz w:val="24"/>
          <w:szCs w:val="24"/>
        </w:rPr>
        <w:t xml:space="preserve"> on 1 December 20</w:t>
      </w:r>
      <w:r w:rsidR="006551DB">
        <w:rPr>
          <w:rFonts w:ascii="Arial" w:hAnsi="Arial" w:cs="Arial"/>
          <w:sz w:val="24"/>
          <w:szCs w:val="24"/>
        </w:rPr>
        <w:t>1</w:t>
      </w:r>
      <w:r>
        <w:rPr>
          <w:rFonts w:ascii="Arial" w:hAnsi="Arial" w:cs="Arial"/>
          <w:sz w:val="24"/>
          <w:szCs w:val="24"/>
        </w:rPr>
        <w:t xml:space="preserve">4. </w:t>
      </w:r>
      <w:r w:rsidR="00FB4AF0">
        <w:rPr>
          <w:rFonts w:ascii="Arial" w:hAnsi="Arial" w:cs="Arial"/>
          <w:sz w:val="24"/>
          <w:szCs w:val="24"/>
        </w:rPr>
        <w:t xml:space="preserve"> </w:t>
      </w:r>
    </w:p>
    <w:p w:rsidR="006551DB" w:rsidRDefault="006551DB" w:rsidP="008225EE">
      <w:pPr>
        <w:spacing w:after="0" w:line="360" w:lineRule="auto"/>
        <w:jc w:val="both"/>
        <w:rPr>
          <w:rFonts w:ascii="Arial" w:hAnsi="Arial" w:cs="Arial"/>
          <w:sz w:val="24"/>
          <w:szCs w:val="24"/>
        </w:rPr>
      </w:pPr>
    </w:p>
    <w:p w:rsidR="00BA68C1" w:rsidRDefault="006551DB" w:rsidP="006551DB">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36</w:t>
      </w:r>
      <w:r>
        <w:rPr>
          <w:rFonts w:ascii="Arial" w:hAnsi="Arial" w:cs="Arial"/>
          <w:sz w:val="24"/>
          <w:szCs w:val="24"/>
        </w:rPr>
        <w:t>]</w:t>
      </w:r>
      <w:r>
        <w:rPr>
          <w:rFonts w:ascii="Arial" w:hAnsi="Arial" w:cs="Arial"/>
          <w:sz w:val="24"/>
          <w:szCs w:val="24"/>
        </w:rPr>
        <w:tab/>
        <w:t xml:space="preserve">The new regulation contained a provision which was not in the old regulation. It provides that: </w:t>
      </w:r>
    </w:p>
    <w:p w:rsidR="00BA68C1" w:rsidRDefault="00BA68C1" w:rsidP="006551DB">
      <w:pPr>
        <w:spacing w:after="0" w:line="360" w:lineRule="auto"/>
        <w:jc w:val="both"/>
        <w:rPr>
          <w:rFonts w:ascii="Arial" w:hAnsi="Arial" w:cs="Arial"/>
          <w:sz w:val="24"/>
          <w:szCs w:val="24"/>
        </w:rPr>
      </w:pPr>
    </w:p>
    <w:p w:rsidR="00BA68C1" w:rsidRDefault="00384F89" w:rsidP="00BA68C1">
      <w:pPr>
        <w:spacing w:after="0" w:line="360" w:lineRule="auto"/>
        <w:ind w:firstLine="720"/>
        <w:jc w:val="both"/>
        <w:rPr>
          <w:rFonts w:ascii="Arial" w:hAnsi="Arial" w:cs="Arial"/>
        </w:rPr>
      </w:pPr>
      <w:r>
        <w:rPr>
          <w:rFonts w:ascii="Arial" w:hAnsi="Arial" w:cs="Arial"/>
          <w:sz w:val="24"/>
          <w:szCs w:val="24"/>
        </w:rPr>
        <w:t>‘</w:t>
      </w:r>
      <w:r w:rsidR="006551DB">
        <w:rPr>
          <w:rFonts w:ascii="Arial" w:hAnsi="Arial" w:cs="Arial"/>
          <w:sz w:val="24"/>
          <w:szCs w:val="24"/>
        </w:rPr>
        <w:t xml:space="preserve">… </w:t>
      </w:r>
      <w:r w:rsidR="006551DB" w:rsidRPr="00B5381E">
        <w:rPr>
          <w:rFonts w:ascii="Arial" w:hAnsi="Arial" w:cs="Arial"/>
        </w:rPr>
        <w:t>where after the right to bonus leave lapses</w:t>
      </w:r>
      <w:r>
        <w:rPr>
          <w:rFonts w:ascii="Arial" w:hAnsi="Arial" w:cs="Arial"/>
        </w:rPr>
        <w:t>.’</w:t>
      </w:r>
    </w:p>
    <w:p w:rsidR="00BA68C1" w:rsidRDefault="00BA68C1" w:rsidP="00BA68C1">
      <w:pPr>
        <w:spacing w:after="0" w:line="360" w:lineRule="auto"/>
        <w:ind w:firstLine="720"/>
        <w:jc w:val="both"/>
        <w:rPr>
          <w:rFonts w:ascii="Arial" w:hAnsi="Arial" w:cs="Arial"/>
        </w:rPr>
      </w:pPr>
    </w:p>
    <w:p w:rsidR="00E473A9" w:rsidRPr="00BA68C1" w:rsidRDefault="006551DB" w:rsidP="00384F89">
      <w:pPr>
        <w:spacing w:after="0" w:line="360" w:lineRule="auto"/>
        <w:jc w:val="both"/>
        <w:rPr>
          <w:rFonts w:ascii="Arial" w:hAnsi="Arial" w:cs="Arial"/>
        </w:rPr>
      </w:pPr>
      <w:r>
        <w:rPr>
          <w:rFonts w:ascii="Arial" w:hAnsi="Arial" w:cs="Arial"/>
          <w:sz w:val="24"/>
          <w:szCs w:val="24"/>
        </w:rPr>
        <w:t xml:space="preserve">The clear meaning is that the right to bonus leave is terminated. Given this court’s finding that </w:t>
      </w:r>
      <w:r w:rsidR="002E6866">
        <w:rPr>
          <w:rFonts w:ascii="Arial" w:hAnsi="Arial" w:cs="Arial"/>
          <w:sz w:val="24"/>
          <w:szCs w:val="24"/>
        </w:rPr>
        <w:t>it the benefit is limited to those who were in the employ of the Council on 1 December 2004 it would mean that once those</w:t>
      </w:r>
      <w:r w:rsidR="00384F89">
        <w:rPr>
          <w:rFonts w:ascii="Arial" w:hAnsi="Arial" w:cs="Arial"/>
          <w:sz w:val="24"/>
          <w:szCs w:val="24"/>
        </w:rPr>
        <w:t xml:space="preserve"> members have completed their ten</w:t>
      </w:r>
      <w:r w:rsidR="002E6866">
        <w:rPr>
          <w:rFonts w:ascii="Arial" w:hAnsi="Arial" w:cs="Arial"/>
          <w:sz w:val="24"/>
          <w:szCs w:val="24"/>
        </w:rPr>
        <w:t xml:space="preserve"> years, the benefit of a bonus leave would cease to exist totally. This interpretation would be consistent with </w:t>
      </w:r>
      <w:r w:rsidR="002E6866">
        <w:rPr>
          <w:rFonts w:ascii="Arial" w:hAnsi="Arial" w:cs="Arial"/>
          <w:sz w:val="24"/>
          <w:szCs w:val="24"/>
        </w:rPr>
        <w:lastRenderedPageBreak/>
        <w:t>the rationale that it was introduced to encourage those members who were in service at the time, to remain in ser</w:t>
      </w:r>
      <w:r w:rsidR="00384F89">
        <w:rPr>
          <w:rFonts w:ascii="Arial" w:hAnsi="Arial" w:cs="Arial"/>
          <w:sz w:val="24"/>
          <w:szCs w:val="24"/>
        </w:rPr>
        <w:t>vice for a period of at least ten</w:t>
      </w:r>
      <w:r w:rsidR="002E6866">
        <w:rPr>
          <w:rFonts w:ascii="Arial" w:hAnsi="Arial" w:cs="Arial"/>
          <w:sz w:val="24"/>
          <w:szCs w:val="24"/>
        </w:rPr>
        <w:t xml:space="preserve"> years.</w:t>
      </w:r>
    </w:p>
    <w:p w:rsidR="00C70AE1" w:rsidRDefault="00C70AE1" w:rsidP="008722F5">
      <w:pPr>
        <w:spacing w:after="0" w:line="360" w:lineRule="auto"/>
        <w:jc w:val="both"/>
        <w:rPr>
          <w:rFonts w:ascii="Arial" w:hAnsi="Arial" w:cs="Arial"/>
          <w:i/>
          <w:sz w:val="24"/>
          <w:szCs w:val="24"/>
        </w:rPr>
      </w:pPr>
    </w:p>
    <w:p w:rsidR="00BA68C1" w:rsidRDefault="004825FD" w:rsidP="008722F5">
      <w:pPr>
        <w:spacing w:after="0" w:line="360" w:lineRule="auto"/>
        <w:jc w:val="both"/>
        <w:rPr>
          <w:rFonts w:ascii="Arial" w:hAnsi="Arial" w:cs="Arial"/>
          <w:i/>
          <w:sz w:val="24"/>
          <w:szCs w:val="24"/>
        </w:rPr>
      </w:pPr>
      <w:r w:rsidRPr="00362CE1">
        <w:rPr>
          <w:rFonts w:ascii="Arial" w:hAnsi="Arial" w:cs="Arial"/>
          <w:i/>
          <w:sz w:val="24"/>
          <w:szCs w:val="24"/>
        </w:rPr>
        <w:t>Regulation 37 (11)</w:t>
      </w:r>
    </w:p>
    <w:p w:rsidR="00C70AE1" w:rsidRPr="0096064E" w:rsidRDefault="00C70AE1" w:rsidP="008722F5">
      <w:pPr>
        <w:spacing w:after="0" w:line="360" w:lineRule="auto"/>
        <w:jc w:val="both"/>
        <w:rPr>
          <w:rFonts w:ascii="Arial" w:hAnsi="Arial" w:cs="Arial"/>
          <w:i/>
          <w:sz w:val="24"/>
          <w:szCs w:val="24"/>
        </w:rPr>
      </w:pPr>
    </w:p>
    <w:p w:rsidR="008722F5" w:rsidRDefault="008722F5" w:rsidP="008722F5">
      <w:pPr>
        <w:spacing w:after="0" w:line="360" w:lineRule="auto"/>
        <w:jc w:val="both"/>
        <w:rPr>
          <w:rFonts w:ascii="Arial" w:hAnsi="Arial" w:cs="Arial"/>
          <w:sz w:val="24"/>
          <w:szCs w:val="24"/>
          <w:lang w:val="en-ZA"/>
        </w:rPr>
      </w:pPr>
      <w:r>
        <w:rPr>
          <w:rFonts w:ascii="Arial" w:hAnsi="Arial" w:cs="Arial"/>
          <w:sz w:val="24"/>
          <w:szCs w:val="24"/>
        </w:rPr>
        <w:t>[</w:t>
      </w:r>
      <w:r w:rsidR="00F021DD">
        <w:rPr>
          <w:rFonts w:ascii="Arial" w:hAnsi="Arial" w:cs="Arial"/>
          <w:sz w:val="24"/>
          <w:szCs w:val="24"/>
        </w:rPr>
        <w:t>37</w:t>
      </w:r>
      <w:r>
        <w:rPr>
          <w:rFonts w:ascii="Arial" w:hAnsi="Arial" w:cs="Arial"/>
          <w:sz w:val="24"/>
          <w:szCs w:val="24"/>
        </w:rPr>
        <w:t>]</w:t>
      </w:r>
      <w:r>
        <w:rPr>
          <w:rFonts w:ascii="Arial" w:hAnsi="Arial" w:cs="Arial"/>
          <w:sz w:val="24"/>
          <w:szCs w:val="24"/>
        </w:rPr>
        <w:tab/>
        <w:t xml:space="preserve">Regulation 37(11) </w:t>
      </w:r>
      <w:r>
        <w:rPr>
          <w:rFonts w:ascii="Arial" w:hAnsi="Arial" w:cs="Arial"/>
          <w:sz w:val="24"/>
          <w:szCs w:val="24"/>
          <w:lang w:val="en-ZA"/>
        </w:rPr>
        <w:t>reads as follow:</w:t>
      </w:r>
    </w:p>
    <w:p w:rsidR="003D3EAA" w:rsidRDefault="003D3EAA" w:rsidP="008722F5">
      <w:pPr>
        <w:spacing w:after="0" w:line="360" w:lineRule="auto"/>
        <w:jc w:val="both"/>
        <w:rPr>
          <w:rFonts w:ascii="Arial" w:hAnsi="Arial" w:cs="Arial"/>
          <w:sz w:val="24"/>
          <w:szCs w:val="24"/>
          <w:lang w:val="en-ZA"/>
        </w:rPr>
      </w:pPr>
    </w:p>
    <w:p w:rsidR="008722F5" w:rsidRPr="003D3EAA" w:rsidRDefault="008722F5" w:rsidP="008722F5">
      <w:pPr>
        <w:spacing w:after="0" w:line="360" w:lineRule="auto"/>
        <w:jc w:val="both"/>
        <w:rPr>
          <w:rFonts w:ascii="Arial" w:hAnsi="Arial" w:cs="Arial"/>
          <w:lang w:val="en-ZA"/>
        </w:rPr>
      </w:pPr>
      <w:r>
        <w:rPr>
          <w:rFonts w:ascii="Arial" w:hAnsi="Arial" w:cs="Arial"/>
          <w:sz w:val="24"/>
          <w:szCs w:val="24"/>
          <w:lang w:val="en-ZA"/>
        </w:rPr>
        <w:tab/>
      </w:r>
      <w:r w:rsidRPr="003D3EAA">
        <w:rPr>
          <w:rFonts w:ascii="Arial" w:hAnsi="Arial" w:cs="Arial"/>
          <w:lang w:val="en-ZA"/>
        </w:rPr>
        <w:t xml:space="preserve">‘(11) Bonus leave which has accumulated under the former conditions of service is deemed to have accumulated for calculation purposes as continuous service in accordance with these regulations, but a member who has not yet accrued five years continuous service at the date the regulations are repealed, such pro rata years of service before such date, are added proportionately to the years of services that follows the date of repeal, for entitlement as the first term bonus leave and thereafter for one more five year service period, but only to a maximum of two five </w:t>
      </w:r>
      <w:r w:rsidR="00BA68C1" w:rsidRPr="003D3EAA">
        <w:rPr>
          <w:rFonts w:ascii="Arial" w:hAnsi="Arial" w:cs="Arial"/>
          <w:lang w:val="en-ZA"/>
        </w:rPr>
        <w:t>years’ service</w:t>
      </w:r>
      <w:r w:rsidRPr="003D3EAA">
        <w:rPr>
          <w:rFonts w:ascii="Arial" w:hAnsi="Arial" w:cs="Arial"/>
          <w:lang w:val="en-ZA"/>
        </w:rPr>
        <w:t xml:space="preserve"> periods. ‘</w:t>
      </w:r>
    </w:p>
    <w:p w:rsidR="008722F5" w:rsidRDefault="008722F5" w:rsidP="006551DB">
      <w:pPr>
        <w:spacing w:after="0" w:line="360" w:lineRule="auto"/>
        <w:jc w:val="both"/>
        <w:rPr>
          <w:rFonts w:ascii="Arial" w:hAnsi="Arial" w:cs="Arial"/>
          <w:sz w:val="24"/>
          <w:szCs w:val="24"/>
        </w:rPr>
      </w:pPr>
    </w:p>
    <w:p w:rsidR="002E6866" w:rsidRDefault="002E6866" w:rsidP="006551DB">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38</w:t>
      </w:r>
      <w:r>
        <w:rPr>
          <w:rFonts w:ascii="Arial" w:hAnsi="Arial" w:cs="Arial"/>
          <w:sz w:val="24"/>
          <w:szCs w:val="24"/>
        </w:rPr>
        <w:t>]</w:t>
      </w:r>
      <w:r>
        <w:rPr>
          <w:rFonts w:ascii="Arial" w:hAnsi="Arial" w:cs="Arial"/>
          <w:sz w:val="24"/>
          <w:szCs w:val="24"/>
        </w:rPr>
        <w:tab/>
      </w:r>
      <w:r w:rsidR="004825FD">
        <w:rPr>
          <w:rFonts w:ascii="Arial" w:hAnsi="Arial" w:cs="Arial"/>
          <w:sz w:val="24"/>
          <w:szCs w:val="24"/>
        </w:rPr>
        <w:t>I</w:t>
      </w:r>
      <w:r>
        <w:rPr>
          <w:rFonts w:ascii="Arial" w:hAnsi="Arial" w:cs="Arial"/>
          <w:sz w:val="24"/>
          <w:szCs w:val="24"/>
        </w:rPr>
        <w:t xml:space="preserve">nterpreting </w:t>
      </w:r>
      <w:r w:rsidR="00384F89">
        <w:rPr>
          <w:rFonts w:ascii="Arial" w:hAnsi="Arial" w:cs="Arial"/>
          <w:sz w:val="24"/>
          <w:szCs w:val="24"/>
        </w:rPr>
        <w:t>r</w:t>
      </w:r>
      <w:r w:rsidR="004825FD">
        <w:rPr>
          <w:rFonts w:ascii="Arial" w:hAnsi="Arial" w:cs="Arial"/>
          <w:sz w:val="24"/>
          <w:szCs w:val="24"/>
        </w:rPr>
        <w:t xml:space="preserve">egulation 37(1) </w:t>
      </w:r>
      <w:r>
        <w:rPr>
          <w:rFonts w:ascii="Arial" w:hAnsi="Arial" w:cs="Arial"/>
          <w:sz w:val="24"/>
          <w:szCs w:val="24"/>
        </w:rPr>
        <w:t xml:space="preserve">to only include those limited number of members </w:t>
      </w:r>
      <w:r w:rsidR="004825FD">
        <w:rPr>
          <w:rFonts w:ascii="Arial" w:hAnsi="Arial" w:cs="Arial"/>
          <w:sz w:val="24"/>
          <w:szCs w:val="24"/>
        </w:rPr>
        <w:t xml:space="preserve">who were in service on 1 December 2001 </w:t>
      </w:r>
      <w:r>
        <w:rPr>
          <w:rFonts w:ascii="Arial" w:hAnsi="Arial" w:cs="Arial"/>
          <w:sz w:val="24"/>
          <w:szCs w:val="24"/>
        </w:rPr>
        <w:t xml:space="preserve">would make total sense </w:t>
      </w:r>
      <w:r w:rsidR="00384F89">
        <w:rPr>
          <w:rFonts w:ascii="Arial" w:hAnsi="Arial" w:cs="Arial"/>
          <w:sz w:val="24"/>
          <w:szCs w:val="24"/>
        </w:rPr>
        <w:t>if it was not for r</w:t>
      </w:r>
      <w:r w:rsidR="0096064E">
        <w:rPr>
          <w:rFonts w:ascii="Arial" w:hAnsi="Arial" w:cs="Arial"/>
          <w:sz w:val="24"/>
          <w:szCs w:val="24"/>
        </w:rPr>
        <w:t>egulation 37</w:t>
      </w:r>
      <w:r>
        <w:rPr>
          <w:rFonts w:ascii="Arial" w:hAnsi="Arial" w:cs="Arial"/>
          <w:sz w:val="24"/>
          <w:szCs w:val="24"/>
        </w:rPr>
        <w:t xml:space="preserve">(11). </w:t>
      </w:r>
      <w:r w:rsidR="004C2AF2">
        <w:rPr>
          <w:rFonts w:ascii="Arial" w:hAnsi="Arial" w:cs="Arial"/>
          <w:sz w:val="24"/>
          <w:szCs w:val="24"/>
        </w:rPr>
        <w:t>Mr Chibwana once again correctly identif</w:t>
      </w:r>
      <w:r w:rsidR="00384F89">
        <w:rPr>
          <w:rFonts w:ascii="Arial" w:hAnsi="Arial" w:cs="Arial"/>
          <w:sz w:val="24"/>
          <w:szCs w:val="24"/>
        </w:rPr>
        <w:t>ied the conundrum contained in r</w:t>
      </w:r>
      <w:r w:rsidR="004C2AF2">
        <w:rPr>
          <w:rFonts w:ascii="Arial" w:hAnsi="Arial" w:cs="Arial"/>
          <w:sz w:val="24"/>
          <w:szCs w:val="24"/>
        </w:rPr>
        <w:t xml:space="preserve">egulation 37(11). </w:t>
      </w:r>
      <w:r w:rsidR="001E2783">
        <w:rPr>
          <w:rFonts w:ascii="Arial" w:hAnsi="Arial" w:cs="Arial"/>
          <w:sz w:val="24"/>
          <w:szCs w:val="24"/>
        </w:rPr>
        <w:t>It provides as follow:</w:t>
      </w:r>
    </w:p>
    <w:p w:rsidR="004C2AF2" w:rsidRDefault="004C2AF2" w:rsidP="006551DB">
      <w:pPr>
        <w:spacing w:after="0" w:line="360" w:lineRule="auto"/>
        <w:jc w:val="both"/>
        <w:rPr>
          <w:rFonts w:ascii="Arial" w:hAnsi="Arial" w:cs="Arial"/>
          <w:sz w:val="24"/>
          <w:szCs w:val="24"/>
        </w:rPr>
      </w:pPr>
    </w:p>
    <w:p w:rsidR="002E6866" w:rsidRDefault="004C2AF2" w:rsidP="004C2AF2">
      <w:pPr>
        <w:spacing w:after="0" w:line="360" w:lineRule="auto"/>
        <w:ind w:firstLine="720"/>
        <w:jc w:val="both"/>
        <w:rPr>
          <w:rFonts w:ascii="Arial" w:hAnsi="Arial" w:cs="Arial"/>
          <w:sz w:val="24"/>
          <w:szCs w:val="24"/>
        </w:rPr>
      </w:pPr>
      <w:r>
        <w:rPr>
          <w:rFonts w:ascii="Arial" w:hAnsi="Arial" w:cs="Arial"/>
          <w:lang w:val="en-ZA"/>
        </w:rPr>
        <w:t>‘…</w:t>
      </w:r>
      <w:r w:rsidRPr="0045399D">
        <w:rPr>
          <w:rFonts w:ascii="Arial" w:hAnsi="Arial" w:cs="Arial"/>
          <w:lang w:val="en-ZA"/>
        </w:rPr>
        <w:t xml:space="preserve">, but a member who has </w:t>
      </w:r>
      <w:r w:rsidRPr="004C2AF2">
        <w:rPr>
          <w:rFonts w:ascii="Arial" w:hAnsi="Arial" w:cs="Arial"/>
          <w:u w:val="single"/>
          <w:lang w:val="en-ZA"/>
        </w:rPr>
        <w:t>not yet accrued five years continuous service at the date the regulations are repealed</w:t>
      </w:r>
      <w:r w:rsidRPr="0045399D">
        <w:rPr>
          <w:rFonts w:ascii="Arial" w:hAnsi="Arial" w:cs="Arial"/>
          <w:lang w:val="en-ZA"/>
        </w:rPr>
        <w:t>, such pro rata years of service before such date, are added p</w:t>
      </w:r>
      <w:r>
        <w:rPr>
          <w:rFonts w:ascii="Arial" w:hAnsi="Arial" w:cs="Arial"/>
          <w:lang w:val="en-ZA"/>
        </w:rPr>
        <w:t>ro</w:t>
      </w:r>
      <w:r w:rsidRPr="0045399D">
        <w:rPr>
          <w:rFonts w:ascii="Arial" w:hAnsi="Arial" w:cs="Arial"/>
          <w:lang w:val="en-ZA"/>
        </w:rPr>
        <w:t xml:space="preserve">portionately to the years of services that follows the date of repeal, for entitlement as </w:t>
      </w:r>
      <w:r w:rsidRPr="002D4C48">
        <w:rPr>
          <w:rFonts w:ascii="Arial" w:hAnsi="Arial" w:cs="Arial"/>
          <w:u w:val="single"/>
          <w:lang w:val="en-ZA"/>
        </w:rPr>
        <w:t>the first term bonus leave</w:t>
      </w:r>
      <w:r w:rsidRPr="0045399D">
        <w:rPr>
          <w:rFonts w:ascii="Arial" w:hAnsi="Arial" w:cs="Arial"/>
          <w:lang w:val="en-ZA"/>
        </w:rPr>
        <w:t xml:space="preserve"> and thereafter for one more five year service period,</w:t>
      </w:r>
      <w:r w:rsidR="00384F89">
        <w:rPr>
          <w:rFonts w:ascii="Arial" w:hAnsi="Arial" w:cs="Arial"/>
          <w:lang w:val="en-ZA"/>
        </w:rPr>
        <w:t>…’ [own</w:t>
      </w:r>
      <w:r>
        <w:rPr>
          <w:rFonts w:ascii="Arial" w:hAnsi="Arial" w:cs="Arial"/>
          <w:lang w:val="en-ZA"/>
        </w:rPr>
        <w:t xml:space="preserve"> emphasis]</w:t>
      </w:r>
    </w:p>
    <w:p w:rsidR="006551DB" w:rsidRPr="006551DB" w:rsidRDefault="002E6866" w:rsidP="006551DB">
      <w:pPr>
        <w:spacing w:after="0" w:line="360" w:lineRule="auto"/>
        <w:jc w:val="both"/>
        <w:rPr>
          <w:rFonts w:ascii="Arial" w:hAnsi="Arial" w:cs="Arial"/>
          <w:sz w:val="24"/>
          <w:szCs w:val="24"/>
        </w:rPr>
      </w:pPr>
      <w:r>
        <w:rPr>
          <w:rFonts w:ascii="Arial" w:hAnsi="Arial" w:cs="Arial"/>
          <w:sz w:val="24"/>
          <w:szCs w:val="24"/>
        </w:rPr>
        <w:t xml:space="preserve"> </w:t>
      </w:r>
    </w:p>
    <w:p w:rsidR="002D4C48" w:rsidRDefault="004C2AF2" w:rsidP="008225EE">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39</w:t>
      </w:r>
      <w:r>
        <w:rPr>
          <w:rFonts w:ascii="Arial" w:hAnsi="Arial" w:cs="Arial"/>
          <w:sz w:val="24"/>
          <w:szCs w:val="24"/>
        </w:rPr>
        <w:t>]</w:t>
      </w:r>
      <w:r>
        <w:rPr>
          <w:rFonts w:ascii="Arial" w:hAnsi="Arial" w:cs="Arial"/>
          <w:sz w:val="24"/>
          <w:szCs w:val="24"/>
        </w:rPr>
        <w:tab/>
        <w:t>This sub-regulation provides for yet another category of members which could not possibl</w:t>
      </w:r>
      <w:r w:rsidR="001E2783">
        <w:rPr>
          <w:rFonts w:ascii="Arial" w:hAnsi="Arial" w:cs="Arial"/>
          <w:sz w:val="24"/>
          <w:szCs w:val="24"/>
        </w:rPr>
        <w:t>y</w:t>
      </w:r>
      <w:r>
        <w:rPr>
          <w:rFonts w:ascii="Arial" w:hAnsi="Arial" w:cs="Arial"/>
          <w:sz w:val="24"/>
          <w:szCs w:val="24"/>
        </w:rPr>
        <w:t xml:space="preserve"> be the same as those members who w</w:t>
      </w:r>
      <w:r w:rsidR="001E2783">
        <w:rPr>
          <w:rFonts w:ascii="Arial" w:hAnsi="Arial" w:cs="Arial"/>
          <w:sz w:val="24"/>
          <w:szCs w:val="24"/>
        </w:rPr>
        <w:t>ere</w:t>
      </w:r>
      <w:r w:rsidR="000619EE">
        <w:rPr>
          <w:rFonts w:ascii="Arial" w:hAnsi="Arial" w:cs="Arial"/>
          <w:sz w:val="24"/>
          <w:szCs w:val="24"/>
        </w:rPr>
        <w:t xml:space="preserve"> in service on 1 December </w:t>
      </w:r>
      <w:r>
        <w:rPr>
          <w:rFonts w:ascii="Arial" w:hAnsi="Arial" w:cs="Arial"/>
          <w:sz w:val="24"/>
          <w:szCs w:val="24"/>
        </w:rPr>
        <w:t xml:space="preserve">2004. Those members would at the date of repeal </w:t>
      </w:r>
      <w:r w:rsidR="000619EE">
        <w:rPr>
          <w:rFonts w:ascii="Arial" w:hAnsi="Arial" w:cs="Arial"/>
          <w:sz w:val="24"/>
          <w:szCs w:val="24"/>
        </w:rPr>
        <w:t>ie</w:t>
      </w:r>
      <w:r>
        <w:rPr>
          <w:rFonts w:ascii="Arial" w:hAnsi="Arial" w:cs="Arial"/>
          <w:sz w:val="24"/>
          <w:szCs w:val="24"/>
        </w:rPr>
        <w:t xml:space="preserve"> 1 March 2013</w:t>
      </w:r>
      <w:r w:rsidR="000619EE">
        <w:rPr>
          <w:rFonts w:ascii="Arial" w:hAnsi="Arial" w:cs="Arial"/>
          <w:sz w:val="24"/>
          <w:szCs w:val="24"/>
        </w:rPr>
        <w:t>,</w:t>
      </w:r>
      <w:r>
        <w:rPr>
          <w:rFonts w:ascii="Arial" w:hAnsi="Arial" w:cs="Arial"/>
          <w:sz w:val="24"/>
          <w:szCs w:val="24"/>
        </w:rPr>
        <w:t xml:space="preserve"> have already accrued </w:t>
      </w:r>
      <w:r w:rsidR="001E2783">
        <w:rPr>
          <w:rFonts w:ascii="Arial" w:hAnsi="Arial" w:cs="Arial"/>
          <w:sz w:val="24"/>
          <w:szCs w:val="24"/>
        </w:rPr>
        <w:t xml:space="preserve">the first </w:t>
      </w:r>
      <w:r>
        <w:rPr>
          <w:rFonts w:ascii="Arial" w:hAnsi="Arial" w:cs="Arial"/>
          <w:sz w:val="24"/>
          <w:szCs w:val="24"/>
        </w:rPr>
        <w:t>five years continuous service on 1 December 2009</w:t>
      </w:r>
      <w:r w:rsidR="001E2783">
        <w:rPr>
          <w:rFonts w:ascii="Arial" w:hAnsi="Arial" w:cs="Arial"/>
          <w:sz w:val="24"/>
          <w:szCs w:val="24"/>
        </w:rPr>
        <w:t xml:space="preserve"> and their second bonus leave would</w:t>
      </w:r>
      <w:r w:rsidR="000619EE">
        <w:rPr>
          <w:rFonts w:ascii="Arial" w:hAnsi="Arial" w:cs="Arial"/>
          <w:sz w:val="24"/>
          <w:szCs w:val="24"/>
        </w:rPr>
        <w:t xml:space="preserve"> have accrued on 1 December 2014</w:t>
      </w:r>
      <w:r>
        <w:rPr>
          <w:rFonts w:ascii="Arial" w:hAnsi="Arial" w:cs="Arial"/>
          <w:sz w:val="24"/>
          <w:szCs w:val="24"/>
        </w:rPr>
        <w:t>. The members referred to herein can only mean those who were appointed less than five y</w:t>
      </w:r>
      <w:r w:rsidR="001E2783">
        <w:rPr>
          <w:rFonts w:ascii="Arial" w:hAnsi="Arial" w:cs="Arial"/>
          <w:sz w:val="24"/>
          <w:szCs w:val="24"/>
        </w:rPr>
        <w:t>ears before the date of repeal.</w:t>
      </w:r>
      <w:r w:rsidR="002D4C48">
        <w:rPr>
          <w:rFonts w:ascii="Arial" w:hAnsi="Arial" w:cs="Arial"/>
          <w:sz w:val="24"/>
          <w:szCs w:val="24"/>
        </w:rPr>
        <w:t xml:space="preserve"> </w:t>
      </w:r>
      <w:r w:rsidR="00384F89">
        <w:rPr>
          <w:rFonts w:ascii="Arial" w:hAnsi="Arial" w:cs="Arial"/>
          <w:sz w:val="24"/>
          <w:szCs w:val="24"/>
        </w:rPr>
        <w:t>The logical conclusion is that r</w:t>
      </w:r>
      <w:r w:rsidR="001E2783">
        <w:rPr>
          <w:rFonts w:ascii="Arial" w:hAnsi="Arial" w:cs="Arial"/>
          <w:sz w:val="24"/>
          <w:szCs w:val="24"/>
        </w:rPr>
        <w:t xml:space="preserve">egulation 37(11) </w:t>
      </w:r>
      <w:r w:rsidR="002D4C48">
        <w:rPr>
          <w:rFonts w:ascii="Arial" w:hAnsi="Arial" w:cs="Arial"/>
          <w:sz w:val="24"/>
          <w:szCs w:val="24"/>
        </w:rPr>
        <w:t xml:space="preserve">makes reference to those </w:t>
      </w:r>
      <w:r w:rsidR="001E2783">
        <w:rPr>
          <w:rFonts w:ascii="Arial" w:hAnsi="Arial" w:cs="Arial"/>
          <w:sz w:val="24"/>
          <w:szCs w:val="24"/>
        </w:rPr>
        <w:t xml:space="preserve">members </w:t>
      </w:r>
      <w:r w:rsidR="002D4C48">
        <w:rPr>
          <w:rFonts w:ascii="Arial" w:hAnsi="Arial" w:cs="Arial"/>
          <w:sz w:val="24"/>
          <w:szCs w:val="24"/>
        </w:rPr>
        <w:t xml:space="preserve">who has been in service after </w:t>
      </w:r>
      <w:r w:rsidR="002D4C48">
        <w:rPr>
          <w:rFonts w:ascii="Arial" w:hAnsi="Arial" w:cs="Arial"/>
          <w:sz w:val="24"/>
          <w:szCs w:val="24"/>
        </w:rPr>
        <w:lastRenderedPageBreak/>
        <w:t xml:space="preserve">the date of 1 December 2004 but before the date the regulations were repealed. </w:t>
      </w:r>
      <w:r>
        <w:rPr>
          <w:rFonts w:ascii="Arial" w:hAnsi="Arial" w:cs="Arial"/>
          <w:sz w:val="24"/>
          <w:szCs w:val="24"/>
        </w:rPr>
        <w:t xml:space="preserve"> </w:t>
      </w:r>
      <w:r w:rsidR="002D4C48">
        <w:rPr>
          <w:rFonts w:ascii="Arial" w:hAnsi="Arial" w:cs="Arial"/>
          <w:sz w:val="24"/>
          <w:szCs w:val="24"/>
        </w:rPr>
        <w:t>Although thi</w:t>
      </w:r>
      <w:r w:rsidR="00384F89">
        <w:rPr>
          <w:rFonts w:ascii="Arial" w:hAnsi="Arial" w:cs="Arial"/>
          <w:sz w:val="24"/>
          <w:szCs w:val="24"/>
        </w:rPr>
        <w:t>s regulation goes further than r</w:t>
      </w:r>
      <w:r w:rsidR="002D4C48">
        <w:rPr>
          <w:rFonts w:ascii="Arial" w:hAnsi="Arial" w:cs="Arial"/>
          <w:sz w:val="24"/>
          <w:szCs w:val="24"/>
        </w:rPr>
        <w:t xml:space="preserve">egulation 37(1), it still does not make provision for those members who were appointed after 1 March 2013 </w:t>
      </w:r>
      <w:r w:rsidR="00BA68C1">
        <w:rPr>
          <w:rFonts w:ascii="Arial" w:hAnsi="Arial" w:cs="Arial"/>
          <w:sz w:val="24"/>
          <w:szCs w:val="24"/>
        </w:rPr>
        <w:t>i.e.</w:t>
      </w:r>
      <w:r w:rsidR="002D4C48">
        <w:rPr>
          <w:rFonts w:ascii="Arial" w:hAnsi="Arial" w:cs="Arial"/>
          <w:sz w:val="24"/>
          <w:szCs w:val="24"/>
        </w:rPr>
        <w:t xml:space="preserve"> the applicants herein.</w:t>
      </w:r>
    </w:p>
    <w:p w:rsidR="002D4C48" w:rsidRPr="00C70AE1" w:rsidRDefault="002D4C48" w:rsidP="008225EE">
      <w:pPr>
        <w:spacing w:after="0" w:line="360" w:lineRule="auto"/>
        <w:jc w:val="both"/>
        <w:rPr>
          <w:rFonts w:ascii="Arial" w:hAnsi="Arial" w:cs="Arial"/>
          <w:sz w:val="24"/>
          <w:szCs w:val="24"/>
        </w:rPr>
      </w:pPr>
    </w:p>
    <w:p w:rsidR="006551DB" w:rsidRPr="00C70AE1" w:rsidRDefault="002D4C48" w:rsidP="008225EE">
      <w:pPr>
        <w:spacing w:after="0" w:line="360" w:lineRule="auto"/>
        <w:jc w:val="both"/>
        <w:rPr>
          <w:rFonts w:ascii="Arial" w:hAnsi="Arial" w:cs="Arial"/>
          <w:sz w:val="24"/>
          <w:szCs w:val="24"/>
        </w:rPr>
      </w:pPr>
      <w:r w:rsidRPr="00C70AE1">
        <w:rPr>
          <w:rFonts w:ascii="Arial" w:hAnsi="Arial" w:cs="Arial"/>
          <w:sz w:val="24"/>
          <w:szCs w:val="24"/>
        </w:rPr>
        <w:t>[</w:t>
      </w:r>
      <w:r w:rsidR="00F021DD" w:rsidRPr="00C70AE1">
        <w:rPr>
          <w:rFonts w:ascii="Arial" w:hAnsi="Arial" w:cs="Arial"/>
          <w:sz w:val="24"/>
          <w:szCs w:val="24"/>
        </w:rPr>
        <w:t>40</w:t>
      </w:r>
      <w:r w:rsidRPr="00C70AE1">
        <w:rPr>
          <w:rFonts w:ascii="Arial" w:hAnsi="Arial" w:cs="Arial"/>
          <w:sz w:val="24"/>
          <w:szCs w:val="24"/>
        </w:rPr>
        <w:t>]</w:t>
      </w:r>
      <w:r w:rsidRPr="00C70AE1">
        <w:rPr>
          <w:rFonts w:ascii="Arial" w:hAnsi="Arial" w:cs="Arial"/>
          <w:sz w:val="24"/>
          <w:szCs w:val="24"/>
        </w:rPr>
        <w:tab/>
        <w:t xml:space="preserve">The court is reminded of the following dicta in </w:t>
      </w:r>
      <w:r w:rsidR="00A43432" w:rsidRPr="00C70AE1">
        <w:rPr>
          <w:rFonts w:ascii="Arial" w:hAnsi="Arial" w:cs="Arial"/>
          <w:i/>
          <w:sz w:val="24"/>
          <w:szCs w:val="24"/>
        </w:rPr>
        <w:t>Ohorongoro Cement</w:t>
      </w:r>
      <w:r w:rsidR="00C70AE1">
        <w:rPr>
          <w:rStyle w:val="FootnoteReference"/>
          <w:rFonts w:ascii="Arial" w:hAnsi="Arial" w:cs="Arial"/>
          <w:i/>
          <w:sz w:val="24"/>
          <w:szCs w:val="24"/>
        </w:rPr>
        <w:footnoteReference w:id="8"/>
      </w:r>
      <w:r w:rsidR="00A43432" w:rsidRPr="00C70AE1">
        <w:rPr>
          <w:rFonts w:ascii="Arial" w:hAnsi="Arial" w:cs="Arial"/>
          <w:i/>
          <w:sz w:val="24"/>
          <w:szCs w:val="24"/>
        </w:rPr>
        <w:t xml:space="preserve"> </w:t>
      </w:r>
      <w:r w:rsidR="00A43432" w:rsidRPr="00C70AE1">
        <w:rPr>
          <w:rFonts w:ascii="Arial" w:hAnsi="Arial" w:cs="Arial"/>
          <w:sz w:val="24"/>
          <w:szCs w:val="24"/>
        </w:rPr>
        <w:t>matter</w:t>
      </w:r>
      <w:r w:rsidR="000619EE">
        <w:rPr>
          <w:rFonts w:ascii="Arial" w:hAnsi="Arial" w:cs="Arial"/>
          <w:sz w:val="24"/>
          <w:szCs w:val="24"/>
        </w:rPr>
        <w:t xml:space="preserve"> supra</w:t>
      </w:r>
      <w:r w:rsidR="00A43432" w:rsidRPr="00C70AE1">
        <w:rPr>
          <w:rFonts w:ascii="Arial" w:hAnsi="Arial" w:cs="Arial"/>
          <w:sz w:val="24"/>
          <w:szCs w:val="24"/>
        </w:rPr>
        <w:t>:</w:t>
      </w:r>
    </w:p>
    <w:p w:rsidR="008E5C0F" w:rsidRDefault="008E5C0F" w:rsidP="008225EE">
      <w:pPr>
        <w:spacing w:after="0" w:line="360" w:lineRule="auto"/>
        <w:jc w:val="both"/>
        <w:rPr>
          <w:rFonts w:ascii="Arial" w:hAnsi="Arial" w:cs="Arial"/>
          <w:sz w:val="24"/>
          <w:szCs w:val="24"/>
        </w:rPr>
      </w:pPr>
    </w:p>
    <w:p w:rsidR="00A43432" w:rsidRPr="00281639" w:rsidRDefault="00A43432" w:rsidP="00A43432">
      <w:pPr>
        <w:spacing w:after="0" w:line="360" w:lineRule="auto"/>
        <w:jc w:val="both"/>
        <w:rPr>
          <w:rFonts w:ascii="Arial" w:hAnsi="Arial" w:cs="Arial"/>
        </w:rPr>
      </w:pPr>
      <w:r>
        <w:rPr>
          <w:rFonts w:ascii="Arial" w:hAnsi="Arial" w:cs="Arial"/>
          <w:sz w:val="24"/>
          <w:szCs w:val="24"/>
        </w:rPr>
        <w:tab/>
      </w:r>
      <w:r w:rsidRPr="00281639">
        <w:rPr>
          <w:rFonts w:ascii="Arial" w:hAnsi="Arial" w:cs="Arial"/>
        </w:rPr>
        <w:t xml:space="preserve">‘[51] Furthermore, when interpreting legislation, the court </w:t>
      </w:r>
      <w:r w:rsidRPr="001E2783">
        <w:rPr>
          <w:rFonts w:ascii="Arial" w:hAnsi="Arial" w:cs="Arial"/>
          <w:u w:val="single"/>
        </w:rPr>
        <w:t>must assume that the legislature is consistent with itself</w:t>
      </w:r>
      <w:r w:rsidRPr="00281639">
        <w:rPr>
          <w:rFonts w:ascii="Arial" w:hAnsi="Arial" w:cs="Arial"/>
        </w:rPr>
        <w:t xml:space="preserve"> and therefore, the provisions of the same Act </w:t>
      </w:r>
      <w:r w:rsidRPr="001E2783">
        <w:rPr>
          <w:rFonts w:ascii="Arial" w:hAnsi="Arial" w:cs="Arial"/>
          <w:u w:val="single"/>
        </w:rPr>
        <w:t>are concurrently operational unless there is an irreconcilable conflict between the two provisions.</w:t>
      </w:r>
      <w:r w:rsidRPr="00281639">
        <w:rPr>
          <w:rFonts w:ascii="Arial" w:hAnsi="Arial" w:cs="Arial"/>
        </w:rPr>
        <w:t xml:space="preserve"> An irreconcilable conflict exists when the two provisions prescribe antagonistic requirements which cannot be enforced concurrently without considering the other provision to be invalid. Thus, after determining the ordinary meaning of the provision, the court must establish if there is an irreconcilable conflict between the two provisions. </w:t>
      </w:r>
      <w:r w:rsidRPr="001E2783">
        <w:rPr>
          <w:rFonts w:ascii="Arial" w:hAnsi="Arial" w:cs="Arial"/>
          <w:u w:val="single"/>
        </w:rPr>
        <w:t>If the conflict is reconcilable, the court must adopt an interpretation which upholds that the two provisions are concurrently operational</w:t>
      </w:r>
      <w:r w:rsidRPr="00281639">
        <w:rPr>
          <w:rFonts w:ascii="Arial" w:hAnsi="Arial" w:cs="Arial"/>
        </w:rPr>
        <w:t>.’</w:t>
      </w:r>
    </w:p>
    <w:p w:rsidR="00281639" w:rsidRDefault="00281639" w:rsidP="00A43432">
      <w:pPr>
        <w:spacing w:after="0" w:line="360" w:lineRule="auto"/>
        <w:jc w:val="both"/>
        <w:rPr>
          <w:rFonts w:ascii="Arial" w:hAnsi="Arial" w:cs="Arial"/>
          <w:sz w:val="24"/>
          <w:szCs w:val="24"/>
        </w:rPr>
      </w:pPr>
    </w:p>
    <w:p w:rsidR="00281639" w:rsidRDefault="00281639" w:rsidP="00A43432">
      <w:pPr>
        <w:spacing w:after="0" w:line="360" w:lineRule="auto"/>
        <w:jc w:val="both"/>
        <w:rPr>
          <w:rFonts w:ascii="Arial" w:hAnsi="Arial" w:cs="Arial"/>
          <w:sz w:val="24"/>
          <w:szCs w:val="24"/>
        </w:rPr>
      </w:pPr>
      <w:r>
        <w:rPr>
          <w:rFonts w:ascii="Arial" w:hAnsi="Arial" w:cs="Arial"/>
          <w:sz w:val="24"/>
          <w:szCs w:val="24"/>
        </w:rPr>
        <w:t>[</w:t>
      </w:r>
      <w:r w:rsidR="00F021DD">
        <w:rPr>
          <w:rFonts w:ascii="Arial" w:hAnsi="Arial" w:cs="Arial"/>
          <w:sz w:val="24"/>
          <w:szCs w:val="24"/>
        </w:rPr>
        <w:t>41</w:t>
      </w:r>
      <w:r>
        <w:rPr>
          <w:rFonts w:ascii="Arial" w:hAnsi="Arial" w:cs="Arial"/>
          <w:sz w:val="24"/>
          <w:szCs w:val="24"/>
        </w:rPr>
        <w:t>]</w:t>
      </w:r>
      <w:r>
        <w:rPr>
          <w:rFonts w:ascii="Arial" w:hAnsi="Arial" w:cs="Arial"/>
          <w:sz w:val="24"/>
          <w:szCs w:val="24"/>
        </w:rPr>
        <w:tab/>
        <w:t xml:space="preserve">Regulation 37(11) at first blush appear to be a transitional provision but it does not </w:t>
      </w:r>
      <w:r w:rsidR="000619EE">
        <w:rPr>
          <w:rFonts w:ascii="Arial" w:hAnsi="Arial" w:cs="Arial"/>
          <w:sz w:val="24"/>
          <w:szCs w:val="24"/>
        </w:rPr>
        <w:t xml:space="preserve">only </w:t>
      </w:r>
      <w:r>
        <w:rPr>
          <w:rFonts w:ascii="Arial" w:hAnsi="Arial" w:cs="Arial"/>
          <w:sz w:val="24"/>
          <w:szCs w:val="24"/>
        </w:rPr>
        <w:t xml:space="preserve">address the manner in which the Council must deal with those members </w:t>
      </w:r>
      <w:r w:rsidR="00B106AA">
        <w:rPr>
          <w:rFonts w:ascii="Arial" w:hAnsi="Arial" w:cs="Arial"/>
          <w:sz w:val="24"/>
          <w:szCs w:val="24"/>
        </w:rPr>
        <w:t>who were in service on 1 December 2004</w:t>
      </w:r>
      <w:r w:rsidR="000619EE">
        <w:rPr>
          <w:rFonts w:ascii="Arial" w:hAnsi="Arial" w:cs="Arial"/>
          <w:sz w:val="24"/>
          <w:szCs w:val="24"/>
        </w:rPr>
        <w:t>,</w:t>
      </w:r>
      <w:r w:rsidR="00B106AA">
        <w:rPr>
          <w:rFonts w:ascii="Arial" w:hAnsi="Arial" w:cs="Arial"/>
          <w:sz w:val="24"/>
          <w:szCs w:val="24"/>
        </w:rPr>
        <w:t xml:space="preserve"> but goes further by creating a transitional provision for a group of members which are not included in regulation 37(1). This court however is not called upon to deliberate upon the fate of those members who were appointed </w:t>
      </w:r>
      <w:r w:rsidR="001E2783">
        <w:rPr>
          <w:rFonts w:ascii="Arial" w:hAnsi="Arial" w:cs="Arial"/>
          <w:sz w:val="24"/>
          <w:szCs w:val="24"/>
        </w:rPr>
        <w:t xml:space="preserve">in the period </w:t>
      </w:r>
      <w:r w:rsidR="00B106AA">
        <w:rPr>
          <w:rFonts w:ascii="Arial" w:hAnsi="Arial" w:cs="Arial"/>
          <w:sz w:val="24"/>
          <w:szCs w:val="24"/>
        </w:rPr>
        <w:t xml:space="preserve">after 1 December 2004 </w:t>
      </w:r>
      <w:r w:rsidR="001E2783">
        <w:rPr>
          <w:rFonts w:ascii="Arial" w:hAnsi="Arial" w:cs="Arial"/>
          <w:sz w:val="24"/>
          <w:szCs w:val="24"/>
        </w:rPr>
        <w:t>and</w:t>
      </w:r>
      <w:r w:rsidR="00B106AA">
        <w:rPr>
          <w:rFonts w:ascii="Arial" w:hAnsi="Arial" w:cs="Arial"/>
          <w:sz w:val="24"/>
          <w:szCs w:val="24"/>
        </w:rPr>
        <w:t xml:space="preserve"> before the repeal of </w:t>
      </w:r>
      <w:r w:rsidR="001E2783">
        <w:rPr>
          <w:rFonts w:ascii="Arial" w:hAnsi="Arial" w:cs="Arial"/>
          <w:sz w:val="24"/>
          <w:szCs w:val="24"/>
        </w:rPr>
        <w:t xml:space="preserve">the Service Regulations of 2004. There </w:t>
      </w:r>
      <w:r w:rsidR="00B106AA">
        <w:rPr>
          <w:rFonts w:ascii="Arial" w:hAnsi="Arial" w:cs="Arial"/>
          <w:sz w:val="24"/>
          <w:szCs w:val="24"/>
        </w:rPr>
        <w:t xml:space="preserve">is no evidence placed before this court as </w:t>
      </w:r>
      <w:r w:rsidR="001E2783">
        <w:rPr>
          <w:rFonts w:ascii="Arial" w:hAnsi="Arial" w:cs="Arial"/>
          <w:sz w:val="24"/>
          <w:szCs w:val="24"/>
        </w:rPr>
        <w:t xml:space="preserve">to </w:t>
      </w:r>
      <w:r w:rsidR="00B106AA">
        <w:rPr>
          <w:rFonts w:ascii="Arial" w:hAnsi="Arial" w:cs="Arial"/>
          <w:sz w:val="24"/>
          <w:szCs w:val="24"/>
        </w:rPr>
        <w:t xml:space="preserve">whether or not these members received the benefit. </w:t>
      </w:r>
      <w:r w:rsidR="004825FD">
        <w:rPr>
          <w:rFonts w:ascii="Arial" w:hAnsi="Arial" w:cs="Arial"/>
          <w:sz w:val="24"/>
          <w:szCs w:val="24"/>
        </w:rPr>
        <w:t xml:space="preserve">It is however </w:t>
      </w:r>
      <w:r w:rsidR="00B106AA">
        <w:rPr>
          <w:rFonts w:ascii="Arial" w:hAnsi="Arial" w:cs="Arial"/>
          <w:sz w:val="24"/>
          <w:szCs w:val="24"/>
        </w:rPr>
        <w:t xml:space="preserve">clear from </w:t>
      </w:r>
      <w:r w:rsidR="001E2783">
        <w:rPr>
          <w:rFonts w:ascii="Arial" w:hAnsi="Arial" w:cs="Arial"/>
          <w:sz w:val="24"/>
          <w:szCs w:val="24"/>
        </w:rPr>
        <w:t xml:space="preserve">a reading of </w:t>
      </w:r>
      <w:r w:rsidR="003C1915">
        <w:rPr>
          <w:rFonts w:ascii="Arial" w:hAnsi="Arial" w:cs="Arial"/>
          <w:sz w:val="24"/>
          <w:szCs w:val="24"/>
        </w:rPr>
        <w:t>both regulation 37(1) and r</w:t>
      </w:r>
      <w:r w:rsidR="00B106AA">
        <w:rPr>
          <w:rFonts w:ascii="Arial" w:hAnsi="Arial" w:cs="Arial"/>
          <w:sz w:val="24"/>
          <w:szCs w:val="24"/>
        </w:rPr>
        <w:t xml:space="preserve">egulation 37(11) </w:t>
      </w:r>
      <w:r w:rsidR="004825FD">
        <w:rPr>
          <w:rFonts w:ascii="Arial" w:hAnsi="Arial" w:cs="Arial"/>
          <w:sz w:val="24"/>
          <w:szCs w:val="24"/>
        </w:rPr>
        <w:t xml:space="preserve">that it was the </w:t>
      </w:r>
      <w:r w:rsidR="00932F76">
        <w:rPr>
          <w:rFonts w:ascii="Arial" w:hAnsi="Arial" w:cs="Arial"/>
          <w:sz w:val="24"/>
          <w:szCs w:val="24"/>
        </w:rPr>
        <w:t>legislative intent</w:t>
      </w:r>
      <w:r w:rsidR="004825FD">
        <w:rPr>
          <w:rFonts w:ascii="Arial" w:hAnsi="Arial" w:cs="Arial"/>
          <w:sz w:val="24"/>
          <w:szCs w:val="24"/>
        </w:rPr>
        <w:t xml:space="preserve"> that th</w:t>
      </w:r>
      <w:r w:rsidR="00B106AA">
        <w:rPr>
          <w:rFonts w:ascii="Arial" w:hAnsi="Arial" w:cs="Arial"/>
          <w:sz w:val="24"/>
          <w:szCs w:val="24"/>
        </w:rPr>
        <w:t xml:space="preserve">e bonus leave </w:t>
      </w:r>
      <w:r w:rsidR="004825FD">
        <w:rPr>
          <w:rFonts w:ascii="Arial" w:hAnsi="Arial" w:cs="Arial"/>
          <w:sz w:val="24"/>
          <w:szCs w:val="24"/>
        </w:rPr>
        <w:t>benefit was to lapse after the period provided for in these regulations. Moreover</w:t>
      </w:r>
      <w:r w:rsidR="003C1915">
        <w:rPr>
          <w:rFonts w:ascii="Arial" w:hAnsi="Arial" w:cs="Arial"/>
          <w:sz w:val="24"/>
          <w:szCs w:val="24"/>
        </w:rPr>
        <w:t>,</w:t>
      </w:r>
      <w:r w:rsidR="004825FD">
        <w:rPr>
          <w:rFonts w:ascii="Arial" w:hAnsi="Arial" w:cs="Arial"/>
          <w:sz w:val="24"/>
          <w:szCs w:val="24"/>
        </w:rPr>
        <w:t xml:space="preserve"> it is clear that </w:t>
      </w:r>
      <w:r w:rsidR="00932F76">
        <w:rPr>
          <w:rFonts w:ascii="Arial" w:hAnsi="Arial" w:cs="Arial"/>
          <w:sz w:val="24"/>
          <w:szCs w:val="24"/>
        </w:rPr>
        <w:t xml:space="preserve">the legislative intent was not to extend this benefit to include </w:t>
      </w:r>
      <w:r w:rsidR="00B106AA">
        <w:rPr>
          <w:rFonts w:ascii="Arial" w:hAnsi="Arial" w:cs="Arial"/>
          <w:sz w:val="24"/>
          <w:szCs w:val="24"/>
        </w:rPr>
        <w:t>th</w:t>
      </w:r>
      <w:r w:rsidR="00932F76">
        <w:rPr>
          <w:rFonts w:ascii="Arial" w:hAnsi="Arial" w:cs="Arial"/>
          <w:sz w:val="24"/>
          <w:szCs w:val="24"/>
        </w:rPr>
        <w:t xml:space="preserve">e applicants </w:t>
      </w:r>
      <w:r w:rsidR="00B106AA">
        <w:rPr>
          <w:rFonts w:ascii="Arial" w:hAnsi="Arial" w:cs="Arial"/>
          <w:sz w:val="24"/>
          <w:szCs w:val="24"/>
        </w:rPr>
        <w:t>who were appointed after 1 March 2013.</w:t>
      </w:r>
    </w:p>
    <w:p w:rsidR="004825FD" w:rsidRDefault="004825FD" w:rsidP="00A43432">
      <w:pPr>
        <w:spacing w:after="0" w:line="360" w:lineRule="auto"/>
        <w:jc w:val="both"/>
        <w:rPr>
          <w:rFonts w:ascii="Arial" w:hAnsi="Arial" w:cs="Arial"/>
          <w:sz w:val="24"/>
          <w:szCs w:val="24"/>
        </w:rPr>
      </w:pPr>
    </w:p>
    <w:p w:rsidR="00170EAE" w:rsidRPr="00170EAE" w:rsidRDefault="00170EAE" w:rsidP="00A43432">
      <w:pPr>
        <w:spacing w:after="0" w:line="360" w:lineRule="auto"/>
        <w:jc w:val="both"/>
        <w:rPr>
          <w:rFonts w:ascii="Arial" w:hAnsi="Arial" w:cs="Arial"/>
          <w:i/>
          <w:sz w:val="24"/>
          <w:szCs w:val="24"/>
        </w:rPr>
      </w:pPr>
      <w:r w:rsidRPr="00170EAE">
        <w:rPr>
          <w:rFonts w:ascii="Arial" w:hAnsi="Arial" w:cs="Arial"/>
          <w:i/>
          <w:sz w:val="24"/>
          <w:szCs w:val="24"/>
        </w:rPr>
        <w:t xml:space="preserve">Constitutionality of the Regulation </w:t>
      </w:r>
    </w:p>
    <w:p w:rsidR="00F021DD" w:rsidRDefault="00F021DD" w:rsidP="00A43432">
      <w:pPr>
        <w:spacing w:after="0" w:line="360" w:lineRule="auto"/>
        <w:jc w:val="both"/>
        <w:rPr>
          <w:rFonts w:ascii="Arial" w:hAnsi="Arial" w:cs="Arial"/>
          <w:sz w:val="24"/>
          <w:szCs w:val="24"/>
        </w:rPr>
      </w:pPr>
    </w:p>
    <w:p w:rsidR="004825FD" w:rsidRDefault="004825FD" w:rsidP="00A43432">
      <w:pPr>
        <w:spacing w:after="0" w:line="360" w:lineRule="auto"/>
        <w:jc w:val="both"/>
        <w:rPr>
          <w:rFonts w:ascii="Arial" w:hAnsi="Arial" w:cs="Arial"/>
          <w:sz w:val="24"/>
          <w:szCs w:val="24"/>
        </w:rPr>
      </w:pPr>
      <w:r>
        <w:rPr>
          <w:rFonts w:ascii="Arial" w:hAnsi="Arial" w:cs="Arial"/>
          <w:sz w:val="24"/>
          <w:szCs w:val="24"/>
        </w:rPr>
        <w:lastRenderedPageBreak/>
        <w:t>[</w:t>
      </w:r>
      <w:r w:rsidR="00F021DD">
        <w:rPr>
          <w:rFonts w:ascii="Arial" w:hAnsi="Arial" w:cs="Arial"/>
          <w:sz w:val="24"/>
          <w:szCs w:val="24"/>
        </w:rPr>
        <w:t>42</w:t>
      </w:r>
      <w:r>
        <w:rPr>
          <w:rFonts w:ascii="Arial" w:hAnsi="Arial" w:cs="Arial"/>
          <w:sz w:val="24"/>
          <w:szCs w:val="24"/>
        </w:rPr>
        <w:t>]</w:t>
      </w:r>
      <w:r>
        <w:rPr>
          <w:rFonts w:ascii="Arial" w:hAnsi="Arial" w:cs="Arial"/>
          <w:sz w:val="24"/>
          <w:szCs w:val="24"/>
        </w:rPr>
        <w:tab/>
        <w:t>The applicants argue that if the court would accept the interpretation as proposed by the respondents such an interpretation would make the regulation unlawful as being contrary to Article 10 of the Namibian Constitution read with the provisions of Article 102 (3) of the Namibian Constitution which reads:</w:t>
      </w:r>
    </w:p>
    <w:p w:rsidR="008E5C0F" w:rsidRDefault="008E5C0F" w:rsidP="00A43432">
      <w:pPr>
        <w:spacing w:after="0" w:line="360" w:lineRule="auto"/>
        <w:jc w:val="both"/>
        <w:rPr>
          <w:rFonts w:ascii="Arial" w:hAnsi="Arial" w:cs="Arial"/>
          <w:sz w:val="24"/>
          <w:szCs w:val="24"/>
        </w:rPr>
      </w:pPr>
    </w:p>
    <w:p w:rsidR="00932F76" w:rsidRDefault="004825FD" w:rsidP="00A43432">
      <w:pPr>
        <w:spacing w:after="0" w:line="360" w:lineRule="auto"/>
        <w:jc w:val="both"/>
        <w:rPr>
          <w:rFonts w:ascii="Arial" w:hAnsi="Arial" w:cs="Arial"/>
        </w:rPr>
      </w:pPr>
      <w:r>
        <w:rPr>
          <w:rFonts w:ascii="Arial" w:hAnsi="Arial" w:cs="Arial"/>
          <w:sz w:val="24"/>
          <w:szCs w:val="24"/>
        </w:rPr>
        <w:tab/>
      </w:r>
      <w:r w:rsidR="00932F76" w:rsidRPr="003D3EAA">
        <w:rPr>
          <w:rFonts w:ascii="Arial" w:hAnsi="Arial" w:cs="Arial"/>
        </w:rPr>
        <w:t xml:space="preserve">‘(3) Every organ of regional and local government shall have a council as the principle governing body, freely elected in accordance with this constitution and the Act of parliament referred to in sub-art(1) hereof, with an executive and administration which shall carry out all lawful resolutions and policies of such council, subject to this constitution and any other relevant law.’ </w:t>
      </w:r>
    </w:p>
    <w:p w:rsidR="00C27FEA" w:rsidRPr="003D3EAA" w:rsidRDefault="00C27FEA" w:rsidP="00A43432">
      <w:pPr>
        <w:spacing w:after="0" w:line="360" w:lineRule="auto"/>
        <w:jc w:val="both"/>
        <w:rPr>
          <w:rFonts w:ascii="Arial" w:hAnsi="Arial" w:cs="Arial"/>
        </w:rPr>
      </w:pPr>
    </w:p>
    <w:p w:rsidR="00932F76" w:rsidRDefault="00932F76" w:rsidP="00A43432">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43</w:t>
      </w:r>
      <w:r>
        <w:rPr>
          <w:rFonts w:ascii="Arial" w:hAnsi="Arial" w:cs="Arial"/>
          <w:sz w:val="24"/>
          <w:szCs w:val="24"/>
        </w:rPr>
        <w:t>]</w:t>
      </w:r>
      <w:r>
        <w:rPr>
          <w:rFonts w:ascii="Arial" w:hAnsi="Arial" w:cs="Arial"/>
          <w:sz w:val="24"/>
          <w:szCs w:val="24"/>
        </w:rPr>
        <w:tab/>
        <w:t>Article 10 of the Constitution reads:</w:t>
      </w:r>
    </w:p>
    <w:p w:rsidR="003D3EAA" w:rsidRDefault="003D3EAA" w:rsidP="00A43432">
      <w:pPr>
        <w:spacing w:after="0" w:line="360" w:lineRule="auto"/>
        <w:jc w:val="both"/>
        <w:rPr>
          <w:rFonts w:ascii="Arial" w:hAnsi="Arial" w:cs="Arial"/>
          <w:sz w:val="24"/>
          <w:szCs w:val="24"/>
        </w:rPr>
      </w:pPr>
    </w:p>
    <w:p w:rsidR="00932F76" w:rsidRPr="00932F76" w:rsidRDefault="00932F76" w:rsidP="00932F76">
      <w:pPr>
        <w:spacing w:after="0" w:line="360" w:lineRule="auto"/>
        <w:jc w:val="both"/>
        <w:rPr>
          <w:rFonts w:ascii="Arial" w:hAnsi="Arial" w:cs="Arial"/>
        </w:rPr>
      </w:pPr>
      <w:r>
        <w:rPr>
          <w:rFonts w:ascii="Arial" w:hAnsi="Arial" w:cs="Arial"/>
          <w:sz w:val="24"/>
          <w:szCs w:val="24"/>
        </w:rPr>
        <w:tab/>
      </w:r>
      <w:r w:rsidRPr="00932F76">
        <w:rPr>
          <w:rFonts w:ascii="Arial" w:hAnsi="Arial" w:cs="Arial"/>
        </w:rPr>
        <w:t>‘(1) All persons shall be equal before the law.</w:t>
      </w:r>
    </w:p>
    <w:p w:rsidR="00932F76" w:rsidRDefault="00932F76" w:rsidP="00932F76">
      <w:pPr>
        <w:spacing w:after="0" w:line="360" w:lineRule="auto"/>
        <w:jc w:val="both"/>
        <w:rPr>
          <w:rFonts w:ascii="Arial" w:hAnsi="Arial" w:cs="Arial"/>
          <w:sz w:val="24"/>
          <w:szCs w:val="24"/>
        </w:rPr>
      </w:pPr>
      <w:r w:rsidRPr="00932F76">
        <w:rPr>
          <w:rFonts w:ascii="Arial" w:hAnsi="Arial" w:cs="Arial"/>
        </w:rPr>
        <w:tab/>
        <w:t>(2) No persons may be discriminated against on the grounds of sex, race, colour, ethnic origin, religion, creed or social or economic status.’</w:t>
      </w:r>
    </w:p>
    <w:p w:rsidR="00932F76" w:rsidRDefault="00932F76" w:rsidP="00A43432">
      <w:pPr>
        <w:spacing w:after="0" w:line="360" w:lineRule="auto"/>
        <w:jc w:val="both"/>
        <w:rPr>
          <w:rFonts w:ascii="Arial" w:hAnsi="Arial" w:cs="Arial"/>
          <w:sz w:val="24"/>
          <w:szCs w:val="24"/>
        </w:rPr>
      </w:pPr>
    </w:p>
    <w:p w:rsidR="00932F76" w:rsidRDefault="00313E92" w:rsidP="00B106AA">
      <w:pPr>
        <w:spacing w:after="0" w:line="360" w:lineRule="auto"/>
        <w:jc w:val="both"/>
        <w:rPr>
          <w:rFonts w:ascii="Arial" w:hAnsi="Arial" w:cs="Arial"/>
          <w:sz w:val="24"/>
          <w:szCs w:val="24"/>
          <w:lang w:val="en-ZA"/>
        </w:rPr>
      </w:pPr>
      <w:r>
        <w:rPr>
          <w:rFonts w:ascii="Arial" w:hAnsi="Arial" w:cs="Arial"/>
          <w:sz w:val="24"/>
          <w:szCs w:val="24"/>
          <w:lang w:val="en-ZA"/>
        </w:rPr>
        <w:t>[</w:t>
      </w:r>
      <w:r w:rsidR="00C720E2">
        <w:rPr>
          <w:rFonts w:ascii="Arial" w:hAnsi="Arial" w:cs="Arial"/>
          <w:sz w:val="24"/>
          <w:szCs w:val="24"/>
          <w:lang w:val="en-ZA"/>
        </w:rPr>
        <w:t>44</w:t>
      </w:r>
      <w:r>
        <w:rPr>
          <w:rFonts w:ascii="Arial" w:hAnsi="Arial" w:cs="Arial"/>
          <w:sz w:val="24"/>
          <w:szCs w:val="24"/>
          <w:lang w:val="en-ZA"/>
        </w:rPr>
        <w:t>]</w:t>
      </w:r>
      <w:r>
        <w:rPr>
          <w:rFonts w:ascii="Arial" w:hAnsi="Arial" w:cs="Arial"/>
          <w:sz w:val="24"/>
          <w:szCs w:val="24"/>
          <w:lang w:val="en-ZA"/>
        </w:rPr>
        <w:tab/>
        <w:t xml:space="preserve">The applicants who aver that the </w:t>
      </w:r>
      <w:r w:rsidRPr="00313E92">
        <w:rPr>
          <w:rFonts w:ascii="Arial" w:hAnsi="Arial" w:cs="Arial"/>
          <w:sz w:val="24"/>
          <w:szCs w:val="24"/>
          <w:lang w:val="en-ZA"/>
        </w:rPr>
        <w:t>regulation</w:t>
      </w:r>
      <w:r>
        <w:rPr>
          <w:rFonts w:ascii="Arial" w:hAnsi="Arial" w:cs="Arial"/>
          <w:sz w:val="24"/>
          <w:szCs w:val="24"/>
          <w:lang w:val="en-ZA"/>
        </w:rPr>
        <w:t xml:space="preserve">(s) are </w:t>
      </w:r>
      <w:r w:rsidR="00BA68C1" w:rsidRPr="00313E92">
        <w:rPr>
          <w:rFonts w:ascii="Arial" w:hAnsi="Arial" w:cs="Arial"/>
          <w:sz w:val="24"/>
          <w:szCs w:val="24"/>
          <w:lang w:val="en-ZA"/>
        </w:rPr>
        <w:t>unconstitutional</w:t>
      </w:r>
      <w:r w:rsidRPr="00313E92">
        <w:rPr>
          <w:rFonts w:ascii="Arial" w:hAnsi="Arial" w:cs="Arial"/>
          <w:sz w:val="24"/>
          <w:szCs w:val="24"/>
          <w:lang w:val="en-ZA"/>
        </w:rPr>
        <w:t xml:space="preserve"> ha</w:t>
      </w:r>
      <w:r>
        <w:rPr>
          <w:rFonts w:ascii="Arial" w:hAnsi="Arial" w:cs="Arial"/>
          <w:sz w:val="24"/>
          <w:szCs w:val="24"/>
          <w:lang w:val="en-ZA"/>
        </w:rPr>
        <w:t>ve</w:t>
      </w:r>
      <w:r w:rsidRPr="00313E92">
        <w:rPr>
          <w:rFonts w:ascii="Arial" w:hAnsi="Arial" w:cs="Arial"/>
          <w:sz w:val="24"/>
          <w:szCs w:val="24"/>
          <w:lang w:val="en-ZA"/>
        </w:rPr>
        <w:t xml:space="preserve"> the onus of persuading the court that the said regulation was not reasonably justifiable in a democratic society.</w:t>
      </w:r>
      <w:r>
        <w:rPr>
          <w:rStyle w:val="FootnoteReference"/>
          <w:rFonts w:ascii="Arial" w:hAnsi="Arial" w:cs="Arial"/>
          <w:sz w:val="24"/>
          <w:szCs w:val="24"/>
          <w:lang w:val="en-ZA"/>
        </w:rPr>
        <w:footnoteReference w:id="9"/>
      </w:r>
      <w:r>
        <w:rPr>
          <w:rFonts w:ascii="Arial" w:hAnsi="Arial" w:cs="Arial"/>
          <w:sz w:val="24"/>
          <w:szCs w:val="24"/>
          <w:lang w:val="en-ZA"/>
        </w:rPr>
        <w:t xml:space="preserve"> </w:t>
      </w:r>
      <w:r w:rsidR="009A6739">
        <w:rPr>
          <w:rFonts w:ascii="Arial" w:hAnsi="Arial" w:cs="Arial"/>
          <w:sz w:val="24"/>
          <w:szCs w:val="24"/>
          <w:lang w:val="en-ZA"/>
        </w:rPr>
        <w:t xml:space="preserve">It was </w:t>
      </w:r>
      <w:r w:rsidR="00BC3AA9">
        <w:rPr>
          <w:rFonts w:ascii="Arial" w:hAnsi="Arial" w:cs="Arial"/>
          <w:sz w:val="24"/>
          <w:szCs w:val="24"/>
          <w:lang w:val="en-ZA"/>
        </w:rPr>
        <w:t>furthermore</w:t>
      </w:r>
      <w:r w:rsidR="009A6739">
        <w:rPr>
          <w:rFonts w:ascii="Arial" w:hAnsi="Arial" w:cs="Arial"/>
          <w:sz w:val="24"/>
          <w:szCs w:val="24"/>
          <w:lang w:val="en-ZA"/>
        </w:rPr>
        <w:t xml:space="preserve"> held in </w:t>
      </w:r>
      <w:r w:rsidR="009A6739" w:rsidRPr="00BC3AA9">
        <w:rPr>
          <w:rFonts w:ascii="Arial" w:hAnsi="Arial" w:cs="Arial"/>
          <w:i/>
          <w:sz w:val="24"/>
          <w:szCs w:val="24"/>
          <w:lang w:val="en-ZA"/>
        </w:rPr>
        <w:t>Uffindell t/a Aloe Hunting Safaris v Government Of Namibia And Others</w:t>
      </w:r>
      <w:r w:rsidR="00BC3AA9">
        <w:rPr>
          <w:rStyle w:val="FootnoteReference"/>
          <w:rFonts w:ascii="Arial" w:hAnsi="Arial" w:cs="Arial"/>
          <w:i/>
          <w:sz w:val="24"/>
          <w:szCs w:val="24"/>
          <w:lang w:val="en-ZA"/>
        </w:rPr>
        <w:footnoteReference w:id="10"/>
      </w:r>
      <w:r w:rsidR="00BC3AA9">
        <w:rPr>
          <w:rFonts w:ascii="Arial" w:hAnsi="Arial" w:cs="Arial"/>
          <w:sz w:val="24"/>
          <w:szCs w:val="24"/>
          <w:lang w:val="en-ZA"/>
        </w:rPr>
        <w:t xml:space="preserve"> </w:t>
      </w:r>
      <w:r w:rsidR="009A6739">
        <w:rPr>
          <w:rFonts w:ascii="Arial" w:hAnsi="Arial" w:cs="Arial"/>
          <w:sz w:val="24"/>
          <w:szCs w:val="24"/>
          <w:lang w:val="en-ZA"/>
        </w:rPr>
        <w:t>that f</w:t>
      </w:r>
      <w:r w:rsidR="009A6739" w:rsidRPr="009A6739">
        <w:rPr>
          <w:rFonts w:ascii="Arial" w:hAnsi="Arial" w:cs="Arial"/>
          <w:sz w:val="24"/>
          <w:szCs w:val="24"/>
          <w:lang w:val="en-ZA"/>
        </w:rPr>
        <w:t>or differentiation to be constituti</w:t>
      </w:r>
      <w:r w:rsidR="003C1915">
        <w:rPr>
          <w:rFonts w:ascii="Arial" w:hAnsi="Arial" w:cs="Arial"/>
          <w:sz w:val="24"/>
          <w:szCs w:val="24"/>
          <w:lang w:val="en-ZA"/>
        </w:rPr>
        <w:t>onally impermissible under A</w:t>
      </w:r>
      <w:r w:rsidR="009A6739" w:rsidRPr="009A6739">
        <w:rPr>
          <w:rFonts w:ascii="Arial" w:hAnsi="Arial" w:cs="Arial"/>
          <w:sz w:val="24"/>
          <w:szCs w:val="24"/>
          <w:lang w:val="en-ZA"/>
        </w:rPr>
        <w:t>rt</w:t>
      </w:r>
      <w:r w:rsidR="000619EE">
        <w:rPr>
          <w:rFonts w:ascii="Arial" w:hAnsi="Arial" w:cs="Arial"/>
          <w:sz w:val="24"/>
          <w:szCs w:val="24"/>
          <w:lang w:val="en-ZA"/>
        </w:rPr>
        <w:t>icle</w:t>
      </w:r>
      <w:r w:rsidR="009A6739" w:rsidRPr="009A6739">
        <w:rPr>
          <w:rFonts w:ascii="Arial" w:hAnsi="Arial" w:cs="Arial"/>
          <w:sz w:val="24"/>
          <w:szCs w:val="24"/>
          <w:lang w:val="en-ZA"/>
        </w:rPr>
        <w:t xml:space="preserve"> 10(1), it must amount to discrimination in the pejorative sense by being unfair or unreasonable in the circumstances.</w:t>
      </w:r>
    </w:p>
    <w:p w:rsidR="00BC3AA9" w:rsidRDefault="00BC3AA9" w:rsidP="00B106AA">
      <w:pPr>
        <w:spacing w:after="0" w:line="360" w:lineRule="auto"/>
        <w:jc w:val="both"/>
        <w:rPr>
          <w:rFonts w:ascii="Arial" w:hAnsi="Arial" w:cs="Arial"/>
          <w:sz w:val="24"/>
          <w:szCs w:val="24"/>
          <w:lang w:val="en-ZA"/>
        </w:rPr>
      </w:pPr>
    </w:p>
    <w:p w:rsidR="00BC3AA9" w:rsidRDefault="00BC3AA9" w:rsidP="00B106AA">
      <w:pPr>
        <w:spacing w:after="0" w:line="360" w:lineRule="auto"/>
        <w:jc w:val="both"/>
        <w:rPr>
          <w:rFonts w:ascii="Arial" w:hAnsi="Arial" w:cs="Arial"/>
          <w:sz w:val="24"/>
          <w:szCs w:val="24"/>
          <w:lang w:val="en-ZA"/>
        </w:rPr>
      </w:pPr>
      <w:r>
        <w:rPr>
          <w:rFonts w:ascii="Arial" w:hAnsi="Arial" w:cs="Arial"/>
          <w:sz w:val="24"/>
          <w:szCs w:val="24"/>
          <w:lang w:val="en-ZA"/>
        </w:rPr>
        <w:t>[</w:t>
      </w:r>
      <w:r w:rsidR="00C720E2">
        <w:rPr>
          <w:rFonts w:ascii="Arial" w:hAnsi="Arial" w:cs="Arial"/>
          <w:sz w:val="24"/>
          <w:szCs w:val="24"/>
          <w:lang w:val="en-ZA"/>
        </w:rPr>
        <w:t>45</w:t>
      </w:r>
      <w:r>
        <w:rPr>
          <w:rFonts w:ascii="Arial" w:hAnsi="Arial" w:cs="Arial"/>
          <w:sz w:val="24"/>
          <w:szCs w:val="24"/>
          <w:lang w:val="en-ZA"/>
        </w:rPr>
        <w:t>]</w:t>
      </w:r>
      <w:r>
        <w:rPr>
          <w:rFonts w:ascii="Arial" w:hAnsi="Arial" w:cs="Arial"/>
          <w:sz w:val="24"/>
          <w:szCs w:val="24"/>
          <w:lang w:val="en-ZA"/>
        </w:rPr>
        <w:tab/>
        <w:t>The first respondent</w:t>
      </w:r>
      <w:r w:rsidR="000619EE">
        <w:rPr>
          <w:rFonts w:ascii="Arial" w:hAnsi="Arial" w:cs="Arial"/>
          <w:sz w:val="24"/>
          <w:szCs w:val="24"/>
          <w:lang w:val="en-ZA"/>
        </w:rPr>
        <w:t>’s</w:t>
      </w:r>
      <w:r>
        <w:rPr>
          <w:rFonts w:ascii="Arial" w:hAnsi="Arial" w:cs="Arial"/>
          <w:sz w:val="24"/>
          <w:szCs w:val="24"/>
          <w:lang w:val="en-ZA"/>
        </w:rPr>
        <w:t xml:space="preserve"> reason advanced for limiting the benefit to those members who joined a newly established police service cannot be said to be unreasonable in the circumstances. This was a benefit bestowed over and above the normal leave provisions to encourage members to remain in the service of the first respondent for a period of at least 10 years. It is my considered view that, although there is differentiation between the groups, that it is reasonably justifiable and it further applies without discrimination to all members who joined the Municipal Police force after 1 March 2013.</w:t>
      </w:r>
    </w:p>
    <w:p w:rsidR="00BC3AA9" w:rsidRDefault="00BC3AA9" w:rsidP="00B106AA">
      <w:pPr>
        <w:spacing w:after="0" w:line="360" w:lineRule="auto"/>
        <w:jc w:val="both"/>
        <w:rPr>
          <w:rFonts w:ascii="Arial" w:hAnsi="Arial" w:cs="Arial"/>
          <w:sz w:val="24"/>
          <w:szCs w:val="24"/>
          <w:lang w:val="en-ZA"/>
        </w:rPr>
      </w:pPr>
    </w:p>
    <w:p w:rsidR="00BC3AA9" w:rsidRPr="00170EAE" w:rsidRDefault="00170EAE" w:rsidP="00B106AA">
      <w:pPr>
        <w:spacing w:after="0" w:line="360" w:lineRule="auto"/>
        <w:jc w:val="both"/>
        <w:rPr>
          <w:rFonts w:ascii="Arial" w:hAnsi="Arial" w:cs="Arial"/>
          <w:i/>
          <w:sz w:val="24"/>
          <w:szCs w:val="24"/>
          <w:lang w:val="en-ZA"/>
        </w:rPr>
      </w:pPr>
      <w:r w:rsidRPr="00170EAE">
        <w:rPr>
          <w:rFonts w:ascii="Arial" w:hAnsi="Arial" w:cs="Arial"/>
          <w:i/>
          <w:sz w:val="24"/>
          <w:szCs w:val="24"/>
          <w:lang w:val="en-ZA"/>
        </w:rPr>
        <w:t>Validity of clause 3.3 of the Letter of Appointment</w:t>
      </w:r>
      <w:r w:rsidR="00FF0C81" w:rsidRPr="00170EAE">
        <w:rPr>
          <w:rFonts w:ascii="Arial" w:hAnsi="Arial" w:cs="Arial"/>
          <w:i/>
          <w:sz w:val="24"/>
          <w:szCs w:val="24"/>
          <w:lang w:val="en-ZA"/>
        </w:rPr>
        <w:t xml:space="preserve"> </w:t>
      </w:r>
    </w:p>
    <w:p w:rsidR="00C720E2" w:rsidRDefault="00C720E2" w:rsidP="00B106AA">
      <w:pPr>
        <w:spacing w:after="0" w:line="360" w:lineRule="auto"/>
        <w:jc w:val="both"/>
        <w:rPr>
          <w:rFonts w:ascii="Arial" w:hAnsi="Arial" w:cs="Arial"/>
          <w:sz w:val="24"/>
          <w:szCs w:val="24"/>
          <w:lang w:val="en-ZA"/>
        </w:rPr>
      </w:pPr>
    </w:p>
    <w:p w:rsidR="0093230F" w:rsidRDefault="00BC3AA9" w:rsidP="00B106AA">
      <w:pPr>
        <w:spacing w:after="0" w:line="360" w:lineRule="auto"/>
        <w:jc w:val="both"/>
        <w:rPr>
          <w:rFonts w:ascii="Arial" w:hAnsi="Arial" w:cs="Arial"/>
          <w:sz w:val="24"/>
          <w:szCs w:val="24"/>
          <w:lang w:val="en-ZA"/>
        </w:rPr>
      </w:pPr>
      <w:r>
        <w:rPr>
          <w:rFonts w:ascii="Arial" w:hAnsi="Arial" w:cs="Arial"/>
          <w:sz w:val="24"/>
          <w:szCs w:val="24"/>
          <w:lang w:val="en-ZA"/>
        </w:rPr>
        <w:t>[</w:t>
      </w:r>
      <w:r w:rsidR="00C720E2">
        <w:rPr>
          <w:rFonts w:ascii="Arial" w:hAnsi="Arial" w:cs="Arial"/>
          <w:sz w:val="24"/>
          <w:szCs w:val="24"/>
          <w:lang w:val="en-ZA"/>
        </w:rPr>
        <w:t>46</w:t>
      </w:r>
      <w:r>
        <w:rPr>
          <w:rFonts w:ascii="Arial" w:hAnsi="Arial" w:cs="Arial"/>
          <w:sz w:val="24"/>
          <w:szCs w:val="24"/>
          <w:lang w:val="en-ZA"/>
        </w:rPr>
        <w:t xml:space="preserve">] </w:t>
      </w:r>
      <w:r>
        <w:rPr>
          <w:rFonts w:ascii="Arial" w:hAnsi="Arial" w:cs="Arial"/>
          <w:sz w:val="24"/>
          <w:szCs w:val="24"/>
          <w:lang w:val="en-ZA"/>
        </w:rPr>
        <w:tab/>
      </w:r>
      <w:r w:rsidR="00EF05FA">
        <w:rPr>
          <w:rFonts w:ascii="Arial" w:hAnsi="Arial" w:cs="Arial"/>
          <w:sz w:val="24"/>
          <w:szCs w:val="24"/>
          <w:lang w:val="en-ZA"/>
        </w:rPr>
        <w:t>It would follow logically, g</w:t>
      </w:r>
      <w:r>
        <w:rPr>
          <w:rFonts w:ascii="Arial" w:hAnsi="Arial" w:cs="Arial"/>
          <w:sz w:val="24"/>
          <w:szCs w:val="24"/>
          <w:lang w:val="en-ZA"/>
        </w:rPr>
        <w:t>iven the interpre</w:t>
      </w:r>
      <w:r w:rsidR="00EF05FA">
        <w:rPr>
          <w:rFonts w:ascii="Arial" w:hAnsi="Arial" w:cs="Arial"/>
          <w:sz w:val="24"/>
          <w:szCs w:val="24"/>
          <w:lang w:val="en-ZA"/>
        </w:rPr>
        <w:t>tation arrived at by this court,</w:t>
      </w:r>
      <w:r>
        <w:rPr>
          <w:rFonts w:ascii="Arial" w:hAnsi="Arial" w:cs="Arial"/>
          <w:sz w:val="24"/>
          <w:szCs w:val="24"/>
          <w:lang w:val="en-ZA"/>
        </w:rPr>
        <w:t xml:space="preserve"> </w:t>
      </w:r>
      <w:r w:rsidR="00543386">
        <w:rPr>
          <w:rFonts w:ascii="Arial" w:hAnsi="Arial" w:cs="Arial"/>
          <w:sz w:val="24"/>
          <w:szCs w:val="24"/>
          <w:lang w:val="en-ZA"/>
        </w:rPr>
        <w:t xml:space="preserve">that </w:t>
      </w:r>
      <w:r w:rsidR="00170EAE">
        <w:rPr>
          <w:rFonts w:ascii="Arial" w:hAnsi="Arial" w:cs="Arial"/>
          <w:sz w:val="24"/>
          <w:szCs w:val="24"/>
          <w:lang w:val="en-ZA"/>
        </w:rPr>
        <w:t xml:space="preserve">clause </w:t>
      </w:r>
      <w:r w:rsidR="00EF05FA">
        <w:rPr>
          <w:rFonts w:ascii="Arial" w:hAnsi="Arial" w:cs="Arial"/>
          <w:sz w:val="24"/>
          <w:szCs w:val="24"/>
          <w:lang w:val="en-ZA"/>
        </w:rPr>
        <w:t xml:space="preserve">3.3 of the letter of appointment (contract of employment) would be </w:t>
      </w:r>
      <w:r w:rsidR="0093230F" w:rsidRPr="00B27C0D">
        <w:rPr>
          <w:rFonts w:ascii="Arial" w:hAnsi="Arial" w:cs="Arial"/>
          <w:i/>
          <w:sz w:val="24"/>
          <w:szCs w:val="24"/>
          <w:lang w:val="en-ZA"/>
        </w:rPr>
        <w:t>ultra vires</w:t>
      </w:r>
      <w:r w:rsidR="00896166">
        <w:rPr>
          <w:rFonts w:ascii="Arial" w:hAnsi="Arial" w:cs="Arial"/>
          <w:sz w:val="24"/>
          <w:szCs w:val="24"/>
          <w:lang w:val="en-ZA"/>
        </w:rPr>
        <w:t xml:space="preserve"> r</w:t>
      </w:r>
      <w:r w:rsidR="0093230F">
        <w:rPr>
          <w:rFonts w:ascii="Arial" w:hAnsi="Arial" w:cs="Arial"/>
          <w:sz w:val="24"/>
          <w:szCs w:val="24"/>
          <w:lang w:val="en-ZA"/>
        </w:rPr>
        <w:t xml:space="preserve">egulation 37(1). In </w:t>
      </w:r>
      <w:r w:rsidR="00543386" w:rsidRPr="00543386">
        <w:rPr>
          <w:rFonts w:ascii="Arial" w:hAnsi="Arial" w:cs="Arial"/>
          <w:i/>
          <w:sz w:val="24"/>
          <w:szCs w:val="24"/>
          <w:lang w:val="en-ZA"/>
        </w:rPr>
        <w:t xml:space="preserve">Luderitz Town Council </w:t>
      </w:r>
      <w:r w:rsidR="0093230F" w:rsidRPr="00543386">
        <w:rPr>
          <w:rFonts w:ascii="Arial" w:hAnsi="Arial" w:cs="Arial"/>
          <w:i/>
          <w:sz w:val="24"/>
          <w:szCs w:val="24"/>
          <w:lang w:val="en-ZA"/>
        </w:rPr>
        <w:t xml:space="preserve">v </w:t>
      </w:r>
      <w:r w:rsidR="00543386" w:rsidRPr="00543386">
        <w:rPr>
          <w:rFonts w:ascii="Arial" w:hAnsi="Arial" w:cs="Arial"/>
          <w:i/>
          <w:sz w:val="24"/>
          <w:szCs w:val="24"/>
          <w:lang w:val="en-ZA"/>
        </w:rPr>
        <w:t>Shipepe</w:t>
      </w:r>
      <w:r w:rsidR="00543386">
        <w:rPr>
          <w:rStyle w:val="FootnoteReference"/>
          <w:rFonts w:ascii="Arial" w:hAnsi="Arial" w:cs="Arial"/>
          <w:sz w:val="24"/>
          <w:szCs w:val="24"/>
          <w:lang w:val="en-ZA"/>
        </w:rPr>
        <w:footnoteReference w:id="11"/>
      </w:r>
      <w:r w:rsidR="0093230F">
        <w:rPr>
          <w:rFonts w:ascii="Arial" w:hAnsi="Arial" w:cs="Arial"/>
          <w:sz w:val="24"/>
          <w:szCs w:val="24"/>
          <w:lang w:val="en-ZA"/>
        </w:rPr>
        <w:t xml:space="preserve"> the following was stated:</w:t>
      </w:r>
    </w:p>
    <w:p w:rsidR="008E5C0F" w:rsidRDefault="008E5C0F" w:rsidP="00B106AA">
      <w:pPr>
        <w:spacing w:after="0" w:line="360" w:lineRule="auto"/>
        <w:jc w:val="both"/>
        <w:rPr>
          <w:rFonts w:ascii="Arial" w:hAnsi="Arial" w:cs="Arial"/>
          <w:sz w:val="24"/>
          <w:szCs w:val="24"/>
          <w:lang w:val="en-ZA"/>
        </w:rPr>
      </w:pPr>
    </w:p>
    <w:p w:rsidR="00FF0C81" w:rsidRPr="00543386" w:rsidRDefault="00543386" w:rsidP="0093230F">
      <w:pPr>
        <w:spacing w:after="0" w:line="360" w:lineRule="auto"/>
        <w:ind w:firstLine="720"/>
        <w:jc w:val="both"/>
        <w:rPr>
          <w:rFonts w:ascii="Arial" w:hAnsi="Arial" w:cs="Arial"/>
          <w:lang w:val="en-ZA"/>
        </w:rPr>
      </w:pPr>
      <w:r w:rsidRPr="00543386">
        <w:t>‘</w:t>
      </w:r>
      <w:r>
        <w:t>…</w:t>
      </w:r>
      <w:r w:rsidR="0093230F" w:rsidRPr="00543386">
        <w:rPr>
          <w:rFonts w:ascii="Arial" w:hAnsi="Arial" w:cs="Arial"/>
          <w:lang w:val="en-ZA"/>
        </w:rPr>
        <w:t>If a benefit is not authorised by law and is thus invalid to that extent, it would not constitute a unilateral change of conditions of employment if it were no longer to be paid</w:t>
      </w:r>
      <w:r w:rsidR="005D7D64">
        <w:rPr>
          <w:rFonts w:ascii="Arial" w:hAnsi="Arial" w:cs="Arial"/>
          <w:lang w:val="en-ZA"/>
        </w:rPr>
        <w:t xml:space="preserve"> </w:t>
      </w:r>
      <w:r>
        <w:rPr>
          <w:rFonts w:ascii="Arial" w:hAnsi="Arial" w:cs="Arial"/>
          <w:lang w:val="en-ZA"/>
        </w:rPr>
        <w:t>…’</w:t>
      </w:r>
    </w:p>
    <w:p w:rsidR="00BC3AA9" w:rsidRDefault="00BC3AA9" w:rsidP="00B106AA">
      <w:pPr>
        <w:spacing w:after="0" w:line="360" w:lineRule="auto"/>
        <w:jc w:val="both"/>
        <w:rPr>
          <w:rFonts w:ascii="Arial" w:hAnsi="Arial" w:cs="Arial"/>
          <w:sz w:val="24"/>
          <w:szCs w:val="24"/>
          <w:lang w:val="en-ZA"/>
        </w:rPr>
      </w:pPr>
      <w:r>
        <w:rPr>
          <w:rFonts w:ascii="Arial" w:hAnsi="Arial" w:cs="Arial"/>
          <w:sz w:val="24"/>
          <w:szCs w:val="24"/>
          <w:lang w:val="en-ZA"/>
        </w:rPr>
        <w:t xml:space="preserve"> </w:t>
      </w:r>
    </w:p>
    <w:p w:rsidR="00B27C0D" w:rsidRDefault="00543386"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47</w:t>
      </w:r>
      <w:r>
        <w:rPr>
          <w:rFonts w:ascii="Arial" w:hAnsi="Arial" w:cs="Arial"/>
          <w:sz w:val="24"/>
          <w:szCs w:val="24"/>
        </w:rPr>
        <w:t>]</w:t>
      </w:r>
      <w:r>
        <w:rPr>
          <w:rFonts w:ascii="Arial" w:hAnsi="Arial" w:cs="Arial"/>
          <w:sz w:val="24"/>
          <w:szCs w:val="24"/>
        </w:rPr>
        <w:tab/>
        <w:t xml:space="preserve">This court having considered the </w:t>
      </w:r>
      <w:r w:rsidR="005D7D64">
        <w:rPr>
          <w:rFonts w:ascii="Arial" w:hAnsi="Arial" w:cs="Arial"/>
          <w:sz w:val="24"/>
          <w:szCs w:val="24"/>
        </w:rPr>
        <w:t>above</w:t>
      </w:r>
      <w:r w:rsidR="000619EE">
        <w:rPr>
          <w:rFonts w:ascii="Arial" w:hAnsi="Arial" w:cs="Arial"/>
          <w:sz w:val="24"/>
          <w:szCs w:val="24"/>
        </w:rPr>
        <w:t>,</w:t>
      </w:r>
      <w:r>
        <w:rPr>
          <w:rFonts w:ascii="Arial" w:hAnsi="Arial" w:cs="Arial"/>
          <w:sz w:val="24"/>
          <w:szCs w:val="24"/>
        </w:rPr>
        <w:t xml:space="preserve"> concludes t</w:t>
      </w:r>
      <w:r w:rsidR="00896166">
        <w:rPr>
          <w:rFonts w:ascii="Arial" w:hAnsi="Arial" w:cs="Arial"/>
          <w:sz w:val="24"/>
          <w:szCs w:val="24"/>
        </w:rPr>
        <w:t>hat regulation 37(1) read with r</w:t>
      </w:r>
      <w:r w:rsidR="000619EE">
        <w:rPr>
          <w:rFonts w:ascii="Arial" w:hAnsi="Arial" w:cs="Arial"/>
          <w:sz w:val="24"/>
          <w:szCs w:val="24"/>
        </w:rPr>
        <w:t>egulation 37(11) is</w:t>
      </w:r>
      <w:r>
        <w:rPr>
          <w:rFonts w:ascii="Arial" w:hAnsi="Arial" w:cs="Arial"/>
          <w:sz w:val="24"/>
          <w:szCs w:val="24"/>
        </w:rPr>
        <w:t xml:space="preserve"> not applicable to the applicants</w:t>
      </w:r>
      <w:r w:rsidR="007E6DF9">
        <w:rPr>
          <w:rFonts w:ascii="Arial" w:hAnsi="Arial" w:cs="Arial"/>
          <w:sz w:val="24"/>
          <w:szCs w:val="24"/>
        </w:rPr>
        <w:t>. The provisions as interpreted by the court, is not unreasonable nor does it lead to a manifest absurdity or inconsistency or inequality. This c</w:t>
      </w:r>
      <w:r>
        <w:rPr>
          <w:rFonts w:ascii="Arial" w:hAnsi="Arial" w:cs="Arial"/>
          <w:sz w:val="24"/>
          <w:szCs w:val="24"/>
        </w:rPr>
        <w:t xml:space="preserve">ourt cannot </w:t>
      </w:r>
      <w:r w:rsidR="007E6DF9">
        <w:rPr>
          <w:rFonts w:ascii="Arial" w:hAnsi="Arial" w:cs="Arial"/>
          <w:sz w:val="24"/>
          <w:szCs w:val="24"/>
        </w:rPr>
        <w:t xml:space="preserve">order compliance with paragraph 3.3 of the letter of appointment in light of the fact that such a term would be </w:t>
      </w:r>
      <w:r w:rsidR="007E6DF9" w:rsidRPr="00B27C0D">
        <w:rPr>
          <w:rFonts w:ascii="Arial" w:hAnsi="Arial" w:cs="Arial"/>
          <w:i/>
          <w:sz w:val="24"/>
          <w:szCs w:val="24"/>
        </w:rPr>
        <w:t>ultra vires</w:t>
      </w:r>
      <w:r w:rsidR="00B27C0D">
        <w:rPr>
          <w:rFonts w:ascii="Arial" w:hAnsi="Arial" w:cs="Arial"/>
          <w:sz w:val="24"/>
          <w:szCs w:val="24"/>
        </w:rPr>
        <w:t xml:space="preserve"> the Service Regulations and it cannot therefore be said the first respondent unilaterally changed the condition</w:t>
      </w:r>
      <w:r w:rsidR="000619EE">
        <w:rPr>
          <w:rFonts w:ascii="Arial" w:hAnsi="Arial" w:cs="Arial"/>
          <w:sz w:val="24"/>
          <w:szCs w:val="24"/>
        </w:rPr>
        <w:t>s</w:t>
      </w:r>
      <w:r w:rsidR="00B27C0D">
        <w:rPr>
          <w:rFonts w:ascii="Arial" w:hAnsi="Arial" w:cs="Arial"/>
          <w:sz w:val="24"/>
          <w:szCs w:val="24"/>
        </w:rPr>
        <w:t xml:space="preserve"> of employment by refusing to grant the applicants the benefit or payment in lieu thereof. </w:t>
      </w:r>
    </w:p>
    <w:p w:rsidR="008E5C0F" w:rsidRDefault="008E5C0F" w:rsidP="00F41734">
      <w:pPr>
        <w:spacing w:after="0" w:line="360" w:lineRule="auto"/>
        <w:jc w:val="both"/>
        <w:rPr>
          <w:rFonts w:ascii="Arial" w:hAnsi="Arial" w:cs="Arial"/>
          <w:sz w:val="24"/>
          <w:szCs w:val="24"/>
        </w:rPr>
      </w:pPr>
    </w:p>
    <w:p w:rsidR="007E6DF9" w:rsidRDefault="00B27C0D"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48</w:t>
      </w:r>
      <w:r>
        <w:rPr>
          <w:rFonts w:ascii="Arial" w:hAnsi="Arial" w:cs="Arial"/>
          <w:sz w:val="24"/>
          <w:szCs w:val="24"/>
        </w:rPr>
        <w:t>]</w:t>
      </w:r>
      <w:r>
        <w:rPr>
          <w:rFonts w:ascii="Arial" w:hAnsi="Arial" w:cs="Arial"/>
          <w:sz w:val="24"/>
          <w:szCs w:val="24"/>
        </w:rPr>
        <w:tab/>
      </w:r>
      <w:r w:rsidR="00E473A9">
        <w:rPr>
          <w:rFonts w:ascii="Arial" w:hAnsi="Arial" w:cs="Arial"/>
          <w:sz w:val="24"/>
          <w:szCs w:val="24"/>
          <w:lang w:val="en-ZA"/>
        </w:rPr>
        <w:t xml:space="preserve">The applicants failed to make out a case that </w:t>
      </w:r>
      <w:r w:rsidR="0037253D">
        <w:rPr>
          <w:rFonts w:ascii="Arial" w:hAnsi="Arial" w:cs="Arial"/>
          <w:sz w:val="24"/>
          <w:szCs w:val="24"/>
          <w:lang w:val="en-ZA"/>
        </w:rPr>
        <w:t xml:space="preserve">they </w:t>
      </w:r>
      <w:r w:rsidR="00E473A9">
        <w:rPr>
          <w:rFonts w:ascii="Arial" w:hAnsi="Arial" w:cs="Arial"/>
          <w:sz w:val="24"/>
          <w:szCs w:val="24"/>
          <w:lang w:val="en-ZA"/>
        </w:rPr>
        <w:t>have any existing, future or contingent right in terms of regulation 37</w:t>
      </w:r>
      <w:r w:rsidR="0037253D">
        <w:rPr>
          <w:rFonts w:ascii="Arial" w:hAnsi="Arial" w:cs="Arial"/>
          <w:sz w:val="24"/>
          <w:szCs w:val="24"/>
          <w:lang w:val="en-ZA"/>
        </w:rPr>
        <w:t>.</w:t>
      </w:r>
      <w:r w:rsidR="007E6DF9">
        <w:rPr>
          <w:rFonts w:ascii="Arial" w:hAnsi="Arial" w:cs="Arial"/>
          <w:sz w:val="24"/>
          <w:szCs w:val="24"/>
        </w:rPr>
        <w:t xml:space="preserve"> In the result</w:t>
      </w:r>
      <w:r w:rsidR="00896166">
        <w:rPr>
          <w:rFonts w:ascii="Arial" w:hAnsi="Arial" w:cs="Arial"/>
          <w:sz w:val="24"/>
          <w:szCs w:val="24"/>
        </w:rPr>
        <w:t>,</w:t>
      </w:r>
      <w:r w:rsidR="007E6DF9">
        <w:rPr>
          <w:rFonts w:ascii="Arial" w:hAnsi="Arial" w:cs="Arial"/>
          <w:sz w:val="24"/>
          <w:szCs w:val="24"/>
        </w:rPr>
        <w:t xml:space="preserve"> prayer</w:t>
      </w:r>
      <w:r w:rsidR="00896166">
        <w:rPr>
          <w:rFonts w:ascii="Arial" w:hAnsi="Arial" w:cs="Arial"/>
          <w:sz w:val="24"/>
          <w:szCs w:val="24"/>
        </w:rPr>
        <w:t>s</w:t>
      </w:r>
      <w:r w:rsidR="007E6DF9">
        <w:rPr>
          <w:rFonts w:ascii="Arial" w:hAnsi="Arial" w:cs="Arial"/>
          <w:sz w:val="24"/>
          <w:szCs w:val="24"/>
        </w:rPr>
        <w:t xml:space="preserve"> 2 and 3 of the notice of motion stands to be dismissed.</w:t>
      </w:r>
    </w:p>
    <w:p w:rsidR="00E473A9" w:rsidRDefault="00E473A9" w:rsidP="00F41734">
      <w:pPr>
        <w:spacing w:after="0" w:line="360" w:lineRule="auto"/>
        <w:jc w:val="both"/>
        <w:rPr>
          <w:rFonts w:ascii="Arial" w:hAnsi="Arial" w:cs="Arial"/>
          <w:sz w:val="24"/>
          <w:szCs w:val="24"/>
        </w:rPr>
      </w:pPr>
    </w:p>
    <w:p w:rsidR="007E6DF9" w:rsidRPr="00170EAE" w:rsidRDefault="00E473A9" w:rsidP="00F41734">
      <w:pPr>
        <w:spacing w:after="0" w:line="360" w:lineRule="auto"/>
        <w:jc w:val="both"/>
        <w:rPr>
          <w:rFonts w:ascii="Arial" w:hAnsi="Arial" w:cs="Arial"/>
          <w:sz w:val="24"/>
          <w:szCs w:val="24"/>
          <w:u w:val="single"/>
        </w:rPr>
      </w:pPr>
      <w:r w:rsidRPr="00170EAE">
        <w:rPr>
          <w:rFonts w:ascii="Arial" w:hAnsi="Arial" w:cs="Arial"/>
          <w:sz w:val="24"/>
          <w:szCs w:val="24"/>
          <w:u w:val="single"/>
        </w:rPr>
        <w:t xml:space="preserve">The Counter- Application </w:t>
      </w:r>
    </w:p>
    <w:p w:rsidR="00C720E2" w:rsidRDefault="00C720E2" w:rsidP="00F41734">
      <w:pPr>
        <w:spacing w:after="0" w:line="360" w:lineRule="auto"/>
        <w:jc w:val="both"/>
        <w:rPr>
          <w:rFonts w:ascii="Arial" w:hAnsi="Arial" w:cs="Arial"/>
          <w:i/>
          <w:sz w:val="24"/>
          <w:szCs w:val="24"/>
        </w:rPr>
      </w:pPr>
    </w:p>
    <w:p w:rsidR="007E6DF9" w:rsidRPr="00170EAE" w:rsidRDefault="007E6DF9" w:rsidP="00F41734">
      <w:pPr>
        <w:spacing w:after="0" w:line="360" w:lineRule="auto"/>
        <w:jc w:val="both"/>
        <w:rPr>
          <w:rFonts w:ascii="Arial" w:hAnsi="Arial" w:cs="Arial"/>
          <w:i/>
          <w:sz w:val="24"/>
          <w:szCs w:val="24"/>
        </w:rPr>
      </w:pPr>
      <w:r w:rsidRPr="00170EAE">
        <w:rPr>
          <w:rFonts w:ascii="Arial" w:hAnsi="Arial" w:cs="Arial"/>
          <w:i/>
          <w:sz w:val="24"/>
          <w:szCs w:val="24"/>
        </w:rPr>
        <w:t>Lack of Authority</w:t>
      </w:r>
    </w:p>
    <w:p w:rsidR="00C720E2" w:rsidRDefault="00C720E2" w:rsidP="00F41734">
      <w:pPr>
        <w:spacing w:after="0" w:line="360" w:lineRule="auto"/>
        <w:jc w:val="both"/>
        <w:rPr>
          <w:rFonts w:ascii="Arial" w:hAnsi="Arial" w:cs="Arial"/>
          <w:sz w:val="24"/>
          <w:szCs w:val="24"/>
        </w:rPr>
      </w:pPr>
    </w:p>
    <w:p w:rsidR="00896166" w:rsidRDefault="00170EAE"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49</w:t>
      </w:r>
      <w:r>
        <w:rPr>
          <w:rFonts w:ascii="Arial" w:hAnsi="Arial" w:cs="Arial"/>
          <w:sz w:val="24"/>
          <w:szCs w:val="24"/>
        </w:rPr>
        <w:t>]</w:t>
      </w:r>
      <w:r>
        <w:rPr>
          <w:rFonts w:ascii="Arial" w:hAnsi="Arial" w:cs="Arial"/>
          <w:sz w:val="24"/>
          <w:szCs w:val="24"/>
        </w:rPr>
        <w:tab/>
        <w:t>The applicants submit</w:t>
      </w:r>
      <w:r w:rsidR="007E6DF9">
        <w:rPr>
          <w:rFonts w:ascii="Arial" w:hAnsi="Arial" w:cs="Arial"/>
          <w:sz w:val="24"/>
          <w:szCs w:val="24"/>
        </w:rPr>
        <w:t xml:space="preserve"> that the deponent to the founding affidavit indicated that he is au</w:t>
      </w:r>
      <w:r w:rsidR="00896166">
        <w:rPr>
          <w:rFonts w:ascii="Arial" w:hAnsi="Arial" w:cs="Arial"/>
          <w:sz w:val="24"/>
          <w:szCs w:val="24"/>
        </w:rPr>
        <w:t>thorised to institute a counter-</w:t>
      </w:r>
      <w:r w:rsidR="007E6DF9">
        <w:rPr>
          <w:rFonts w:ascii="Arial" w:hAnsi="Arial" w:cs="Arial"/>
          <w:sz w:val="24"/>
          <w:szCs w:val="24"/>
        </w:rPr>
        <w:t xml:space="preserve">application on behalf of the first respondent. The lack </w:t>
      </w:r>
      <w:r w:rsidR="007E6DF9">
        <w:rPr>
          <w:rFonts w:ascii="Arial" w:hAnsi="Arial" w:cs="Arial"/>
          <w:sz w:val="24"/>
          <w:szCs w:val="24"/>
        </w:rPr>
        <w:lastRenderedPageBreak/>
        <w:t>of authorisation was raised in the answering affidavit</w:t>
      </w:r>
      <w:r>
        <w:rPr>
          <w:rFonts w:ascii="Arial" w:hAnsi="Arial" w:cs="Arial"/>
          <w:sz w:val="24"/>
          <w:szCs w:val="24"/>
        </w:rPr>
        <w:t xml:space="preserve"> to the counterclaim. In </w:t>
      </w:r>
      <w:r w:rsidR="007E6DF9">
        <w:rPr>
          <w:rFonts w:ascii="Arial" w:hAnsi="Arial" w:cs="Arial"/>
          <w:sz w:val="24"/>
          <w:szCs w:val="24"/>
        </w:rPr>
        <w:t xml:space="preserve">response hereto the </w:t>
      </w:r>
      <w:r>
        <w:rPr>
          <w:rFonts w:ascii="Arial" w:hAnsi="Arial" w:cs="Arial"/>
          <w:sz w:val="24"/>
          <w:szCs w:val="24"/>
        </w:rPr>
        <w:t xml:space="preserve">first </w:t>
      </w:r>
      <w:r w:rsidR="007E6DF9">
        <w:rPr>
          <w:rFonts w:ascii="Arial" w:hAnsi="Arial" w:cs="Arial"/>
          <w:sz w:val="24"/>
          <w:szCs w:val="24"/>
        </w:rPr>
        <w:t>respondent attached a resolution No 107/04/2020.</w:t>
      </w:r>
    </w:p>
    <w:p w:rsidR="00BC38ED" w:rsidRDefault="007E6DF9"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50</w:t>
      </w:r>
      <w:r>
        <w:rPr>
          <w:rFonts w:ascii="Arial" w:hAnsi="Arial" w:cs="Arial"/>
          <w:sz w:val="24"/>
          <w:szCs w:val="24"/>
        </w:rPr>
        <w:t>]</w:t>
      </w:r>
      <w:r>
        <w:rPr>
          <w:rFonts w:ascii="Arial" w:hAnsi="Arial" w:cs="Arial"/>
          <w:sz w:val="24"/>
          <w:szCs w:val="24"/>
        </w:rPr>
        <w:tab/>
        <w:t>The resolution was crafted following a Special Municipal Council Meeting on 20 April 2020. The meeting dealt with an urgent application</w:t>
      </w:r>
      <w:r w:rsidR="00BC38ED">
        <w:rPr>
          <w:rFonts w:ascii="Arial" w:hAnsi="Arial" w:cs="Arial"/>
          <w:sz w:val="24"/>
          <w:szCs w:val="24"/>
        </w:rPr>
        <w:t xml:space="preserve"> brought against the respondent</w:t>
      </w:r>
      <w:r w:rsidR="00170EAE">
        <w:rPr>
          <w:rFonts w:ascii="Arial" w:hAnsi="Arial" w:cs="Arial"/>
          <w:sz w:val="24"/>
          <w:szCs w:val="24"/>
        </w:rPr>
        <w:t xml:space="preserve"> at that time</w:t>
      </w:r>
      <w:r w:rsidR="00BC38ED">
        <w:rPr>
          <w:rFonts w:ascii="Arial" w:hAnsi="Arial" w:cs="Arial"/>
          <w:sz w:val="24"/>
          <w:szCs w:val="24"/>
        </w:rPr>
        <w:t xml:space="preserve">. </w:t>
      </w:r>
      <w:r w:rsidR="00170EAE">
        <w:rPr>
          <w:rFonts w:ascii="Arial" w:hAnsi="Arial" w:cs="Arial"/>
          <w:sz w:val="24"/>
          <w:szCs w:val="24"/>
        </w:rPr>
        <w:t>In</w:t>
      </w:r>
      <w:r w:rsidR="00BC38ED">
        <w:rPr>
          <w:rFonts w:ascii="Arial" w:hAnsi="Arial" w:cs="Arial"/>
          <w:sz w:val="24"/>
          <w:szCs w:val="24"/>
        </w:rPr>
        <w:t xml:space="preserve"> terms of an existing resolution the Chief Executive Officer was mandated to depose to affidavits on behalf of the first respondent. The resolution No 107/04/2020 changed this situation and it was resolved as follows:</w:t>
      </w:r>
    </w:p>
    <w:p w:rsidR="008E5C0F" w:rsidRDefault="008E5C0F" w:rsidP="00F41734">
      <w:pPr>
        <w:spacing w:after="0" w:line="360" w:lineRule="auto"/>
        <w:jc w:val="both"/>
        <w:rPr>
          <w:rFonts w:ascii="Arial" w:hAnsi="Arial" w:cs="Arial"/>
          <w:sz w:val="24"/>
          <w:szCs w:val="24"/>
        </w:rPr>
      </w:pPr>
    </w:p>
    <w:p w:rsidR="00BC38ED" w:rsidRPr="003D3EAA" w:rsidRDefault="00BC38ED" w:rsidP="00BC38ED">
      <w:pPr>
        <w:spacing w:after="0" w:line="360" w:lineRule="auto"/>
        <w:ind w:firstLine="720"/>
        <w:jc w:val="both"/>
        <w:rPr>
          <w:rFonts w:ascii="Arial" w:hAnsi="Arial" w:cs="Arial"/>
        </w:rPr>
      </w:pPr>
      <w:r w:rsidRPr="003D3EAA">
        <w:rPr>
          <w:rFonts w:ascii="Arial" w:hAnsi="Arial" w:cs="Arial"/>
        </w:rPr>
        <w:t>‘That Council resolution 19/2/</w:t>
      </w:r>
      <w:r w:rsidR="005D7D64">
        <w:rPr>
          <w:rFonts w:ascii="Arial" w:hAnsi="Arial" w:cs="Arial"/>
        </w:rPr>
        <w:t>2006</w:t>
      </w:r>
      <w:r w:rsidRPr="003D3EAA">
        <w:rPr>
          <w:rFonts w:ascii="Arial" w:hAnsi="Arial" w:cs="Arial"/>
        </w:rPr>
        <w:t xml:space="preserve"> …. be rescinded in its </w:t>
      </w:r>
      <w:r w:rsidR="00170EAE" w:rsidRPr="003D3EAA">
        <w:rPr>
          <w:rFonts w:ascii="Arial" w:hAnsi="Arial" w:cs="Arial"/>
        </w:rPr>
        <w:t>entirety</w:t>
      </w:r>
      <w:r w:rsidRPr="003D3EAA">
        <w:rPr>
          <w:rFonts w:ascii="Arial" w:hAnsi="Arial" w:cs="Arial"/>
        </w:rPr>
        <w:t xml:space="preserve"> and the powers on litigation and arbitration revert to Council from the date of this Council resolution;</w:t>
      </w:r>
    </w:p>
    <w:p w:rsidR="00BC38ED" w:rsidRPr="003D3EAA" w:rsidRDefault="00BC38ED" w:rsidP="00BC38ED">
      <w:pPr>
        <w:spacing w:after="0" w:line="360" w:lineRule="auto"/>
        <w:ind w:firstLine="720"/>
        <w:jc w:val="both"/>
        <w:rPr>
          <w:rFonts w:ascii="Arial" w:hAnsi="Arial" w:cs="Arial"/>
        </w:rPr>
      </w:pPr>
      <w:r w:rsidRPr="003D3EAA">
        <w:rPr>
          <w:rFonts w:ascii="Arial" w:hAnsi="Arial" w:cs="Arial"/>
        </w:rPr>
        <w:t xml:space="preserve">That </w:t>
      </w:r>
      <w:r w:rsidR="00170EAE" w:rsidRPr="003D3EAA">
        <w:rPr>
          <w:rFonts w:ascii="Arial" w:hAnsi="Arial" w:cs="Arial"/>
        </w:rPr>
        <w:t>future</w:t>
      </w:r>
      <w:r w:rsidRPr="003D3EAA">
        <w:rPr>
          <w:rFonts w:ascii="Arial" w:hAnsi="Arial" w:cs="Arial"/>
        </w:rPr>
        <w:t xml:space="preserve"> litigation and arbitration matters of Council be done by the Chief Executive Officer </w:t>
      </w:r>
      <w:r w:rsidRPr="003D3EAA">
        <w:rPr>
          <w:rFonts w:ascii="Arial" w:hAnsi="Arial" w:cs="Arial"/>
          <w:u w:val="single"/>
        </w:rPr>
        <w:t>in consultation with the Chairperson of the Management Com</w:t>
      </w:r>
      <w:r w:rsidRPr="003D3EAA">
        <w:rPr>
          <w:rFonts w:ascii="Arial" w:hAnsi="Arial" w:cs="Arial"/>
        </w:rPr>
        <w:t>mittee.’</w:t>
      </w:r>
    </w:p>
    <w:p w:rsidR="00BC38ED" w:rsidRPr="003D3EAA" w:rsidRDefault="00BC38ED" w:rsidP="00BC38ED">
      <w:pPr>
        <w:spacing w:after="0" w:line="360" w:lineRule="auto"/>
        <w:jc w:val="both"/>
        <w:rPr>
          <w:rFonts w:ascii="Arial" w:hAnsi="Arial" w:cs="Arial"/>
        </w:rPr>
      </w:pPr>
    </w:p>
    <w:p w:rsidR="00BC38ED" w:rsidRPr="000619EE" w:rsidRDefault="007E6DF9" w:rsidP="00BC38ED">
      <w:pPr>
        <w:spacing w:after="0" w:line="360" w:lineRule="auto"/>
        <w:jc w:val="both"/>
        <w:rPr>
          <w:rFonts w:ascii="Arial" w:hAnsi="Arial" w:cs="Arial"/>
          <w:sz w:val="24"/>
          <w:szCs w:val="24"/>
        </w:rPr>
      </w:pPr>
      <w:r w:rsidRPr="000619EE">
        <w:rPr>
          <w:rFonts w:ascii="Arial" w:hAnsi="Arial" w:cs="Arial"/>
          <w:sz w:val="24"/>
          <w:szCs w:val="24"/>
        </w:rPr>
        <w:t xml:space="preserve"> </w:t>
      </w:r>
      <w:r w:rsidR="00BC38ED" w:rsidRPr="000619EE">
        <w:rPr>
          <w:rFonts w:ascii="Arial" w:hAnsi="Arial" w:cs="Arial"/>
          <w:sz w:val="24"/>
          <w:szCs w:val="24"/>
        </w:rPr>
        <w:t>[</w:t>
      </w:r>
      <w:r w:rsidR="00C720E2" w:rsidRPr="000619EE">
        <w:rPr>
          <w:rFonts w:ascii="Arial" w:hAnsi="Arial" w:cs="Arial"/>
          <w:sz w:val="24"/>
          <w:szCs w:val="24"/>
        </w:rPr>
        <w:t>51</w:t>
      </w:r>
      <w:r w:rsidR="00BC38ED" w:rsidRPr="000619EE">
        <w:rPr>
          <w:rFonts w:ascii="Arial" w:hAnsi="Arial" w:cs="Arial"/>
          <w:sz w:val="24"/>
          <w:szCs w:val="24"/>
        </w:rPr>
        <w:t>]</w:t>
      </w:r>
      <w:r w:rsidR="00BC38ED" w:rsidRPr="000619EE">
        <w:rPr>
          <w:rFonts w:ascii="Arial" w:hAnsi="Arial" w:cs="Arial"/>
          <w:sz w:val="24"/>
          <w:szCs w:val="24"/>
        </w:rPr>
        <w:tab/>
        <w:t>The founding affidavit was deposed to by George Mujiwa Mayumbelo</w:t>
      </w:r>
      <w:r w:rsidR="000619EE">
        <w:rPr>
          <w:rFonts w:ascii="Arial" w:hAnsi="Arial" w:cs="Arial"/>
          <w:sz w:val="24"/>
          <w:szCs w:val="24"/>
        </w:rPr>
        <w:t xml:space="preserve"> in his affidavit </w:t>
      </w:r>
      <w:r w:rsidR="00BC38ED" w:rsidRPr="000619EE">
        <w:rPr>
          <w:rFonts w:ascii="Arial" w:hAnsi="Arial" w:cs="Arial"/>
          <w:sz w:val="24"/>
          <w:szCs w:val="24"/>
        </w:rPr>
        <w:t>stated as follow:</w:t>
      </w:r>
    </w:p>
    <w:p w:rsidR="008E5C0F" w:rsidRPr="003D3EAA" w:rsidRDefault="008E5C0F" w:rsidP="00BC38ED">
      <w:pPr>
        <w:spacing w:after="0" w:line="360" w:lineRule="auto"/>
        <w:jc w:val="both"/>
        <w:rPr>
          <w:rFonts w:ascii="Arial" w:hAnsi="Arial" w:cs="Arial"/>
        </w:rPr>
      </w:pPr>
    </w:p>
    <w:p w:rsidR="00233B16" w:rsidRPr="003D3EAA" w:rsidRDefault="00BC38ED" w:rsidP="00BC38ED">
      <w:pPr>
        <w:spacing w:after="0" w:line="360" w:lineRule="auto"/>
        <w:ind w:firstLine="720"/>
        <w:jc w:val="both"/>
        <w:rPr>
          <w:rFonts w:ascii="Arial" w:hAnsi="Arial" w:cs="Arial"/>
        </w:rPr>
      </w:pPr>
      <w:r w:rsidRPr="003D3EAA">
        <w:rPr>
          <w:rFonts w:ascii="Arial" w:hAnsi="Arial" w:cs="Arial"/>
        </w:rPr>
        <w:t>‘I am</w:t>
      </w:r>
      <w:r w:rsidR="00233B16" w:rsidRPr="003D3EAA">
        <w:rPr>
          <w:rFonts w:ascii="Arial" w:hAnsi="Arial" w:cs="Arial"/>
        </w:rPr>
        <w:t>:</w:t>
      </w:r>
      <w:r w:rsidRPr="003D3EAA">
        <w:rPr>
          <w:rFonts w:ascii="Arial" w:hAnsi="Arial" w:cs="Arial"/>
        </w:rPr>
        <w:t xml:space="preserve"> </w:t>
      </w:r>
    </w:p>
    <w:p w:rsidR="00233B16" w:rsidRPr="003D3EAA" w:rsidRDefault="00233B16" w:rsidP="00BC38ED">
      <w:pPr>
        <w:spacing w:after="0" w:line="360" w:lineRule="auto"/>
        <w:ind w:firstLine="720"/>
        <w:jc w:val="both"/>
        <w:rPr>
          <w:rFonts w:ascii="Arial" w:hAnsi="Arial" w:cs="Arial"/>
        </w:rPr>
      </w:pPr>
      <w:r w:rsidRPr="003D3EAA">
        <w:rPr>
          <w:rFonts w:ascii="Arial" w:hAnsi="Arial" w:cs="Arial"/>
        </w:rPr>
        <w:t>an Acting Chief Executive Officer of the First Respondent …</w:t>
      </w:r>
    </w:p>
    <w:p w:rsidR="00BC38ED" w:rsidRPr="003D3EAA" w:rsidRDefault="00BC38ED" w:rsidP="00BC38ED">
      <w:pPr>
        <w:spacing w:after="0" w:line="360" w:lineRule="auto"/>
        <w:ind w:firstLine="720"/>
        <w:jc w:val="both"/>
        <w:rPr>
          <w:rFonts w:ascii="Arial" w:hAnsi="Arial" w:cs="Arial"/>
        </w:rPr>
      </w:pPr>
      <w:r w:rsidRPr="003D3EAA">
        <w:rPr>
          <w:rFonts w:ascii="Arial" w:hAnsi="Arial" w:cs="Arial"/>
        </w:rPr>
        <w:t>duly able to depose to this Affidavit and authorised to institute this application on behalf of the First Respondent …’</w:t>
      </w:r>
    </w:p>
    <w:p w:rsidR="00233B16" w:rsidRPr="003D3EAA" w:rsidRDefault="00BC38ED" w:rsidP="00BC38ED">
      <w:pPr>
        <w:spacing w:after="0" w:line="360" w:lineRule="auto"/>
        <w:jc w:val="both"/>
        <w:rPr>
          <w:rFonts w:ascii="Arial" w:hAnsi="Arial" w:cs="Arial"/>
        </w:rPr>
      </w:pPr>
      <w:r w:rsidRPr="003D3EAA">
        <w:rPr>
          <w:rFonts w:ascii="Arial" w:hAnsi="Arial" w:cs="Arial"/>
        </w:rPr>
        <w:t xml:space="preserve">The replying affidavit was deposed to by Faniel Ilukena Maanda and he </w:t>
      </w:r>
      <w:r w:rsidR="00233B16" w:rsidRPr="003D3EAA">
        <w:rPr>
          <w:rFonts w:ascii="Arial" w:hAnsi="Arial" w:cs="Arial"/>
        </w:rPr>
        <w:t>states as follow:</w:t>
      </w:r>
    </w:p>
    <w:p w:rsidR="00233B16" w:rsidRPr="003D3EAA" w:rsidRDefault="00233B16" w:rsidP="00BC38ED">
      <w:pPr>
        <w:spacing w:after="0" w:line="360" w:lineRule="auto"/>
        <w:jc w:val="both"/>
        <w:rPr>
          <w:rFonts w:ascii="Arial" w:hAnsi="Arial" w:cs="Arial"/>
        </w:rPr>
      </w:pPr>
      <w:r w:rsidRPr="003D3EAA">
        <w:rPr>
          <w:rFonts w:ascii="Arial" w:hAnsi="Arial" w:cs="Arial"/>
        </w:rPr>
        <w:tab/>
        <w:t>‘I am:</w:t>
      </w:r>
    </w:p>
    <w:p w:rsidR="00233B16" w:rsidRPr="003D3EAA" w:rsidRDefault="00233B16" w:rsidP="00BC38ED">
      <w:pPr>
        <w:spacing w:after="0" w:line="360" w:lineRule="auto"/>
        <w:jc w:val="both"/>
        <w:rPr>
          <w:rFonts w:ascii="Arial" w:hAnsi="Arial" w:cs="Arial"/>
        </w:rPr>
      </w:pPr>
      <w:r w:rsidRPr="003D3EAA">
        <w:rPr>
          <w:rFonts w:ascii="Arial" w:hAnsi="Arial" w:cs="Arial"/>
        </w:rPr>
        <w:tab/>
        <w:t>…. Currently appointed as the Acting Chief Executive Office of the First respondent</w:t>
      </w:r>
    </w:p>
    <w:p w:rsidR="00735ED0" w:rsidRPr="003D3EAA" w:rsidRDefault="00233B16" w:rsidP="00BC38ED">
      <w:pPr>
        <w:spacing w:after="0" w:line="360" w:lineRule="auto"/>
        <w:jc w:val="both"/>
        <w:rPr>
          <w:rFonts w:ascii="Arial" w:hAnsi="Arial" w:cs="Arial"/>
        </w:rPr>
      </w:pPr>
      <w:r w:rsidRPr="003D3EAA">
        <w:rPr>
          <w:rFonts w:ascii="Arial" w:hAnsi="Arial" w:cs="Arial"/>
        </w:rPr>
        <w:tab/>
        <w:t>…I am duly able to prosecute this application and depose to this replying affidavit …’</w:t>
      </w:r>
      <w:r w:rsidR="007E6DF9" w:rsidRPr="003D3EAA">
        <w:rPr>
          <w:rFonts w:ascii="Arial" w:hAnsi="Arial" w:cs="Arial"/>
        </w:rPr>
        <w:t xml:space="preserve"> </w:t>
      </w:r>
    </w:p>
    <w:p w:rsidR="00543386" w:rsidRDefault="00543386" w:rsidP="00F41734">
      <w:pPr>
        <w:spacing w:after="0" w:line="360" w:lineRule="auto"/>
        <w:jc w:val="both"/>
        <w:rPr>
          <w:rFonts w:ascii="Arial" w:hAnsi="Arial" w:cs="Arial"/>
          <w:sz w:val="24"/>
          <w:szCs w:val="24"/>
        </w:rPr>
      </w:pPr>
    </w:p>
    <w:p w:rsidR="00233B16" w:rsidRDefault="00233B16"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52</w:t>
      </w:r>
      <w:r>
        <w:rPr>
          <w:rFonts w:ascii="Arial" w:hAnsi="Arial" w:cs="Arial"/>
          <w:sz w:val="24"/>
          <w:szCs w:val="24"/>
        </w:rPr>
        <w:t>]</w:t>
      </w:r>
      <w:r>
        <w:rPr>
          <w:rFonts w:ascii="Arial" w:hAnsi="Arial" w:cs="Arial"/>
          <w:sz w:val="24"/>
          <w:szCs w:val="24"/>
        </w:rPr>
        <w:tab/>
        <w:t>The first respondent’s position is that the applicants accepted and conceded the authority of the deponent to the answering affidavit in the main a</w:t>
      </w:r>
      <w:r w:rsidR="000619EE">
        <w:rPr>
          <w:rFonts w:ascii="Arial" w:hAnsi="Arial" w:cs="Arial"/>
          <w:sz w:val="24"/>
          <w:szCs w:val="24"/>
        </w:rPr>
        <w:t>pplication and that the counter-</w:t>
      </w:r>
      <w:r>
        <w:rPr>
          <w:rFonts w:ascii="Arial" w:hAnsi="Arial" w:cs="Arial"/>
          <w:sz w:val="24"/>
          <w:szCs w:val="24"/>
        </w:rPr>
        <w:t xml:space="preserve">application is only consequential relief in respect of the defence raised in the main review application. </w:t>
      </w:r>
    </w:p>
    <w:p w:rsidR="00170EAE" w:rsidRDefault="00170EAE" w:rsidP="00F41734">
      <w:pPr>
        <w:spacing w:after="0" w:line="360" w:lineRule="auto"/>
        <w:jc w:val="both"/>
        <w:rPr>
          <w:rFonts w:ascii="Arial" w:hAnsi="Arial" w:cs="Arial"/>
          <w:sz w:val="24"/>
          <w:szCs w:val="24"/>
        </w:rPr>
      </w:pPr>
    </w:p>
    <w:p w:rsidR="00233B16" w:rsidRDefault="00233B16" w:rsidP="00F41734">
      <w:pPr>
        <w:spacing w:after="0" w:line="360" w:lineRule="auto"/>
        <w:jc w:val="both"/>
        <w:rPr>
          <w:rFonts w:ascii="Arial" w:hAnsi="Arial" w:cs="Arial"/>
          <w:sz w:val="24"/>
          <w:szCs w:val="24"/>
        </w:rPr>
      </w:pPr>
      <w:r>
        <w:rPr>
          <w:rFonts w:ascii="Arial" w:hAnsi="Arial" w:cs="Arial"/>
          <w:sz w:val="24"/>
          <w:szCs w:val="24"/>
        </w:rPr>
        <w:lastRenderedPageBreak/>
        <w:t>[</w:t>
      </w:r>
      <w:r w:rsidR="00C720E2">
        <w:rPr>
          <w:rFonts w:ascii="Arial" w:hAnsi="Arial" w:cs="Arial"/>
          <w:sz w:val="24"/>
          <w:szCs w:val="24"/>
        </w:rPr>
        <w:t>53</w:t>
      </w:r>
      <w:r>
        <w:rPr>
          <w:rFonts w:ascii="Arial" w:hAnsi="Arial" w:cs="Arial"/>
          <w:sz w:val="24"/>
          <w:szCs w:val="24"/>
        </w:rPr>
        <w:t>]</w:t>
      </w:r>
      <w:r>
        <w:rPr>
          <w:rFonts w:ascii="Arial" w:hAnsi="Arial" w:cs="Arial"/>
          <w:sz w:val="24"/>
          <w:szCs w:val="24"/>
        </w:rPr>
        <w:tab/>
      </w:r>
      <w:r w:rsidRPr="00C24504">
        <w:rPr>
          <w:rFonts w:ascii="Arial" w:hAnsi="Arial" w:cs="Arial"/>
          <w:sz w:val="24"/>
          <w:szCs w:val="24"/>
        </w:rPr>
        <w:t xml:space="preserve">In </w:t>
      </w:r>
      <w:r w:rsidRPr="00C24504">
        <w:rPr>
          <w:rFonts w:ascii="Arial" w:hAnsi="Arial" w:cs="Arial"/>
          <w:i/>
          <w:sz w:val="24"/>
          <w:szCs w:val="24"/>
        </w:rPr>
        <w:t xml:space="preserve">Christian t/a Hope Financial Services v Namibia Financial Institutions Supervisory </w:t>
      </w:r>
      <w:r w:rsidRPr="00C24504">
        <w:rPr>
          <w:rFonts w:ascii="Arial" w:hAnsi="Arial" w:cs="Arial"/>
          <w:sz w:val="24"/>
          <w:szCs w:val="24"/>
        </w:rPr>
        <w:t>Authority</w:t>
      </w:r>
      <w:r w:rsidR="00866A52" w:rsidRPr="00C24504">
        <w:rPr>
          <w:rStyle w:val="FootnoteReference"/>
          <w:rFonts w:ascii="Arial" w:hAnsi="Arial" w:cs="Arial"/>
          <w:sz w:val="24"/>
          <w:szCs w:val="24"/>
        </w:rPr>
        <w:footnoteReference w:id="12"/>
      </w:r>
      <w:r w:rsidR="00866A52" w:rsidRPr="00C24504">
        <w:rPr>
          <w:rFonts w:ascii="Arial" w:hAnsi="Arial" w:cs="Arial"/>
          <w:sz w:val="24"/>
          <w:szCs w:val="24"/>
        </w:rPr>
        <w:t xml:space="preserve"> the court held that the minimum evidence required</w:t>
      </w:r>
      <w:r w:rsidR="00866A52" w:rsidRPr="00896166">
        <w:rPr>
          <w:rFonts w:ascii="Arial" w:hAnsi="Arial" w:cs="Arial"/>
          <w:b/>
          <w:sz w:val="24"/>
          <w:szCs w:val="24"/>
        </w:rPr>
        <w:t xml:space="preserve"> </w:t>
      </w:r>
      <w:r w:rsidR="00866A52" w:rsidRPr="00C24504">
        <w:rPr>
          <w:rFonts w:ascii="Arial" w:hAnsi="Arial" w:cs="Arial"/>
          <w:sz w:val="24"/>
          <w:szCs w:val="24"/>
        </w:rPr>
        <w:t>whenever a</w:t>
      </w:r>
      <w:r w:rsidR="00866A52" w:rsidRPr="00866A52">
        <w:rPr>
          <w:rFonts w:ascii="Arial" w:hAnsi="Arial" w:cs="Arial"/>
          <w:sz w:val="24"/>
          <w:szCs w:val="24"/>
        </w:rPr>
        <w:t xml:space="preserve"> power of attorney was filed authorising a legal practitioner to appear on behalf of a corporate entity, was a resolution of the corporation from which it should be apparent that the person who had signed the power of attorney had been authorised to execute it in those terms and there could be no authorisation in the absence of such resolution.</w:t>
      </w:r>
    </w:p>
    <w:p w:rsidR="00866A52" w:rsidRDefault="00866A52" w:rsidP="00F41734">
      <w:pPr>
        <w:spacing w:after="0" w:line="360" w:lineRule="auto"/>
        <w:jc w:val="both"/>
        <w:rPr>
          <w:rFonts w:ascii="Arial" w:hAnsi="Arial" w:cs="Arial"/>
          <w:sz w:val="24"/>
          <w:szCs w:val="24"/>
        </w:rPr>
      </w:pPr>
    </w:p>
    <w:p w:rsidR="00866A52" w:rsidRDefault="00866A52"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54</w:t>
      </w:r>
      <w:r>
        <w:rPr>
          <w:rFonts w:ascii="Arial" w:hAnsi="Arial" w:cs="Arial"/>
          <w:sz w:val="24"/>
          <w:szCs w:val="24"/>
        </w:rPr>
        <w:t>]</w:t>
      </w:r>
      <w:r>
        <w:rPr>
          <w:rFonts w:ascii="Arial" w:hAnsi="Arial" w:cs="Arial"/>
          <w:sz w:val="24"/>
          <w:szCs w:val="24"/>
        </w:rPr>
        <w:tab/>
        <w:t xml:space="preserve">Mr Chibwana submits that the applicants by not opposing the locus in relation to the answering affidavit admit that the deponent is not acting on a frolic of his own but has been authorised to oppose the application and that the deponent’s </w:t>
      </w:r>
      <w:r w:rsidRPr="00170EAE">
        <w:rPr>
          <w:rFonts w:ascii="Arial" w:hAnsi="Arial" w:cs="Arial"/>
          <w:i/>
          <w:sz w:val="24"/>
          <w:szCs w:val="24"/>
        </w:rPr>
        <w:t>locus</w:t>
      </w:r>
      <w:r>
        <w:rPr>
          <w:rFonts w:ascii="Arial" w:hAnsi="Arial" w:cs="Arial"/>
          <w:sz w:val="24"/>
          <w:szCs w:val="24"/>
        </w:rPr>
        <w:t xml:space="preserve"> is established in the replying affidavit. </w:t>
      </w:r>
    </w:p>
    <w:p w:rsidR="00866A52" w:rsidRDefault="00866A52" w:rsidP="00F41734">
      <w:pPr>
        <w:spacing w:after="0" w:line="360" w:lineRule="auto"/>
        <w:jc w:val="both"/>
        <w:rPr>
          <w:rFonts w:ascii="Arial" w:hAnsi="Arial" w:cs="Arial"/>
          <w:sz w:val="24"/>
          <w:szCs w:val="24"/>
        </w:rPr>
      </w:pPr>
    </w:p>
    <w:p w:rsidR="00AA4010" w:rsidRDefault="00866A52"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55</w:t>
      </w:r>
      <w:r>
        <w:rPr>
          <w:rFonts w:ascii="Arial" w:hAnsi="Arial" w:cs="Arial"/>
          <w:sz w:val="24"/>
          <w:szCs w:val="24"/>
        </w:rPr>
        <w:t>]</w:t>
      </w:r>
      <w:r>
        <w:rPr>
          <w:rFonts w:ascii="Arial" w:hAnsi="Arial" w:cs="Arial"/>
          <w:sz w:val="24"/>
          <w:szCs w:val="24"/>
        </w:rPr>
        <w:tab/>
        <w:t xml:space="preserve">The first respondent is a </w:t>
      </w:r>
      <w:r w:rsidR="00AA4010">
        <w:rPr>
          <w:rFonts w:ascii="Arial" w:hAnsi="Arial" w:cs="Arial"/>
          <w:sz w:val="24"/>
          <w:szCs w:val="24"/>
        </w:rPr>
        <w:t xml:space="preserve">corporate entity and as such the resolution must reflect that the deponents are authorised to institute proceedings or to oppose. The fact that it was not raised in respect of the answering affidavit is not relevant when the court considers the </w:t>
      </w:r>
      <w:r w:rsidR="00896166">
        <w:rPr>
          <w:rFonts w:ascii="Arial" w:hAnsi="Arial" w:cs="Arial"/>
          <w:sz w:val="24"/>
          <w:szCs w:val="24"/>
        </w:rPr>
        <w:t>objection raised in the counter-</w:t>
      </w:r>
      <w:r w:rsidR="00AA4010">
        <w:rPr>
          <w:rFonts w:ascii="Arial" w:hAnsi="Arial" w:cs="Arial"/>
          <w:sz w:val="24"/>
          <w:szCs w:val="24"/>
        </w:rPr>
        <w:t xml:space="preserve">application. The </w:t>
      </w:r>
      <w:r w:rsidR="008338F1">
        <w:rPr>
          <w:rFonts w:ascii="Arial" w:hAnsi="Arial" w:cs="Arial"/>
          <w:sz w:val="24"/>
          <w:szCs w:val="24"/>
        </w:rPr>
        <w:t>guidelines established in respect of authorisation have</w:t>
      </w:r>
      <w:r w:rsidR="00AA4010">
        <w:rPr>
          <w:rFonts w:ascii="Arial" w:hAnsi="Arial" w:cs="Arial"/>
          <w:sz w:val="24"/>
          <w:szCs w:val="24"/>
        </w:rPr>
        <w:t xml:space="preserve"> been set </w:t>
      </w:r>
      <w:r w:rsidR="00170EAE">
        <w:rPr>
          <w:rFonts w:ascii="Arial" w:hAnsi="Arial" w:cs="Arial"/>
          <w:sz w:val="24"/>
          <w:szCs w:val="24"/>
        </w:rPr>
        <w:t>out clearly</w:t>
      </w:r>
      <w:r w:rsidR="00AA4010">
        <w:rPr>
          <w:rFonts w:ascii="Arial" w:hAnsi="Arial" w:cs="Arial"/>
          <w:sz w:val="24"/>
          <w:szCs w:val="24"/>
        </w:rPr>
        <w:t>. If there is no authorisation in the form of a r</w:t>
      </w:r>
      <w:r>
        <w:rPr>
          <w:rFonts w:ascii="Arial" w:hAnsi="Arial" w:cs="Arial"/>
          <w:sz w:val="24"/>
          <w:szCs w:val="24"/>
        </w:rPr>
        <w:t xml:space="preserve">esolution </w:t>
      </w:r>
      <w:r w:rsidR="00AA4010">
        <w:rPr>
          <w:rFonts w:ascii="Arial" w:hAnsi="Arial" w:cs="Arial"/>
          <w:sz w:val="24"/>
          <w:szCs w:val="24"/>
        </w:rPr>
        <w:t xml:space="preserve">from which it is apparent that Mr Mayumbelo had the authorisation to institute action, such process would be null and void. </w:t>
      </w:r>
    </w:p>
    <w:p w:rsidR="00AA4010" w:rsidRDefault="00AA4010" w:rsidP="00F41734">
      <w:pPr>
        <w:spacing w:after="0" w:line="360" w:lineRule="auto"/>
        <w:jc w:val="both"/>
        <w:rPr>
          <w:rFonts w:ascii="Arial" w:hAnsi="Arial" w:cs="Arial"/>
          <w:sz w:val="24"/>
          <w:szCs w:val="24"/>
        </w:rPr>
      </w:pPr>
    </w:p>
    <w:p w:rsidR="00AA4010" w:rsidRDefault="00AA4010"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56</w:t>
      </w:r>
      <w:r>
        <w:rPr>
          <w:rFonts w:ascii="Arial" w:hAnsi="Arial" w:cs="Arial"/>
          <w:sz w:val="24"/>
          <w:szCs w:val="24"/>
        </w:rPr>
        <w:t>]</w:t>
      </w:r>
      <w:r>
        <w:rPr>
          <w:rFonts w:ascii="Arial" w:hAnsi="Arial" w:cs="Arial"/>
          <w:sz w:val="24"/>
          <w:szCs w:val="24"/>
        </w:rPr>
        <w:tab/>
        <w:t>The resolution clearly makes provision that litigation of the first respondent must be done by the Chief Executive Officer in consultation with the Chairperson of the Management Committee. There is no evidence that the deponent have consulted with the Chairperson of the Management Committee. The minimum evidence adduced in support of the deponent’s authorisation to institute proceedings on behalf of the first respondent is not sufficient to prove that such authorisation has been obtained. For this reason the counter-application stands to be struck from the roll.</w:t>
      </w:r>
    </w:p>
    <w:p w:rsidR="00AA4010" w:rsidRDefault="00AA4010" w:rsidP="00F41734">
      <w:pPr>
        <w:spacing w:after="0" w:line="360" w:lineRule="auto"/>
        <w:jc w:val="both"/>
        <w:rPr>
          <w:rFonts w:ascii="Arial" w:hAnsi="Arial" w:cs="Arial"/>
          <w:sz w:val="24"/>
          <w:szCs w:val="24"/>
        </w:rPr>
      </w:pPr>
    </w:p>
    <w:p w:rsidR="00896166" w:rsidRPr="00170EAE" w:rsidRDefault="00AA4010" w:rsidP="00F41734">
      <w:pPr>
        <w:spacing w:after="0" w:line="360" w:lineRule="auto"/>
        <w:jc w:val="both"/>
        <w:rPr>
          <w:rFonts w:ascii="Arial" w:hAnsi="Arial" w:cs="Arial"/>
          <w:sz w:val="24"/>
          <w:szCs w:val="24"/>
          <w:u w:val="single"/>
        </w:rPr>
      </w:pPr>
      <w:r w:rsidRPr="00170EAE">
        <w:rPr>
          <w:rFonts w:ascii="Arial" w:hAnsi="Arial" w:cs="Arial"/>
          <w:sz w:val="24"/>
          <w:szCs w:val="24"/>
          <w:u w:val="single"/>
        </w:rPr>
        <w:t>Costs</w:t>
      </w:r>
    </w:p>
    <w:p w:rsidR="00E473A9" w:rsidRDefault="00AA4010" w:rsidP="00F41734">
      <w:pPr>
        <w:spacing w:after="0" w:line="360" w:lineRule="auto"/>
        <w:jc w:val="both"/>
        <w:rPr>
          <w:rFonts w:ascii="Arial" w:hAnsi="Arial" w:cs="Arial"/>
          <w:sz w:val="24"/>
          <w:szCs w:val="24"/>
        </w:rPr>
      </w:pPr>
      <w:r>
        <w:rPr>
          <w:rFonts w:ascii="Arial" w:hAnsi="Arial" w:cs="Arial"/>
          <w:sz w:val="24"/>
          <w:szCs w:val="24"/>
        </w:rPr>
        <w:lastRenderedPageBreak/>
        <w:t>[</w:t>
      </w:r>
      <w:r w:rsidR="00C720E2">
        <w:rPr>
          <w:rFonts w:ascii="Arial" w:hAnsi="Arial" w:cs="Arial"/>
          <w:sz w:val="24"/>
          <w:szCs w:val="24"/>
        </w:rPr>
        <w:t>57</w:t>
      </w:r>
      <w:r>
        <w:rPr>
          <w:rFonts w:ascii="Arial" w:hAnsi="Arial" w:cs="Arial"/>
          <w:sz w:val="24"/>
          <w:szCs w:val="24"/>
        </w:rPr>
        <w:t>]</w:t>
      </w:r>
      <w:r>
        <w:rPr>
          <w:rFonts w:ascii="Arial" w:hAnsi="Arial" w:cs="Arial"/>
          <w:sz w:val="24"/>
          <w:szCs w:val="24"/>
        </w:rPr>
        <w:tab/>
        <w:t>The</w:t>
      </w:r>
      <w:r w:rsidR="00E473A9">
        <w:rPr>
          <w:rFonts w:ascii="Arial" w:hAnsi="Arial" w:cs="Arial"/>
          <w:sz w:val="24"/>
          <w:szCs w:val="24"/>
        </w:rPr>
        <w:t xml:space="preserve"> cost of the application must follow the event which would include the wasted costs of the misjoinder of second respondent. The cost of the counter-application must similarly follow the event. Both parties instructed counsel and the court would accordingly order costs to include the cost of one instructing and one instructed counsel.</w:t>
      </w:r>
    </w:p>
    <w:p w:rsidR="00E473A9" w:rsidRDefault="00E473A9" w:rsidP="00F41734">
      <w:pPr>
        <w:spacing w:after="0" w:line="360" w:lineRule="auto"/>
        <w:jc w:val="both"/>
        <w:rPr>
          <w:rFonts w:ascii="Arial" w:hAnsi="Arial" w:cs="Arial"/>
          <w:sz w:val="24"/>
          <w:szCs w:val="24"/>
        </w:rPr>
      </w:pPr>
      <w:r>
        <w:rPr>
          <w:rFonts w:ascii="Arial" w:hAnsi="Arial" w:cs="Arial"/>
          <w:sz w:val="24"/>
          <w:szCs w:val="24"/>
        </w:rPr>
        <w:t>[</w:t>
      </w:r>
      <w:r w:rsidR="00C720E2">
        <w:rPr>
          <w:rFonts w:ascii="Arial" w:hAnsi="Arial" w:cs="Arial"/>
          <w:sz w:val="24"/>
          <w:szCs w:val="24"/>
        </w:rPr>
        <w:t>58</w:t>
      </w:r>
      <w:r>
        <w:rPr>
          <w:rFonts w:ascii="Arial" w:hAnsi="Arial" w:cs="Arial"/>
          <w:sz w:val="24"/>
          <w:szCs w:val="24"/>
        </w:rPr>
        <w:t>]</w:t>
      </w:r>
      <w:r>
        <w:rPr>
          <w:rFonts w:ascii="Arial" w:hAnsi="Arial" w:cs="Arial"/>
          <w:sz w:val="24"/>
          <w:szCs w:val="24"/>
        </w:rPr>
        <w:tab/>
        <w:t>In the result the following order is made:</w:t>
      </w:r>
    </w:p>
    <w:p w:rsidR="00C720E2" w:rsidRDefault="00C720E2" w:rsidP="00F41734">
      <w:pPr>
        <w:spacing w:after="0" w:line="360" w:lineRule="auto"/>
        <w:jc w:val="both"/>
        <w:rPr>
          <w:rFonts w:ascii="Arial" w:hAnsi="Arial" w:cs="Arial"/>
          <w:sz w:val="24"/>
          <w:szCs w:val="24"/>
        </w:rPr>
      </w:pPr>
    </w:p>
    <w:p w:rsidR="00C720E2" w:rsidRDefault="00C720E2" w:rsidP="00C720E2">
      <w:pPr>
        <w:pStyle w:val="ListParagraph"/>
        <w:spacing w:after="0" w:line="360" w:lineRule="auto"/>
        <w:jc w:val="both"/>
        <w:rPr>
          <w:rFonts w:ascii="Arial" w:hAnsi="Arial" w:cs="Arial"/>
          <w:sz w:val="24"/>
          <w:szCs w:val="24"/>
        </w:rPr>
      </w:pPr>
      <w:r>
        <w:rPr>
          <w:rFonts w:ascii="Arial" w:hAnsi="Arial" w:cs="Arial"/>
          <w:sz w:val="24"/>
          <w:szCs w:val="24"/>
        </w:rPr>
        <w:t xml:space="preserve">1. </w:t>
      </w:r>
      <w:r w:rsidR="00E473A9">
        <w:rPr>
          <w:rFonts w:ascii="Arial" w:hAnsi="Arial" w:cs="Arial"/>
          <w:sz w:val="24"/>
          <w:szCs w:val="24"/>
        </w:rPr>
        <w:t>The application for this court to grant an order in respect of pray</w:t>
      </w:r>
      <w:r w:rsidR="00CC47F7">
        <w:rPr>
          <w:rFonts w:ascii="Arial" w:hAnsi="Arial" w:cs="Arial"/>
          <w:sz w:val="24"/>
          <w:szCs w:val="24"/>
        </w:rPr>
        <w:t>er</w:t>
      </w:r>
      <w:r w:rsidR="00E473A9">
        <w:rPr>
          <w:rFonts w:ascii="Arial" w:hAnsi="Arial" w:cs="Arial"/>
          <w:sz w:val="24"/>
          <w:szCs w:val="24"/>
        </w:rPr>
        <w:t xml:space="preserve"> 2 and 3, is </w:t>
      </w:r>
      <w:r>
        <w:rPr>
          <w:rFonts w:ascii="Arial" w:hAnsi="Arial" w:cs="Arial"/>
          <w:sz w:val="24"/>
          <w:szCs w:val="24"/>
        </w:rPr>
        <w:t xml:space="preserve">   </w:t>
      </w:r>
    </w:p>
    <w:p w:rsidR="00C720E2" w:rsidRDefault="00C720E2" w:rsidP="00C720E2">
      <w:pPr>
        <w:pStyle w:val="ListParagraph"/>
        <w:spacing w:after="0" w:line="360" w:lineRule="auto"/>
        <w:jc w:val="both"/>
        <w:rPr>
          <w:rFonts w:ascii="Arial" w:hAnsi="Arial" w:cs="Arial"/>
          <w:sz w:val="24"/>
          <w:szCs w:val="24"/>
        </w:rPr>
      </w:pPr>
      <w:r>
        <w:rPr>
          <w:rFonts w:ascii="Arial" w:hAnsi="Arial" w:cs="Arial"/>
          <w:sz w:val="24"/>
          <w:szCs w:val="24"/>
        </w:rPr>
        <w:t xml:space="preserve">     </w:t>
      </w:r>
      <w:r w:rsidR="00E473A9">
        <w:rPr>
          <w:rFonts w:ascii="Arial" w:hAnsi="Arial" w:cs="Arial"/>
          <w:sz w:val="24"/>
          <w:szCs w:val="24"/>
        </w:rPr>
        <w:t xml:space="preserve">dismissed with costs, the cost is to include the cost of one instructing and one </w:t>
      </w:r>
      <w:r>
        <w:rPr>
          <w:rFonts w:ascii="Arial" w:hAnsi="Arial" w:cs="Arial"/>
          <w:sz w:val="24"/>
          <w:szCs w:val="24"/>
        </w:rPr>
        <w:t xml:space="preserve">   </w:t>
      </w:r>
    </w:p>
    <w:p w:rsidR="00C720E2" w:rsidRDefault="00C720E2" w:rsidP="00C720E2">
      <w:pPr>
        <w:pStyle w:val="ListParagraph"/>
        <w:spacing w:after="0" w:line="360" w:lineRule="auto"/>
        <w:jc w:val="both"/>
        <w:rPr>
          <w:rFonts w:ascii="Arial" w:hAnsi="Arial" w:cs="Arial"/>
          <w:sz w:val="24"/>
          <w:szCs w:val="24"/>
        </w:rPr>
      </w:pPr>
      <w:r>
        <w:rPr>
          <w:rFonts w:ascii="Arial" w:hAnsi="Arial" w:cs="Arial"/>
          <w:sz w:val="24"/>
          <w:szCs w:val="24"/>
        </w:rPr>
        <w:t xml:space="preserve">     </w:t>
      </w:r>
      <w:r w:rsidR="00E473A9">
        <w:rPr>
          <w:rFonts w:ascii="Arial" w:hAnsi="Arial" w:cs="Arial"/>
          <w:sz w:val="24"/>
          <w:szCs w:val="24"/>
        </w:rPr>
        <w:t xml:space="preserve">instructed counsel. The applicants are to pay the respondents costs jointly </w:t>
      </w:r>
      <w:r>
        <w:rPr>
          <w:rFonts w:ascii="Arial" w:hAnsi="Arial" w:cs="Arial"/>
          <w:sz w:val="24"/>
          <w:szCs w:val="24"/>
        </w:rPr>
        <w:t xml:space="preserve"> </w:t>
      </w:r>
    </w:p>
    <w:p w:rsidR="00E473A9" w:rsidRDefault="00C720E2" w:rsidP="00C720E2">
      <w:pPr>
        <w:pStyle w:val="ListParagraph"/>
        <w:spacing w:after="0" w:line="360" w:lineRule="auto"/>
        <w:jc w:val="both"/>
        <w:rPr>
          <w:rFonts w:ascii="Arial" w:hAnsi="Arial" w:cs="Arial"/>
          <w:sz w:val="24"/>
          <w:szCs w:val="24"/>
        </w:rPr>
      </w:pPr>
      <w:r>
        <w:rPr>
          <w:rFonts w:ascii="Arial" w:hAnsi="Arial" w:cs="Arial"/>
          <w:sz w:val="24"/>
          <w:szCs w:val="24"/>
        </w:rPr>
        <w:t xml:space="preserve">     </w:t>
      </w:r>
      <w:r w:rsidR="00E473A9">
        <w:rPr>
          <w:rFonts w:ascii="Arial" w:hAnsi="Arial" w:cs="Arial"/>
          <w:sz w:val="24"/>
          <w:szCs w:val="24"/>
        </w:rPr>
        <w:t>and severally, the one paying the other to be absolved.</w:t>
      </w:r>
    </w:p>
    <w:p w:rsidR="00C720E2" w:rsidRDefault="00C720E2" w:rsidP="00C720E2">
      <w:pPr>
        <w:pStyle w:val="ListParagraph"/>
        <w:spacing w:after="0" w:line="360" w:lineRule="auto"/>
        <w:jc w:val="both"/>
        <w:rPr>
          <w:rFonts w:ascii="Arial" w:hAnsi="Arial" w:cs="Arial"/>
          <w:sz w:val="24"/>
          <w:szCs w:val="24"/>
        </w:rPr>
      </w:pPr>
    </w:p>
    <w:p w:rsidR="00C720E2" w:rsidRDefault="00C720E2" w:rsidP="00C720E2">
      <w:pPr>
        <w:pStyle w:val="ListParagraph"/>
        <w:spacing w:after="0" w:line="360" w:lineRule="auto"/>
        <w:jc w:val="both"/>
        <w:rPr>
          <w:rFonts w:ascii="Arial" w:hAnsi="Arial" w:cs="Arial"/>
          <w:sz w:val="24"/>
          <w:szCs w:val="24"/>
        </w:rPr>
      </w:pPr>
      <w:r>
        <w:rPr>
          <w:rFonts w:ascii="Arial" w:hAnsi="Arial" w:cs="Arial"/>
          <w:sz w:val="24"/>
          <w:szCs w:val="24"/>
        </w:rPr>
        <w:t xml:space="preserve">2. </w:t>
      </w:r>
      <w:r w:rsidR="00E473A9">
        <w:rPr>
          <w:rFonts w:ascii="Arial" w:hAnsi="Arial" w:cs="Arial"/>
          <w:sz w:val="24"/>
          <w:szCs w:val="24"/>
        </w:rPr>
        <w:t xml:space="preserve">The applicants must pay the wasted costs of the second respondent jointly </w:t>
      </w:r>
      <w:r>
        <w:rPr>
          <w:rFonts w:ascii="Arial" w:hAnsi="Arial" w:cs="Arial"/>
          <w:sz w:val="24"/>
          <w:szCs w:val="24"/>
        </w:rPr>
        <w:t xml:space="preserve"> </w:t>
      </w:r>
    </w:p>
    <w:p w:rsidR="00E473A9" w:rsidRDefault="00C720E2" w:rsidP="00C720E2">
      <w:pPr>
        <w:pStyle w:val="ListParagraph"/>
        <w:spacing w:after="0" w:line="360" w:lineRule="auto"/>
        <w:jc w:val="both"/>
        <w:rPr>
          <w:rFonts w:ascii="Arial" w:hAnsi="Arial" w:cs="Arial"/>
          <w:sz w:val="24"/>
          <w:szCs w:val="24"/>
        </w:rPr>
      </w:pPr>
      <w:r>
        <w:rPr>
          <w:rFonts w:ascii="Arial" w:hAnsi="Arial" w:cs="Arial"/>
          <w:sz w:val="24"/>
          <w:szCs w:val="24"/>
        </w:rPr>
        <w:t xml:space="preserve">     </w:t>
      </w:r>
      <w:r w:rsidR="00E473A9">
        <w:rPr>
          <w:rFonts w:ascii="Arial" w:hAnsi="Arial" w:cs="Arial"/>
          <w:sz w:val="24"/>
          <w:szCs w:val="24"/>
        </w:rPr>
        <w:t>and severally, the one paying the other to be absolved.</w:t>
      </w:r>
    </w:p>
    <w:p w:rsidR="00C720E2" w:rsidRDefault="00C720E2" w:rsidP="00C720E2">
      <w:pPr>
        <w:pStyle w:val="ListParagraph"/>
        <w:spacing w:after="0" w:line="360" w:lineRule="auto"/>
        <w:jc w:val="both"/>
        <w:rPr>
          <w:rFonts w:ascii="Arial" w:hAnsi="Arial" w:cs="Arial"/>
          <w:sz w:val="24"/>
          <w:szCs w:val="24"/>
        </w:rPr>
      </w:pPr>
    </w:p>
    <w:p w:rsidR="00FE2178" w:rsidRPr="00543386" w:rsidRDefault="00E473A9" w:rsidP="00C720E2">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 xml:space="preserve">The counter-application of the first respondent is struck from the roll with costs, which costs is to include the costs of one instructing and one instructed counsel. </w:t>
      </w:r>
    </w:p>
    <w:p w:rsidR="005E02C7" w:rsidRPr="00C2360F" w:rsidRDefault="005E02C7"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C720E2" w:rsidP="00FE2178">
      <w:pPr>
        <w:spacing w:after="0" w:line="360" w:lineRule="auto"/>
        <w:jc w:val="right"/>
        <w:rPr>
          <w:rFonts w:ascii="Arial" w:hAnsi="Arial" w:cs="Arial"/>
          <w:sz w:val="24"/>
          <w:szCs w:val="24"/>
        </w:rPr>
      </w:pPr>
      <w:r>
        <w:rPr>
          <w:rFonts w:ascii="Arial" w:hAnsi="Arial" w:cs="Arial"/>
          <w:sz w:val="24"/>
          <w:szCs w:val="24"/>
        </w:rPr>
        <w:t>______________</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65A80" w:rsidRDefault="00F65A80" w:rsidP="00FE2178">
      <w:pPr>
        <w:pStyle w:val="BodyText"/>
        <w:autoSpaceDE w:val="0"/>
        <w:autoSpaceDN w:val="0"/>
        <w:adjustRightInd w:val="0"/>
        <w:spacing w:line="360" w:lineRule="auto"/>
        <w:jc w:val="both"/>
        <w:rPr>
          <w:rFonts w:ascii="Arial" w:hAnsi="Arial" w:cs="Arial"/>
        </w:rPr>
      </w:pPr>
    </w:p>
    <w:p w:rsidR="008E5C0F" w:rsidRDefault="008E5C0F">
      <w:pPr>
        <w:spacing w:after="0" w:line="360" w:lineRule="auto"/>
        <w:rPr>
          <w:rFonts w:ascii="Arial" w:eastAsia="Times New Roman" w:hAnsi="Arial" w:cs="Arial"/>
          <w:sz w:val="24"/>
          <w:szCs w:val="24"/>
        </w:rPr>
      </w:pPr>
      <w:r>
        <w:rPr>
          <w:rFonts w:ascii="Arial" w:hAnsi="Arial" w:cs="Arial"/>
        </w:rPr>
        <w:br w:type="page"/>
      </w: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lastRenderedPageBreak/>
        <w:t>APPEARANCES</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A71383" w:rsidP="00A71383">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APPLICANT</w:t>
      </w:r>
      <w:r w:rsidR="00896166">
        <w:rPr>
          <w:rFonts w:ascii="Arial" w:hAnsi="Arial" w:cs="Arial"/>
          <w:sz w:val="24"/>
          <w:szCs w:val="24"/>
        </w:rPr>
        <w:t>S</w:t>
      </w:r>
      <w:r w:rsidR="00FE2178" w:rsidRPr="00C2360F">
        <w:rPr>
          <w:rFonts w:ascii="Arial" w:hAnsi="Arial" w:cs="Arial"/>
          <w:sz w:val="24"/>
          <w:szCs w:val="24"/>
        </w:rPr>
        <w:t>:</w:t>
      </w:r>
      <w:r w:rsidR="00FE2178" w:rsidRPr="00C2360F">
        <w:rPr>
          <w:rFonts w:ascii="Arial" w:hAnsi="Arial" w:cs="Arial"/>
          <w:sz w:val="24"/>
          <w:szCs w:val="24"/>
        </w:rPr>
        <w:tab/>
      </w:r>
      <w:r w:rsidR="00FE2178" w:rsidRPr="00C2360F">
        <w:rPr>
          <w:rFonts w:ascii="Arial" w:hAnsi="Arial" w:cs="Arial"/>
          <w:sz w:val="24"/>
          <w:szCs w:val="24"/>
        </w:rPr>
        <w:tab/>
      </w:r>
      <w:r w:rsidR="00FE2178" w:rsidRPr="00C2360F">
        <w:rPr>
          <w:rFonts w:ascii="Arial" w:hAnsi="Arial" w:cs="Arial"/>
          <w:sz w:val="24"/>
          <w:szCs w:val="24"/>
        </w:rPr>
        <w:tab/>
      </w:r>
      <w:r w:rsidR="00896166">
        <w:rPr>
          <w:rFonts w:ascii="Arial" w:hAnsi="Arial" w:cs="Arial"/>
          <w:sz w:val="24"/>
          <w:szCs w:val="24"/>
        </w:rPr>
        <w:t>L</w:t>
      </w:r>
      <w:r w:rsidRPr="00A71383">
        <w:rPr>
          <w:rFonts w:ascii="Arial" w:hAnsi="Arial" w:cs="Arial"/>
          <w:sz w:val="24"/>
          <w:szCs w:val="24"/>
        </w:rPr>
        <w:t xml:space="preserve"> Ambunda-Nashilundo</w:t>
      </w:r>
    </w:p>
    <w:p w:rsidR="00FE2178" w:rsidRPr="00F741E4" w:rsidRDefault="00A71383" w:rsidP="00F741E4">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t xml:space="preserve">                Instructed by </w:t>
      </w:r>
      <w:r w:rsidR="00F741E4" w:rsidRPr="00F741E4">
        <w:rPr>
          <w:rFonts w:ascii="Arial" w:hAnsi="Arial" w:cs="Arial"/>
        </w:rPr>
        <w:t>Kangueehi &amp; Kavendjii Inc.</w:t>
      </w:r>
    </w:p>
    <w:p w:rsidR="00A71383" w:rsidRDefault="00A71383" w:rsidP="00FE2178">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t xml:space="preserve">                Windhoek</w:t>
      </w:r>
    </w:p>
    <w:p w:rsidR="00F741E4" w:rsidRDefault="00F741E4" w:rsidP="00FE2178">
      <w:pPr>
        <w:pStyle w:val="BodyTextIndent"/>
        <w:tabs>
          <w:tab w:val="left" w:pos="1394"/>
          <w:tab w:val="left" w:pos="2528"/>
          <w:tab w:val="left" w:pos="3780"/>
        </w:tabs>
        <w:spacing w:line="360" w:lineRule="auto"/>
        <w:ind w:left="0"/>
        <w:jc w:val="both"/>
        <w:rPr>
          <w:rFonts w:ascii="Arial" w:hAnsi="Arial" w:cs="Arial"/>
        </w:rPr>
      </w:pPr>
    </w:p>
    <w:p w:rsidR="00B31A02" w:rsidRPr="00C2360F" w:rsidRDefault="00B31A02"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A71383" w:rsidP="00A71383">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RESPONDENT</w:t>
      </w:r>
      <w:r w:rsidR="00896166">
        <w:rPr>
          <w:rFonts w:ascii="Arial" w:hAnsi="Arial" w:cs="Arial"/>
          <w:sz w:val="24"/>
          <w:szCs w:val="24"/>
        </w:rPr>
        <w:t>S</w:t>
      </w:r>
      <w:r w:rsidR="00FE2178" w:rsidRPr="00C2360F">
        <w:rPr>
          <w:rFonts w:ascii="Arial" w:hAnsi="Arial" w:cs="Arial"/>
          <w:sz w:val="24"/>
          <w:szCs w:val="24"/>
        </w:rPr>
        <w:t>:</w:t>
      </w:r>
      <w:r w:rsidR="00FE2178" w:rsidRPr="00C2360F">
        <w:rPr>
          <w:rFonts w:ascii="Arial" w:hAnsi="Arial" w:cs="Arial"/>
          <w:sz w:val="24"/>
          <w:szCs w:val="24"/>
        </w:rPr>
        <w:tab/>
      </w:r>
      <w:r w:rsidR="00FE2178" w:rsidRPr="00C2360F">
        <w:rPr>
          <w:rFonts w:ascii="Arial" w:hAnsi="Arial" w:cs="Arial"/>
          <w:sz w:val="24"/>
          <w:szCs w:val="24"/>
        </w:rPr>
        <w:tab/>
      </w:r>
      <w:r>
        <w:rPr>
          <w:rFonts w:ascii="Arial" w:hAnsi="Arial" w:cs="Arial"/>
          <w:sz w:val="24"/>
          <w:szCs w:val="24"/>
        </w:rPr>
        <w:tab/>
      </w:r>
      <w:r w:rsidR="00896166">
        <w:rPr>
          <w:rFonts w:ascii="Arial" w:hAnsi="Arial" w:cs="Arial"/>
          <w:sz w:val="24"/>
          <w:szCs w:val="24"/>
        </w:rPr>
        <w:t>T</w:t>
      </w:r>
      <w:r w:rsidR="00F741E4">
        <w:rPr>
          <w:rFonts w:ascii="Arial" w:hAnsi="Arial" w:cs="Arial"/>
          <w:sz w:val="24"/>
          <w:szCs w:val="24"/>
        </w:rPr>
        <w:t xml:space="preserve"> Chimbwana</w:t>
      </w:r>
    </w:p>
    <w:p w:rsidR="00FE2178" w:rsidRDefault="00A71383" w:rsidP="00F741E4">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t xml:space="preserve">                Instructed by</w:t>
      </w:r>
      <w:r w:rsidR="00F741E4">
        <w:rPr>
          <w:rFonts w:ascii="Arial" w:hAnsi="Arial" w:cs="Arial"/>
        </w:rPr>
        <w:t xml:space="preserve"> </w:t>
      </w:r>
      <w:r w:rsidR="00F741E4" w:rsidRPr="00F741E4">
        <w:rPr>
          <w:rFonts w:ascii="Arial" w:hAnsi="Arial" w:cs="Arial"/>
        </w:rPr>
        <w:t>Shikongo Law Chambers</w:t>
      </w:r>
    </w:p>
    <w:p w:rsidR="00F741E4" w:rsidRPr="00C2360F" w:rsidRDefault="00F741E4" w:rsidP="00FE2178">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t xml:space="preserve">                Windhoek</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4B4E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20" w:rsidRDefault="00BD2420" w:rsidP="002A43E6">
      <w:pPr>
        <w:spacing w:after="0" w:line="240" w:lineRule="auto"/>
      </w:pPr>
      <w:r>
        <w:separator/>
      </w:r>
    </w:p>
  </w:endnote>
  <w:endnote w:type="continuationSeparator" w:id="0">
    <w:p w:rsidR="00BD2420" w:rsidRDefault="00BD2420"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20" w:rsidRDefault="00BD2420" w:rsidP="002A43E6">
      <w:pPr>
        <w:spacing w:after="0" w:line="240" w:lineRule="auto"/>
      </w:pPr>
      <w:r>
        <w:separator/>
      </w:r>
    </w:p>
  </w:footnote>
  <w:footnote w:type="continuationSeparator" w:id="0">
    <w:p w:rsidR="00BD2420" w:rsidRDefault="00BD2420" w:rsidP="002A43E6">
      <w:pPr>
        <w:spacing w:after="0" w:line="240" w:lineRule="auto"/>
      </w:pPr>
      <w:r>
        <w:continuationSeparator/>
      </w:r>
    </w:p>
  </w:footnote>
  <w:footnote w:id="1">
    <w:p w:rsidR="00866A52" w:rsidRPr="00103F32" w:rsidRDefault="00866A52">
      <w:pPr>
        <w:pStyle w:val="FootnoteText"/>
        <w:rPr>
          <w:rFonts w:ascii="Arial" w:hAnsi="Arial" w:cs="Arial"/>
          <w:lang w:val="en-ZA"/>
        </w:rPr>
      </w:pPr>
      <w:r w:rsidRPr="00103F32">
        <w:rPr>
          <w:rStyle w:val="FootnoteReference"/>
          <w:rFonts w:ascii="Arial" w:hAnsi="Arial" w:cs="Arial"/>
        </w:rPr>
        <w:footnoteRef/>
      </w:r>
      <w:r w:rsidRPr="00103F32">
        <w:rPr>
          <w:rFonts w:ascii="Arial" w:hAnsi="Arial" w:cs="Arial"/>
        </w:rPr>
        <w:t xml:space="preserve"> </w:t>
      </w:r>
      <w:r w:rsidRPr="00103F32">
        <w:rPr>
          <w:rFonts w:ascii="Arial" w:hAnsi="Arial" w:cs="Arial"/>
          <w:i/>
        </w:rPr>
        <w:t xml:space="preserve">Council of the Municipality of Windhoek &amp; Another v Kaombungu </w:t>
      </w:r>
      <w:r w:rsidRPr="00103F32">
        <w:rPr>
          <w:rFonts w:ascii="Arial" w:hAnsi="Arial" w:cs="Arial"/>
        </w:rPr>
        <w:t xml:space="preserve">(HC-MD-CIV-MOT-REV-2021/00407)[2022] NAHCMD </w:t>
      </w:r>
      <w:r w:rsidR="00DB0FB7" w:rsidRPr="00103F32">
        <w:rPr>
          <w:rFonts w:ascii="Arial" w:hAnsi="Arial" w:cs="Arial"/>
        </w:rPr>
        <w:t>589 (28 October 2022).</w:t>
      </w:r>
    </w:p>
  </w:footnote>
  <w:footnote w:id="2">
    <w:p w:rsidR="00984697" w:rsidRDefault="00866A52">
      <w:pPr>
        <w:pStyle w:val="FootnoteText"/>
        <w:rPr>
          <w:rFonts w:ascii="Arial" w:hAnsi="Arial" w:cs="Arial"/>
          <w:lang w:val="en-ZA"/>
        </w:rPr>
      </w:pPr>
      <w:r w:rsidRPr="00A704F9">
        <w:rPr>
          <w:rStyle w:val="FootnoteReference"/>
          <w:rFonts w:ascii="Arial" w:hAnsi="Arial" w:cs="Arial"/>
        </w:rPr>
        <w:footnoteRef/>
      </w:r>
      <w:r w:rsidRPr="00A704F9">
        <w:rPr>
          <w:rFonts w:ascii="Arial" w:hAnsi="Arial" w:cs="Arial"/>
        </w:rPr>
        <w:t xml:space="preserve"> </w:t>
      </w:r>
      <w:r w:rsidRPr="00A704F9">
        <w:rPr>
          <w:rFonts w:ascii="Arial" w:hAnsi="Arial" w:cs="Arial"/>
          <w:i/>
          <w:lang w:val="en-ZA"/>
        </w:rPr>
        <w:t>Babyface Civils CC JV Hennimma Investments CC and Others v //Kharas Regional Council and Others</w:t>
      </w:r>
      <w:r w:rsidRPr="00A704F9">
        <w:rPr>
          <w:rFonts w:ascii="Arial" w:hAnsi="Arial" w:cs="Arial"/>
          <w:lang w:val="en-ZA"/>
        </w:rPr>
        <w:t xml:space="preserve"> </w:t>
      </w:r>
      <w:r w:rsidR="00984697">
        <w:rPr>
          <w:rFonts w:ascii="Arial" w:hAnsi="Arial" w:cs="Arial"/>
          <w:lang w:val="en-ZA"/>
        </w:rPr>
        <w:t xml:space="preserve"> </w:t>
      </w:r>
    </w:p>
    <w:p w:rsidR="00866A52" w:rsidRPr="00A704F9" w:rsidRDefault="00984697">
      <w:pPr>
        <w:pStyle w:val="FootnoteText"/>
        <w:rPr>
          <w:lang w:val="en-ZA"/>
        </w:rPr>
      </w:pPr>
      <w:r>
        <w:rPr>
          <w:rFonts w:ascii="Arial" w:hAnsi="Arial" w:cs="Arial"/>
          <w:lang w:val="en-ZA"/>
        </w:rPr>
        <w:t xml:space="preserve">  </w:t>
      </w:r>
      <w:r w:rsidR="00866A52" w:rsidRPr="00A704F9">
        <w:rPr>
          <w:rFonts w:ascii="Arial" w:hAnsi="Arial" w:cs="Arial"/>
          <w:lang w:val="en-ZA"/>
        </w:rPr>
        <w:t>2020 (1) NR 1 (SC</w:t>
      </w:r>
      <w:r w:rsidR="00866A52" w:rsidRPr="00A704F9">
        <w:rPr>
          <w:lang w:val="en-ZA"/>
        </w:rPr>
        <w:t>)</w:t>
      </w:r>
      <w:r>
        <w:rPr>
          <w:lang w:val="en-ZA"/>
        </w:rPr>
        <w:t>.</w:t>
      </w:r>
    </w:p>
  </w:footnote>
  <w:footnote w:id="3">
    <w:p w:rsidR="00984697" w:rsidRDefault="00866A52">
      <w:pPr>
        <w:pStyle w:val="FootnoteText"/>
        <w:rPr>
          <w:rFonts w:ascii="Arial" w:hAnsi="Arial" w:cs="Arial"/>
          <w:lang w:val="en-ZA"/>
        </w:rPr>
      </w:pPr>
      <w:r w:rsidRPr="00A704F9">
        <w:rPr>
          <w:rStyle w:val="FootnoteReference"/>
          <w:rFonts w:ascii="Arial" w:hAnsi="Arial" w:cs="Arial"/>
        </w:rPr>
        <w:footnoteRef/>
      </w:r>
      <w:r w:rsidRPr="00A704F9">
        <w:rPr>
          <w:rFonts w:ascii="Arial" w:hAnsi="Arial" w:cs="Arial"/>
        </w:rPr>
        <w:t xml:space="preserve"> </w:t>
      </w:r>
      <w:r w:rsidRPr="00A704F9">
        <w:rPr>
          <w:rFonts w:ascii="Arial" w:hAnsi="Arial" w:cs="Arial"/>
          <w:i/>
          <w:lang w:val="en-ZA"/>
        </w:rPr>
        <w:t>Rally for Democracy and Progress and Others v Electoral Commission of Namibia and Others</w:t>
      </w:r>
      <w:r w:rsidRPr="00A704F9">
        <w:rPr>
          <w:rFonts w:ascii="Arial" w:hAnsi="Arial" w:cs="Arial"/>
          <w:lang w:val="en-ZA"/>
        </w:rPr>
        <w:t xml:space="preserve"> 2009 (2) </w:t>
      </w:r>
    </w:p>
    <w:p w:rsidR="00984697" w:rsidRDefault="00984697">
      <w:pPr>
        <w:pStyle w:val="FootnoteText"/>
        <w:rPr>
          <w:rFonts w:ascii="Arial" w:hAnsi="Arial" w:cs="Arial"/>
          <w:i/>
          <w:lang w:val="en-ZA"/>
        </w:rPr>
      </w:pPr>
      <w:r>
        <w:rPr>
          <w:rFonts w:ascii="Arial" w:hAnsi="Arial" w:cs="Arial"/>
          <w:lang w:val="en-ZA"/>
        </w:rPr>
        <w:t xml:space="preserve">  </w:t>
      </w:r>
      <w:r w:rsidR="00866A52" w:rsidRPr="00A704F9">
        <w:rPr>
          <w:rFonts w:ascii="Arial" w:hAnsi="Arial" w:cs="Arial"/>
          <w:lang w:val="en-ZA"/>
        </w:rPr>
        <w:t xml:space="preserve">NR 793 HC at 797C-I and 798A and </w:t>
      </w:r>
      <w:r w:rsidR="00866A52" w:rsidRPr="00A704F9">
        <w:rPr>
          <w:rFonts w:ascii="Arial" w:hAnsi="Arial" w:cs="Arial"/>
          <w:i/>
          <w:lang w:val="en-ZA"/>
        </w:rPr>
        <w:t xml:space="preserve">Namibian Association of Medical Aid Funds and Others v Namibia </w:t>
      </w:r>
    </w:p>
    <w:p w:rsidR="00866A52" w:rsidRPr="00A704F9" w:rsidRDefault="00984697">
      <w:pPr>
        <w:pStyle w:val="FootnoteText"/>
        <w:rPr>
          <w:rFonts w:ascii="Arial" w:hAnsi="Arial" w:cs="Arial"/>
          <w:lang w:val="en-ZA"/>
        </w:rPr>
      </w:pPr>
      <w:r>
        <w:rPr>
          <w:rFonts w:ascii="Arial" w:hAnsi="Arial" w:cs="Arial"/>
          <w:i/>
          <w:lang w:val="en-ZA"/>
        </w:rPr>
        <w:t xml:space="preserve">  </w:t>
      </w:r>
      <w:r w:rsidR="00866A52" w:rsidRPr="00A704F9">
        <w:rPr>
          <w:rFonts w:ascii="Arial" w:hAnsi="Arial" w:cs="Arial"/>
          <w:i/>
          <w:lang w:val="en-ZA"/>
        </w:rPr>
        <w:t xml:space="preserve">Competition Commission and </w:t>
      </w:r>
      <w:r w:rsidR="00102091">
        <w:rPr>
          <w:rFonts w:ascii="Arial" w:hAnsi="Arial" w:cs="Arial"/>
          <w:i/>
          <w:lang w:val="en-ZA"/>
        </w:rPr>
        <w:t>a</w:t>
      </w:r>
      <w:r w:rsidR="00866A52" w:rsidRPr="00A704F9">
        <w:rPr>
          <w:rFonts w:ascii="Arial" w:hAnsi="Arial" w:cs="Arial"/>
          <w:i/>
          <w:lang w:val="en-ZA"/>
        </w:rPr>
        <w:t>nother</w:t>
      </w:r>
      <w:r w:rsidR="00866A52" w:rsidRPr="00A704F9">
        <w:rPr>
          <w:rFonts w:ascii="Arial" w:hAnsi="Arial" w:cs="Arial"/>
          <w:lang w:val="en-ZA"/>
        </w:rPr>
        <w:t> 2017 (3) NR 853</w:t>
      </w:r>
      <w:r>
        <w:rPr>
          <w:rFonts w:ascii="Arial" w:hAnsi="Arial" w:cs="Arial"/>
          <w:lang w:val="en-ZA"/>
        </w:rPr>
        <w:t>.</w:t>
      </w:r>
    </w:p>
  </w:footnote>
  <w:footnote w:id="4">
    <w:p w:rsidR="00866A52" w:rsidRPr="00F32F3D" w:rsidRDefault="00866A52" w:rsidP="00F32F3D">
      <w:pPr>
        <w:pStyle w:val="FootnoteText"/>
        <w:jc w:val="both"/>
        <w:rPr>
          <w:rFonts w:ascii="Arial" w:hAnsi="Arial" w:cs="Arial"/>
          <w:lang w:val="en-ZA"/>
        </w:rPr>
      </w:pPr>
      <w:r w:rsidRPr="00F32F3D">
        <w:rPr>
          <w:rStyle w:val="FootnoteReference"/>
          <w:rFonts w:ascii="Arial" w:hAnsi="Arial" w:cs="Arial"/>
        </w:rPr>
        <w:footnoteRef/>
      </w:r>
      <w:r w:rsidRPr="00F32F3D">
        <w:rPr>
          <w:rFonts w:ascii="Arial" w:hAnsi="Arial" w:cs="Arial"/>
        </w:rPr>
        <w:t xml:space="preserve"> </w:t>
      </w:r>
      <w:r w:rsidR="00102091">
        <w:rPr>
          <w:rFonts w:ascii="Arial" w:hAnsi="Arial" w:cs="Arial"/>
          <w:i/>
        </w:rPr>
        <w:t>Torbitt and o</w:t>
      </w:r>
      <w:r w:rsidRPr="00F32F3D">
        <w:rPr>
          <w:rFonts w:ascii="Arial" w:hAnsi="Arial" w:cs="Arial"/>
          <w:i/>
        </w:rPr>
        <w:t>thers v International University of Management</w:t>
      </w:r>
      <w:r w:rsidRPr="00F32F3D">
        <w:rPr>
          <w:rFonts w:ascii="Arial" w:hAnsi="Arial" w:cs="Arial"/>
        </w:rPr>
        <w:t> 2017 (2) NR 323 (SC)</w:t>
      </w:r>
      <w:r w:rsidR="00984697" w:rsidRPr="00F32F3D">
        <w:rPr>
          <w:rFonts w:ascii="Arial" w:hAnsi="Arial" w:cs="Arial"/>
        </w:rPr>
        <w:t>.</w:t>
      </w:r>
    </w:p>
  </w:footnote>
  <w:footnote w:id="5">
    <w:p w:rsidR="00984697" w:rsidRPr="00F32F3D" w:rsidRDefault="00866A52" w:rsidP="00F32F3D">
      <w:pPr>
        <w:pStyle w:val="FootnoteText"/>
        <w:jc w:val="both"/>
        <w:rPr>
          <w:rFonts w:ascii="Arial" w:hAnsi="Arial" w:cs="Arial"/>
          <w:i/>
          <w:lang w:val="en-ZA"/>
        </w:rPr>
      </w:pPr>
      <w:r w:rsidRPr="00F32F3D">
        <w:rPr>
          <w:rStyle w:val="FootnoteReference"/>
          <w:rFonts w:ascii="Arial" w:hAnsi="Arial" w:cs="Arial"/>
        </w:rPr>
        <w:footnoteRef/>
      </w:r>
      <w:r w:rsidRPr="00F32F3D">
        <w:rPr>
          <w:rFonts w:ascii="Arial" w:hAnsi="Arial" w:cs="Arial"/>
        </w:rPr>
        <w:t xml:space="preserve"> </w:t>
      </w:r>
      <w:r w:rsidRPr="00F32F3D">
        <w:rPr>
          <w:rFonts w:ascii="Arial" w:hAnsi="Arial" w:cs="Arial"/>
          <w:i/>
          <w:lang w:val="en-ZA"/>
        </w:rPr>
        <w:t>R v Mgomo</w:t>
      </w:r>
      <w:r w:rsidRPr="00F32F3D">
        <w:rPr>
          <w:rFonts w:ascii="Arial" w:hAnsi="Arial" w:cs="Arial"/>
          <w:lang w:val="en-ZA"/>
        </w:rPr>
        <w:t xml:space="preserve"> 1939 EDL 269</w:t>
      </w:r>
      <w:r w:rsidRPr="00F32F3D">
        <w:rPr>
          <w:rFonts w:ascii="Arial" w:hAnsi="Arial" w:cs="Arial"/>
          <w:i/>
          <w:lang w:val="en-ZA"/>
        </w:rPr>
        <w:t>; Chapman NO v Balim and Another</w:t>
      </w:r>
      <w:r w:rsidRPr="00F32F3D">
        <w:rPr>
          <w:rFonts w:ascii="Arial" w:hAnsi="Arial" w:cs="Arial"/>
          <w:lang w:val="en-ZA"/>
        </w:rPr>
        <w:t xml:space="preserve"> 1968 (2) SA 809; and </w:t>
      </w:r>
      <w:r w:rsidRPr="00F32F3D">
        <w:rPr>
          <w:rFonts w:ascii="Arial" w:hAnsi="Arial" w:cs="Arial"/>
          <w:i/>
          <w:lang w:val="en-ZA"/>
        </w:rPr>
        <w:t xml:space="preserve">R v Spareco </w:t>
      </w:r>
    </w:p>
    <w:p w:rsidR="00866A52" w:rsidRPr="00C84DB2" w:rsidRDefault="00984697" w:rsidP="00F32F3D">
      <w:pPr>
        <w:pStyle w:val="FootnoteText"/>
        <w:jc w:val="both"/>
        <w:rPr>
          <w:rFonts w:ascii="Arial" w:hAnsi="Arial" w:cs="Arial"/>
          <w:lang w:val="en-ZA"/>
        </w:rPr>
      </w:pPr>
      <w:r w:rsidRPr="00F32F3D">
        <w:rPr>
          <w:rFonts w:ascii="Arial" w:hAnsi="Arial" w:cs="Arial"/>
          <w:i/>
          <w:lang w:val="en-ZA"/>
        </w:rPr>
        <w:t xml:space="preserve">  </w:t>
      </w:r>
      <w:r w:rsidR="00102091">
        <w:rPr>
          <w:rFonts w:ascii="Arial" w:hAnsi="Arial" w:cs="Arial"/>
          <w:i/>
          <w:lang w:val="en-ZA"/>
        </w:rPr>
        <w:t>Meats (Pvt) and a</w:t>
      </w:r>
      <w:r w:rsidR="00866A52" w:rsidRPr="00F32F3D">
        <w:rPr>
          <w:rFonts w:ascii="Arial" w:hAnsi="Arial" w:cs="Arial"/>
          <w:i/>
          <w:lang w:val="en-ZA"/>
        </w:rPr>
        <w:t xml:space="preserve">nother </w:t>
      </w:r>
      <w:r w:rsidR="00866A52" w:rsidRPr="00F32F3D">
        <w:rPr>
          <w:rFonts w:ascii="Arial" w:hAnsi="Arial" w:cs="Arial"/>
          <w:lang w:val="en-ZA"/>
        </w:rPr>
        <w:t>1970 (2) 530</w:t>
      </w:r>
      <w:r w:rsidRPr="00F32F3D">
        <w:rPr>
          <w:rFonts w:ascii="Arial" w:hAnsi="Arial" w:cs="Arial"/>
          <w:lang w:val="en-ZA"/>
        </w:rPr>
        <w:t>.</w:t>
      </w:r>
    </w:p>
  </w:footnote>
  <w:footnote w:id="6">
    <w:p w:rsidR="0096064E" w:rsidRDefault="00866A52" w:rsidP="00384F89">
      <w:pPr>
        <w:pStyle w:val="FootnoteText"/>
        <w:jc w:val="both"/>
        <w:rPr>
          <w:rFonts w:ascii="Arial" w:hAnsi="Arial" w:cs="Arial"/>
        </w:rPr>
      </w:pPr>
      <w:r w:rsidRPr="00C84DB2">
        <w:rPr>
          <w:rStyle w:val="FootnoteReference"/>
          <w:rFonts w:ascii="Arial" w:hAnsi="Arial" w:cs="Arial"/>
        </w:rPr>
        <w:footnoteRef/>
      </w:r>
      <w:r w:rsidRPr="00C84DB2">
        <w:rPr>
          <w:rFonts w:ascii="Arial" w:hAnsi="Arial" w:cs="Arial"/>
        </w:rPr>
        <w:t xml:space="preserve"> </w:t>
      </w:r>
      <w:r w:rsidRPr="00C84DB2">
        <w:rPr>
          <w:rFonts w:ascii="Arial" w:hAnsi="Arial" w:cs="Arial"/>
          <w:i/>
        </w:rPr>
        <w:t>Ohorongo Cement (Pty) Ltd v Jack's Trading CC and Others and a Similar Matter</w:t>
      </w:r>
      <w:r w:rsidRPr="00C84DB2">
        <w:rPr>
          <w:rFonts w:ascii="Arial" w:hAnsi="Arial" w:cs="Arial"/>
        </w:rPr>
        <w:t xml:space="preserve"> 2020 (2) NR 571 </w:t>
      </w:r>
      <w:r w:rsidR="0096064E">
        <w:rPr>
          <w:rFonts w:ascii="Arial" w:hAnsi="Arial" w:cs="Arial"/>
        </w:rPr>
        <w:t xml:space="preserve"> </w:t>
      </w:r>
    </w:p>
    <w:p w:rsidR="00866A52" w:rsidRPr="00C84DB2" w:rsidRDefault="0096064E" w:rsidP="00384F89">
      <w:pPr>
        <w:pStyle w:val="FootnoteText"/>
        <w:jc w:val="both"/>
        <w:rPr>
          <w:rFonts w:ascii="Arial" w:hAnsi="Arial" w:cs="Arial"/>
          <w:lang w:val="en-ZA"/>
        </w:rPr>
      </w:pPr>
      <w:r>
        <w:rPr>
          <w:rFonts w:ascii="Arial" w:hAnsi="Arial" w:cs="Arial"/>
        </w:rPr>
        <w:t xml:space="preserve">  </w:t>
      </w:r>
      <w:r w:rsidR="00866A52" w:rsidRPr="00C84DB2">
        <w:rPr>
          <w:rFonts w:ascii="Arial" w:hAnsi="Arial" w:cs="Arial"/>
        </w:rPr>
        <w:t>(SC)</w:t>
      </w:r>
      <w:r>
        <w:rPr>
          <w:rFonts w:ascii="Arial" w:hAnsi="Arial" w:cs="Arial"/>
        </w:rPr>
        <w:t>.</w:t>
      </w:r>
    </w:p>
  </w:footnote>
  <w:footnote w:id="7">
    <w:p w:rsidR="00384F89" w:rsidRDefault="00384F89" w:rsidP="00384F89">
      <w:pPr>
        <w:pStyle w:val="FootnoteText"/>
        <w:jc w:val="both"/>
        <w:rPr>
          <w:rFonts w:ascii="Arial" w:hAnsi="Arial" w:cs="Arial"/>
        </w:rPr>
      </w:pPr>
      <w:r>
        <w:rPr>
          <w:rStyle w:val="FootnoteReference"/>
        </w:rPr>
        <w:footnoteRef/>
      </w:r>
      <w:r>
        <w:t xml:space="preserve">  </w:t>
      </w:r>
      <w:r w:rsidRPr="00384F89">
        <w:rPr>
          <w:rFonts w:ascii="Arial" w:hAnsi="Arial" w:cs="Arial"/>
          <w:i/>
        </w:rPr>
        <w:t>Shoprite Namibia (Pty) Ltd v Namibia Food and Allied Workers Union and Another</w:t>
      </w:r>
      <w:r>
        <w:rPr>
          <w:rFonts w:ascii="Arial" w:hAnsi="Arial" w:cs="Arial"/>
          <w:i/>
        </w:rPr>
        <w:t xml:space="preserve"> </w:t>
      </w:r>
      <w:r w:rsidRPr="00384F89">
        <w:rPr>
          <w:rFonts w:ascii="Arial" w:hAnsi="Arial" w:cs="Arial"/>
        </w:rPr>
        <w:t xml:space="preserve">2022 (2) NR 325 </w:t>
      </w:r>
    </w:p>
    <w:p w:rsidR="00384F89" w:rsidRPr="00384F89" w:rsidRDefault="00384F89" w:rsidP="00384F89">
      <w:pPr>
        <w:pStyle w:val="FootnoteText"/>
        <w:jc w:val="both"/>
        <w:rPr>
          <w:lang w:val="en-ZA"/>
        </w:rPr>
      </w:pPr>
      <w:r>
        <w:rPr>
          <w:rFonts w:ascii="Arial" w:hAnsi="Arial" w:cs="Arial"/>
        </w:rPr>
        <w:t xml:space="preserve">   </w:t>
      </w:r>
      <w:r w:rsidRPr="00384F89">
        <w:rPr>
          <w:rFonts w:ascii="Arial" w:hAnsi="Arial" w:cs="Arial"/>
        </w:rPr>
        <w:t>(SC).</w:t>
      </w:r>
    </w:p>
  </w:footnote>
  <w:footnote w:id="8">
    <w:p w:rsidR="00C70AE1" w:rsidRPr="00C70AE1" w:rsidRDefault="00C70AE1">
      <w:pPr>
        <w:pStyle w:val="FootnoteText"/>
        <w:rPr>
          <w:lang w:val="en-ZA"/>
        </w:rPr>
      </w:pPr>
      <w:r>
        <w:rPr>
          <w:rStyle w:val="FootnoteReference"/>
        </w:rPr>
        <w:footnoteRef/>
      </w:r>
      <w:r>
        <w:t xml:space="preserve"> </w:t>
      </w:r>
      <w:r>
        <w:rPr>
          <w:lang w:val="en-ZA"/>
        </w:rPr>
        <w:t>See footnote 6 above.</w:t>
      </w:r>
    </w:p>
  </w:footnote>
  <w:footnote w:id="9">
    <w:p w:rsidR="00866A52" w:rsidRPr="00BC3AA9" w:rsidRDefault="00866A52">
      <w:pPr>
        <w:pStyle w:val="FootnoteText"/>
        <w:rPr>
          <w:rFonts w:ascii="Arial" w:hAnsi="Arial" w:cs="Arial"/>
          <w:lang w:val="en-US"/>
        </w:rPr>
      </w:pPr>
      <w:r w:rsidRPr="00BC3AA9">
        <w:rPr>
          <w:rStyle w:val="FootnoteReference"/>
          <w:rFonts w:ascii="Arial" w:hAnsi="Arial" w:cs="Arial"/>
        </w:rPr>
        <w:footnoteRef/>
      </w:r>
      <w:r w:rsidRPr="00BC3AA9">
        <w:rPr>
          <w:rFonts w:ascii="Arial" w:hAnsi="Arial" w:cs="Arial"/>
        </w:rPr>
        <w:t xml:space="preserve"> </w:t>
      </w:r>
      <w:r w:rsidRPr="00BC3AA9">
        <w:rPr>
          <w:rFonts w:ascii="Arial" w:hAnsi="Arial" w:cs="Arial"/>
          <w:i/>
        </w:rPr>
        <w:t>Maletzky v President of The Republic of Namibia and Others</w:t>
      </w:r>
      <w:r w:rsidRPr="00BC3AA9">
        <w:rPr>
          <w:rFonts w:ascii="Arial" w:hAnsi="Arial" w:cs="Arial"/>
        </w:rPr>
        <w:t xml:space="preserve"> 2016 (2) NR 420 (HC)</w:t>
      </w:r>
      <w:r w:rsidR="008E5C0F">
        <w:rPr>
          <w:rFonts w:ascii="Arial" w:hAnsi="Arial" w:cs="Arial"/>
        </w:rPr>
        <w:t>.</w:t>
      </w:r>
    </w:p>
  </w:footnote>
  <w:footnote w:id="10">
    <w:p w:rsidR="00866A52" w:rsidRPr="00BC3AA9" w:rsidRDefault="00866A52">
      <w:pPr>
        <w:pStyle w:val="FootnoteText"/>
        <w:rPr>
          <w:rFonts w:ascii="Arial" w:hAnsi="Arial" w:cs="Arial"/>
          <w:lang w:val="en-US"/>
        </w:rPr>
      </w:pPr>
      <w:r w:rsidRPr="00BC3AA9">
        <w:rPr>
          <w:rStyle w:val="FootnoteReference"/>
          <w:rFonts w:ascii="Arial" w:hAnsi="Arial" w:cs="Arial"/>
        </w:rPr>
        <w:footnoteRef/>
      </w:r>
      <w:r w:rsidRPr="00BC3AA9">
        <w:rPr>
          <w:rFonts w:ascii="Arial" w:hAnsi="Arial" w:cs="Arial"/>
        </w:rPr>
        <w:t xml:space="preserve"> </w:t>
      </w:r>
      <w:r w:rsidRPr="00BC3AA9">
        <w:rPr>
          <w:rFonts w:ascii="Arial" w:hAnsi="Arial" w:cs="Arial"/>
          <w:i/>
          <w:lang w:val="en-ZA"/>
        </w:rPr>
        <w:t xml:space="preserve">Uffindell t/a Aloe Hunting Safaris v Government </w:t>
      </w:r>
      <w:r w:rsidR="000619EE" w:rsidRPr="00BC3AA9">
        <w:rPr>
          <w:rFonts w:ascii="Arial" w:hAnsi="Arial" w:cs="Arial"/>
          <w:i/>
          <w:lang w:val="en-ZA"/>
        </w:rPr>
        <w:t>of Namibia and</w:t>
      </w:r>
      <w:r w:rsidRPr="00BC3AA9">
        <w:rPr>
          <w:rFonts w:ascii="Arial" w:hAnsi="Arial" w:cs="Arial"/>
          <w:i/>
          <w:lang w:val="en-ZA"/>
        </w:rPr>
        <w:t xml:space="preserve"> Others </w:t>
      </w:r>
      <w:r w:rsidRPr="00BC3AA9">
        <w:rPr>
          <w:rFonts w:ascii="Arial" w:hAnsi="Arial" w:cs="Arial"/>
          <w:lang w:val="en-ZA"/>
        </w:rPr>
        <w:t>2009 (2) NR 670 (HC)</w:t>
      </w:r>
      <w:r w:rsidR="008E5C0F">
        <w:rPr>
          <w:rFonts w:ascii="Arial" w:hAnsi="Arial" w:cs="Arial"/>
          <w:lang w:val="en-ZA"/>
        </w:rPr>
        <w:t>.</w:t>
      </w:r>
    </w:p>
  </w:footnote>
  <w:footnote w:id="11">
    <w:p w:rsidR="00866A52" w:rsidRPr="00543386" w:rsidRDefault="00866A52">
      <w:pPr>
        <w:pStyle w:val="FootnoteText"/>
        <w:rPr>
          <w:rFonts w:ascii="Arial" w:hAnsi="Arial" w:cs="Arial"/>
          <w:lang w:val="en-ZA"/>
        </w:rPr>
      </w:pPr>
      <w:r w:rsidRPr="00543386">
        <w:rPr>
          <w:rStyle w:val="FootnoteReference"/>
          <w:rFonts w:ascii="Arial" w:hAnsi="Arial" w:cs="Arial"/>
        </w:rPr>
        <w:footnoteRef/>
      </w:r>
      <w:r w:rsidRPr="00543386">
        <w:rPr>
          <w:rFonts w:ascii="Arial" w:hAnsi="Arial" w:cs="Arial"/>
        </w:rPr>
        <w:t xml:space="preserve"> </w:t>
      </w:r>
      <w:r w:rsidRPr="00543386">
        <w:rPr>
          <w:rFonts w:ascii="Arial" w:hAnsi="Arial" w:cs="Arial"/>
          <w:i/>
          <w:lang w:val="en-ZA"/>
        </w:rPr>
        <w:t>Luderitz Town Council v Shipepe</w:t>
      </w:r>
      <w:r w:rsidRPr="00543386">
        <w:rPr>
          <w:rFonts w:ascii="Arial" w:hAnsi="Arial" w:cs="Arial"/>
          <w:lang w:val="en-ZA"/>
        </w:rPr>
        <w:t xml:space="preserve"> 2013 (4) NR 1039 (LC)</w:t>
      </w:r>
      <w:r w:rsidR="00896166">
        <w:rPr>
          <w:rFonts w:ascii="Arial" w:hAnsi="Arial" w:cs="Arial"/>
          <w:lang w:val="en-ZA"/>
        </w:rPr>
        <w:t xml:space="preserve"> para</w:t>
      </w:r>
      <w:r>
        <w:rPr>
          <w:rFonts w:ascii="Arial" w:hAnsi="Arial" w:cs="Arial"/>
          <w:lang w:val="en-ZA"/>
        </w:rPr>
        <w:t xml:space="preserve"> 18</w:t>
      </w:r>
      <w:r w:rsidR="008E5C0F">
        <w:rPr>
          <w:rFonts w:ascii="Arial" w:hAnsi="Arial" w:cs="Arial"/>
          <w:lang w:val="en-ZA"/>
        </w:rPr>
        <w:t>.</w:t>
      </w:r>
    </w:p>
  </w:footnote>
  <w:footnote w:id="12">
    <w:p w:rsidR="00866A52" w:rsidRPr="00866A52" w:rsidRDefault="00866A52">
      <w:pPr>
        <w:pStyle w:val="FootnoteText"/>
        <w:rPr>
          <w:rFonts w:ascii="Arial" w:hAnsi="Arial" w:cs="Arial"/>
          <w:lang w:val="en-ZA"/>
        </w:rPr>
      </w:pPr>
      <w:r w:rsidRPr="00866A52">
        <w:rPr>
          <w:rStyle w:val="FootnoteReference"/>
          <w:rFonts w:ascii="Arial" w:hAnsi="Arial" w:cs="Arial"/>
        </w:rPr>
        <w:footnoteRef/>
      </w:r>
      <w:r w:rsidRPr="00866A52">
        <w:rPr>
          <w:rFonts w:ascii="Arial" w:hAnsi="Arial" w:cs="Arial"/>
        </w:rPr>
        <w:t xml:space="preserve"> </w:t>
      </w:r>
      <w:r w:rsidRPr="005C06BF">
        <w:rPr>
          <w:rFonts w:ascii="Arial" w:hAnsi="Arial" w:cs="Arial"/>
          <w:i/>
        </w:rPr>
        <w:t xml:space="preserve">Christian t/a Hope Financial Services v Namibia Financial Institutions Supervisory Authority </w:t>
      </w:r>
      <w:r w:rsidRPr="005C06BF">
        <w:rPr>
          <w:rFonts w:ascii="Arial" w:hAnsi="Arial" w:cs="Arial"/>
        </w:rPr>
        <w:t xml:space="preserve">2019 (4) </w:t>
      </w:r>
      <w:r w:rsidR="005D7D64" w:rsidRPr="005C06BF">
        <w:rPr>
          <w:rFonts w:ascii="Arial" w:hAnsi="Arial" w:cs="Arial"/>
        </w:rPr>
        <w:t xml:space="preserve"> </w:t>
      </w:r>
      <w:r w:rsidR="005C06BF" w:rsidRPr="005C06BF">
        <w:rPr>
          <w:rFonts w:ascii="Arial" w:hAnsi="Arial" w:cs="Arial"/>
        </w:rPr>
        <w:t xml:space="preserve">    NR 1109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03510"/>
      <w:docPartObj>
        <w:docPartGallery w:val="Page Numbers (Top of Page)"/>
        <w:docPartUnique/>
      </w:docPartObj>
    </w:sdtPr>
    <w:sdtEndPr>
      <w:rPr>
        <w:noProof/>
      </w:rPr>
    </w:sdtEndPr>
    <w:sdtContent>
      <w:p w:rsidR="004B4E11" w:rsidRDefault="004B4E11">
        <w:pPr>
          <w:pStyle w:val="Header"/>
          <w:jc w:val="right"/>
        </w:pPr>
        <w:r>
          <w:fldChar w:fldCharType="begin"/>
        </w:r>
        <w:r>
          <w:instrText xml:space="preserve"> PAGE   \* MERGEFORMAT </w:instrText>
        </w:r>
        <w:r>
          <w:fldChar w:fldCharType="separate"/>
        </w:r>
        <w:r w:rsidR="003F74DB">
          <w:rPr>
            <w:noProof/>
          </w:rPr>
          <w:t>21</w:t>
        </w:r>
        <w:r>
          <w:rPr>
            <w:noProof/>
          </w:rPr>
          <w:fldChar w:fldCharType="end"/>
        </w:r>
      </w:p>
    </w:sdtContent>
  </w:sdt>
  <w:p w:rsidR="00866A52" w:rsidRDefault="00866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12E2"/>
    <w:multiLevelType w:val="hybridMultilevel"/>
    <w:tmpl w:val="4BD6D656"/>
    <w:lvl w:ilvl="0" w:tplc="7AFA33C4">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0807FDE"/>
    <w:multiLevelType w:val="hybridMultilevel"/>
    <w:tmpl w:val="59625E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C24659"/>
    <w:multiLevelType w:val="hybridMultilevel"/>
    <w:tmpl w:val="21B69E28"/>
    <w:lvl w:ilvl="0" w:tplc="31B8E7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35C7B"/>
    <w:multiLevelType w:val="hybridMultilevel"/>
    <w:tmpl w:val="2DA0E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F91DC5"/>
    <w:multiLevelType w:val="hybridMultilevel"/>
    <w:tmpl w:val="909E7C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35AD1"/>
    <w:rsid w:val="00035F83"/>
    <w:rsid w:val="00042D0A"/>
    <w:rsid w:val="00051FF5"/>
    <w:rsid w:val="00054F24"/>
    <w:rsid w:val="000619EE"/>
    <w:rsid w:val="00067F0B"/>
    <w:rsid w:val="00094151"/>
    <w:rsid w:val="000A4851"/>
    <w:rsid w:val="000B1DF7"/>
    <w:rsid w:val="000B50C7"/>
    <w:rsid w:val="000C56BA"/>
    <w:rsid w:val="000C740D"/>
    <w:rsid w:val="000C7CA5"/>
    <w:rsid w:val="000D0C68"/>
    <w:rsid w:val="000D4513"/>
    <w:rsid w:val="00102091"/>
    <w:rsid w:val="00103F32"/>
    <w:rsid w:val="00106FD8"/>
    <w:rsid w:val="001125B7"/>
    <w:rsid w:val="00112772"/>
    <w:rsid w:val="00123549"/>
    <w:rsid w:val="00131F38"/>
    <w:rsid w:val="00152157"/>
    <w:rsid w:val="00170EAE"/>
    <w:rsid w:val="0018120D"/>
    <w:rsid w:val="00187D76"/>
    <w:rsid w:val="00190C30"/>
    <w:rsid w:val="00196B00"/>
    <w:rsid w:val="001A05DE"/>
    <w:rsid w:val="001D3AEC"/>
    <w:rsid w:val="001E2783"/>
    <w:rsid w:val="001E7287"/>
    <w:rsid w:val="001F02E5"/>
    <w:rsid w:val="0020003E"/>
    <w:rsid w:val="0021079D"/>
    <w:rsid w:val="00211081"/>
    <w:rsid w:val="00222DE9"/>
    <w:rsid w:val="00233B16"/>
    <w:rsid w:val="00247AE5"/>
    <w:rsid w:val="00263E21"/>
    <w:rsid w:val="002646A6"/>
    <w:rsid w:val="002742F5"/>
    <w:rsid w:val="00274409"/>
    <w:rsid w:val="0027468D"/>
    <w:rsid w:val="00280D10"/>
    <w:rsid w:val="00281639"/>
    <w:rsid w:val="00292A50"/>
    <w:rsid w:val="002A241C"/>
    <w:rsid w:val="002A43E6"/>
    <w:rsid w:val="002A6E64"/>
    <w:rsid w:val="002C61F1"/>
    <w:rsid w:val="002D4C48"/>
    <w:rsid w:val="002E1F67"/>
    <w:rsid w:val="002E3B75"/>
    <w:rsid w:val="002E5DA0"/>
    <w:rsid w:val="002E6866"/>
    <w:rsid w:val="00304DBB"/>
    <w:rsid w:val="0030688E"/>
    <w:rsid w:val="00313E92"/>
    <w:rsid w:val="00317026"/>
    <w:rsid w:val="00335BE7"/>
    <w:rsid w:val="00345423"/>
    <w:rsid w:val="00353EB8"/>
    <w:rsid w:val="0036138E"/>
    <w:rsid w:val="00362CE1"/>
    <w:rsid w:val="0037253D"/>
    <w:rsid w:val="0037692D"/>
    <w:rsid w:val="00384F89"/>
    <w:rsid w:val="003859EB"/>
    <w:rsid w:val="00386460"/>
    <w:rsid w:val="003922A0"/>
    <w:rsid w:val="003961FF"/>
    <w:rsid w:val="00397682"/>
    <w:rsid w:val="003B2C2D"/>
    <w:rsid w:val="003B32EB"/>
    <w:rsid w:val="003C1915"/>
    <w:rsid w:val="003D3EAA"/>
    <w:rsid w:val="003D77CC"/>
    <w:rsid w:val="003E2251"/>
    <w:rsid w:val="003F269C"/>
    <w:rsid w:val="003F74DB"/>
    <w:rsid w:val="00411659"/>
    <w:rsid w:val="00421118"/>
    <w:rsid w:val="00440824"/>
    <w:rsid w:val="00452C38"/>
    <w:rsid w:val="00453775"/>
    <w:rsid w:val="0045399D"/>
    <w:rsid w:val="0045494E"/>
    <w:rsid w:val="00466602"/>
    <w:rsid w:val="0047522E"/>
    <w:rsid w:val="004825FD"/>
    <w:rsid w:val="004943E5"/>
    <w:rsid w:val="004A3309"/>
    <w:rsid w:val="004B4E11"/>
    <w:rsid w:val="004B6D07"/>
    <w:rsid w:val="004C14DE"/>
    <w:rsid w:val="004C2AF2"/>
    <w:rsid w:val="004C699B"/>
    <w:rsid w:val="004D08F3"/>
    <w:rsid w:val="004E5570"/>
    <w:rsid w:val="004E7B8B"/>
    <w:rsid w:val="00537714"/>
    <w:rsid w:val="0054076F"/>
    <w:rsid w:val="00540871"/>
    <w:rsid w:val="00543386"/>
    <w:rsid w:val="005527F6"/>
    <w:rsid w:val="00560127"/>
    <w:rsid w:val="00564F13"/>
    <w:rsid w:val="005669F3"/>
    <w:rsid w:val="00581EE2"/>
    <w:rsid w:val="00587100"/>
    <w:rsid w:val="005A235B"/>
    <w:rsid w:val="005A3BDE"/>
    <w:rsid w:val="005B45FF"/>
    <w:rsid w:val="005B5FFF"/>
    <w:rsid w:val="005B70F5"/>
    <w:rsid w:val="005C06BF"/>
    <w:rsid w:val="005D7D64"/>
    <w:rsid w:val="005E02C7"/>
    <w:rsid w:val="005F397F"/>
    <w:rsid w:val="005F454E"/>
    <w:rsid w:val="0061742B"/>
    <w:rsid w:val="00633504"/>
    <w:rsid w:val="00645922"/>
    <w:rsid w:val="006551DB"/>
    <w:rsid w:val="00671F5B"/>
    <w:rsid w:val="006801D6"/>
    <w:rsid w:val="00683744"/>
    <w:rsid w:val="00685EA3"/>
    <w:rsid w:val="0069301A"/>
    <w:rsid w:val="006A67A2"/>
    <w:rsid w:val="006C2F17"/>
    <w:rsid w:val="006E3F39"/>
    <w:rsid w:val="00700C07"/>
    <w:rsid w:val="007031A5"/>
    <w:rsid w:val="00703E37"/>
    <w:rsid w:val="00704DDC"/>
    <w:rsid w:val="007300F3"/>
    <w:rsid w:val="00730DA7"/>
    <w:rsid w:val="00735ED0"/>
    <w:rsid w:val="00740169"/>
    <w:rsid w:val="00752FC8"/>
    <w:rsid w:val="00754360"/>
    <w:rsid w:val="007548D9"/>
    <w:rsid w:val="007611FE"/>
    <w:rsid w:val="00762D31"/>
    <w:rsid w:val="007702D7"/>
    <w:rsid w:val="00780F98"/>
    <w:rsid w:val="0078329D"/>
    <w:rsid w:val="007C08E1"/>
    <w:rsid w:val="007C5348"/>
    <w:rsid w:val="007C5CC4"/>
    <w:rsid w:val="007D03FB"/>
    <w:rsid w:val="007D4CA9"/>
    <w:rsid w:val="007E6DF9"/>
    <w:rsid w:val="007F232C"/>
    <w:rsid w:val="007F7A2E"/>
    <w:rsid w:val="00802523"/>
    <w:rsid w:val="00805107"/>
    <w:rsid w:val="00811C6A"/>
    <w:rsid w:val="008225EE"/>
    <w:rsid w:val="00831649"/>
    <w:rsid w:val="008338F1"/>
    <w:rsid w:val="008353E2"/>
    <w:rsid w:val="0085384E"/>
    <w:rsid w:val="008572A9"/>
    <w:rsid w:val="00857F37"/>
    <w:rsid w:val="00866A52"/>
    <w:rsid w:val="008711A7"/>
    <w:rsid w:val="008722F5"/>
    <w:rsid w:val="00873E40"/>
    <w:rsid w:val="00882497"/>
    <w:rsid w:val="00891D81"/>
    <w:rsid w:val="00896166"/>
    <w:rsid w:val="008961A5"/>
    <w:rsid w:val="008D6412"/>
    <w:rsid w:val="008E32D3"/>
    <w:rsid w:val="008E5C0F"/>
    <w:rsid w:val="008F6A24"/>
    <w:rsid w:val="0090167C"/>
    <w:rsid w:val="00901780"/>
    <w:rsid w:val="00910615"/>
    <w:rsid w:val="00916D24"/>
    <w:rsid w:val="0092619F"/>
    <w:rsid w:val="0093230F"/>
    <w:rsid w:val="00932F76"/>
    <w:rsid w:val="00942AA3"/>
    <w:rsid w:val="0096064E"/>
    <w:rsid w:val="00966132"/>
    <w:rsid w:val="009668BA"/>
    <w:rsid w:val="0097355F"/>
    <w:rsid w:val="00973FD7"/>
    <w:rsid w:val="00984697"/>
    <w:rsid w:val="009867CB"/>
    <w:rsid w:val="00992BAE"/>
    <w:rsid w:val="009A1DBE"/>
    <w:rsid w:val="009A3D6A"/>
    <w:rsid w:val="009A596F"/>
    <w:rsid w:val="009A6739"/>
    <w:rsid w:val="009B0460"/>
    <w:rsid w:val="009D498D"/>
    <w:rsid w:val="009D5CAE"/>
    <w:rsid w:val="009E4A11"/>
    <w:rsid w:val="009F363F"/>
    <w:rsid w:val="00A14F3D"/>
    <w:rsid w:val="00A205D5"/>
    <w:rsid w:val="00A35552"/>
    <w:rsid w:val="00A4112E"/>
    <w:rsid w:val="00A43432"/>
    <w:rsid w:val="00A65982"/>
    <w:rsid w:val="00A704F9"/>
    <w:rsid w:val="00A71383"/>
    <w:rsid w:val="00A771EF"/>
    <w:rsid w:val="00A77C8A"/>
    <w:rsid w:val="00A93E40"/>
    <w:rsid w:val="00A9766C"/>
    <w:rsid w:val="00AA2012"/>
    <w:rsid w:val="00AA4010"/>
    <w:rsid w:val="00AB07FC"/>
    <w:rsid w:val="00AB55ED"/>
    <w:rsid w:val="00AC49A9"/>
    <w:rsid w:val="00AC56F7"/>
    <w:rsid w:val="00AC6BC9"/>
    <w:rsid w:val="00AD4A7D"/>
    <w:rsid w:val="00AE5E6D"/>
    <w:rsid w:val="00AF3776"/>
    <w:rsid w:val="00B0155A"/>
    <w:rsid w:val="00B026BC"/>
    <w:rsid w:val="00B027C0"/>
    <w:rsid w:val="00B02D38"/>
    <w:rsid w:val="00B106AA"/>
    <w:rsid w:val="00B11DF4"/>
    <w:rsid w:val="00B254D6"/>
    <w:rsid w:val="00B27C0D"/>
    <w:rsid w:val="00B31A02"/>
    <w:rsid w:val="00B33680"/>
    <w:rsid w:val="00B37BB8"/>
    <w:rsid w:val="00B42960"/>
    <w:rsid w:val="00B5195B"/>
    <w:rsid w:val="00B55913"/>
    <w:rsid w:val="00B64064"/>
    <w:rsid w:val="00B664A6"/>
    <w:rsid w:val="00B928B2"/>
    <w:rsid w:val="00BA68C1"/>
    <w:rsid w:val="00BB0E43"/>
    <w:rsid w:val="00BB19E8"/>
    <w:rsid w:val="00BB268B"/>
    <w:rsid w:val="00BC38ED"/>
    <w:rsid w:val="00BC3AA9"/>
    <w:rsid w:val="00BC49D2"/>
    <w:rsid w:val="00BD2420"/>
    <w:rsid w:val="00BD3164"/>
    <w:rsid w:val="00BD5356"/>
    <w:rsid w:val="00BD5A89"/>
    <w:rsid w:val="00BE6426"/>
    <w:rsid w:val="00BE7F37"/>
    <w:rsid w:val="00C06CAF"/>
    <w:rsid w:val="00C15199"/>
    <w:rsid w:val="00C152EE"/>
    <w:rsid w:val="00C2360F"/>
    <w:rsid w:val="00C24504"/>
    <w:rsid w:val="00C27FEA"/>
    <w:rsid w:val="00C42580"/>
    <w:rsid w:val="00C515B2"/>
    <w:rsid w:val="00C70AE1"/>
    <w:rsid w:val="00C720E2"/>
    <w:rsid w:val="00C73FAF"/>
    <w:rsid w:val="00C84DB2"/>
    <w:rsid w:val="00C85FA3"/>
    <w:rsid w:val="00C87E8A"/>
    <w:rsid w:val="00C95289"/>
    <w:rsid w:val="00CA2EF9"/>
    <w:rsid w:val="00CB02A1"/>
    <w:rsid w:val="00CB3400"/>
    <w:rsid w:val="00CC07E3"/>
    <w:rsid w:val="00CC45A3"/>
    <w:rsid w:val="00CC47F7"/>
    <w:rsid w:val="00CC6EE1"/>
    <w:rsid w:val="00D071AB"/>
    <w:rsid w:val="00D12998"/>
    <w:rsid w:val="00D20CC4"/>
    <w:rsid w:val="00D541E2"/>
    <w:rsid w:val="00D578AF"/>
    <w:rsid w:val="00D7085A"/>
    <w:rsid w:val="00D70960"/>
    <w:rsid w:val="00D76584"/>
    <w:rsid w:val="00DA2CE1"/>
    <w:rsid w:val="00DB0FB7"/>
    <w:rsid w:val="00DB13A2"/>
    <w:rsid w:val="00DB2FAE"/>
    <w:rsid w:val="00DB5C5A"/>
    <w:rsid w:val="00DB75AC"/>
    <w:rsid w:val="00DD1534"/>
    <w:rsid w:val="00DD198B"/>
    <w:rsid w:val="00DD44AC"/>
    <w:rsid w:val="00DD51AF"/>
    <w:rsid w:val="00DD763D"/>
    <w:rsid w:val="00DE4631"/>
    <w:rsid w:val="00DE733A"/>
    <w:rsid w:val="00E06DDD"/>
    <w:rsid w:val="00E15AC1"/>
    <w:rsid w:val="00E2592B"/>
    <w:rsid w:val="00E25E71"/>
    <w:rsid w:val="00E473A9"/>
    <w:rsid w:val="00E60BC0"/>
    <w:rsid w:val="00E731A2"/>
    <w:rsid w:val="00E7414F"/>
    <w:rsid w:val="00E82A71"/>
    <w:rsid w:val="00E90B64"/>
    <w:rsid w:val="00E912CF"/>
    <w:rsid w:val="00E93AB4"/>
    <w:rsid w:val="00EC662E"/>
    <w:rsid w:val="00EE2B3E"/>
    <w:rsid w:val="00EF05FA"/>
    <w:rsid w:val="00EF49A0"/>
    <w:rsid w:val="00F021DD"/>
    <w:rsid w:val="00F15E61"/>
    <w:rsid w:val="00F22AA5"/>
    <w:rsid w:val="00F26157"/>
    <w:rsid w:val="00F32F3D"/>
    <w:rsid w:val="00F34378"/>
    <w:rsid w:val="00F41734"/>
    <w:rsid w:val="00F44E19"/>
    <w:rsid w:val="00F4619E"/>
    <w:rsid w:val="00F51454"/>
    <w:rsid w:val="00F5350C"/>
    <w:rsid w:val="00F65A80"/>
    <w:rsid w:val="00F6693B"/>
    <w:rsid w:val="00F741E4"/>
    <w:rsid w:val="00F767A0"/>
    <w:rsid w:val="00F95B4B"/>
    <w:rsid w:val="00FB3BFF"/>
    <w:rsid w:val="00FB4AF0"/>
    <w:rsid w:val="00FC6E5A"/>
    <w:rsid w:val="00FD7950"/>
    <w:rsid w:val="00FE2178"/>
    <w:rsid w:val="00FF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A6EE0-6A34-43BB-9DCE-B062FAFA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2023-09-12T18:30:00+00:00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D72D-047A-459E-9369-6ACF64351881}"/>
</file>

<file path=customXml/itemProps2.xml><?xml version="1.0" encoding="utf-8"?>
<ds:datastoreItem xmlns:ds="http://schemas.openxmlformats.org/officeDocument/2006/customXml" ds:itemID="{26C96480-AC19-4DEF-BA02-0FC0A0539658}"/>
</file>

<file path=customXml/itemProps3.xml><?xml version="1.0" encoding="utf-8"?>
<ds:datastoreItem xmlns:ds="http://schemas.openxmlformats.org/officeDocument/2006/customXml" ds:itemID="{FB80CD35-1B5D-4853-8FBC-9A991B36FC42}"/>
</file>

<file path=customXml/itemProps4.xml><?xml version="1.0" encoding="utf-8"?>
<ds:datastoreItem xmlns:ds="http://schemas.openxmlformats.org/officeDocument/2006/customXml" ds:itemID="{0526CF67-D22C-4E52-A211-922C1F89CA27}"/>
</file>

<file path=docProps/app.xml><?xml version="1.0" encoding="utf-8"?>
<Properties xmlns="http://schemas.openxmlformats.org/officeDocument/2006/extended-properties" xmlns:vt="http://schemas.openxmlformats.org/officeDocument/2006/docPropsVTypes">
  <Template>Normal</Template>
  <TotalTime>2</TotalTime>
  <Pages>1</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Kaombungu v Council of the Municipality of Windhoek(HC-MD-CIV-MOT-REV-2021-00407) [2023] NAHCMD  567 (13 September 2023)</dc:title>
  <dc:creator>Nicolene Griffiths</dc:creator>
  <cp:lastModifiedBy>Bregitha Coetzee</cp:lastModifiedBy>
  <cp:revision>4</cp:revision>
  <cp:lastPrinted>2023-09-13T12:52:00Z</cp:lastPrinted>
  <dcterms:created xsi:type="dcterms:W3CDTF">2023-09-13T12:54:00Z</dcterms:created>
  <dcterms:modified xsi:type="dcterms:W3CDTF">2023-09-14T07:22:00Z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