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5B98" w14:textId="77777777"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2D85ACEB" wp14:editId="7C477860">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2DF4B826" w14:textId="77777777"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45FEA3FF" w14:textId="77777777"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5CE2063D" wp14:editId="66164CA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54E635F1" w14:textId="77777777" w:rsidR="00184C3A" w:rsidRPr="00077FC7" w:rsidRDefault="006616D2" w:rsidP="00184C3A">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14:paraId="1EB04342" w14:textId="77777777" w:rsidR="00184C3A" w:rsidRPr="00077FC7" w:rsidRDefault="00184C3A" w:rsidP="00184C3A">
      <w:pPr>
        <w:spacing w:after="0" w:line="360" w:lineRule="auto"/>
        <w:jc w:val="center"/>
        <w:rPr>
          <w:rFonts w:ascii="Arial" w:hAnsi="Arial" w:cs="Arial"/>
          <w:bCs/>
          <w:sz w:val="24"/>
          <w:szCs w:val="24"/>
        </w:rPr>
      </w:pPr>
    </w:p>
    <w:p w14:paraId="6B10F33F" w14:textId="77777777" w:rsidR="00184C3A" w:rsidRPr="00077FC7" w:rsidRDefault="00184C3A" w:rsidP="00184C3A">
      <w:pPr>
        <w:spacing w:after="0" w:line="360" w:lineRule="auto"/>
        <w:jc w:val="center"/>
        <w:rPr>
          <w:rFonts w:ascii="Arial" w:hAnsi="Arial" w:cs="Arial"/>
          <w:b/>
          <w:sz w:val="24"/>
          <w:szCs w:val="24"/>
        </w:rPr>
      </w:pPr>
      <w:r>
        <w:rPr>
          <w:rFonts w:ascii="Arial" w:hAnsi="Arial" w:cs="Arial"/>
          <w:b/>
          <w:sz w:val="24"/>
          <w:szCs w:val="24"/>
        </w:rPr>
        <w:t>JUDGMENT</w:t>
      </w:r>
    </w:p>
    <w:p w14:paraId="0450A18A" w14:textId="77777777" w:rsidR="00184C3A" w:rsidRPr="006E2B3B" w:rsidRDefault="00184C3A" w:rsidP="00184C3A">
      <w:pPr>
        <w:spacing w:after="0" w:line="360" w:lineRule="auto"/>
        <w:jc w:val="center"/>
        <w:rPr>
          <w:rFonts w:ascii="Arial" w:hAnsi="Arial" w:cs="Arial"/>
          <w:b/>
          <w:sz w:val="24"/>
          <w:szCs w:val="24"/>
        </w:rPr>
      </w:pPr>
    </w:p>
    <w:p w14:paraId="2451E31B" w14:textId="77777777" w:rsidR="00F348BE" w:rsidRDefault="00184C3A" w:rsidP="00184C3A">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DB7DEB">
        <w:rPr>
          <w:rFonts w:ascii="Arial" w:hAnsi="Arial" w:cs="Arial"/>
          <w:sz w:val="24"/>
          <w:szCs w:val="24"/>
        </w:rPr>
        <w:t>n</w:t>
      </w:r>
      <w:r w:rsidRPr="006E2B3B">
        <w:rPr>
          <w:rFonts w:ascii="Arial" w:hAnsi="Arial" w:cs="Arial"/>
          <w:sz w:val="24"/>
          <w:szCs w:val="24"/>
        </w:rPr>
        <w:t>o</w:t>
      </w:r>
      <w:r w:rsidR="00DB7DEB">
        <w:rPr>
          <w:rFonts w:ascii="Arial" w:hAnsi="Arial" w:cs="Arial"/>
          <w:sz w:val="24"/>
          <w:szCs w:val="24"/>
        </w:rPr>
        <w:t>.</w:t>
      </w:r>
      <w:r w:rsidRPr="006E2B3B">
        <w:rPr>
          <w:rFonts w:ascii="Arial" w:hAnsi="Arial" w:cs="Arial"/>
          <w:sz w:val="24"/>
          <w:szCs w:val="24"/>
        </w:rPr>
        <w:t xml:space="preserve">: </w:t>
      </w:r>
      <w:r w:rsidR="009758C6" w:rsidRPr="009758C6">
        <w:rPr>
          <w:rFonts w:ascii="Arial" w:hAnsi="Arial" w:cs="Arial"/>
          <w:sz w:val="24"/>
          <w:szCs w:val="24"/>
        </w:rPr>
        <w:t xml:space="preserve"> </w:t>
      </w:r>
      <w:r w:rsidR="00A612E9" w:rsidRPr="00A612E9">
        <w:rPr>
          <w:rFonts w:ascii="Arial" w:hAnsi="Arial" w:cs="Arial"/>
          <w:sz w:val="24"/>
          <w:szCs w:val="24"/>
        </w:rPr>
        <w:t>HC-MD-CIV-MOT-REV-2022/00062</w:t>
      </w:r>
    </w:p>
    <w:p w14:paraId="74825095" w14:textId="77777777" w:rsidR="00F348BE" w:rsidRDefault="00F348BE" w:rsidP="00184C3A">
      <w:pPr>
        <w:tabs>
          <w:tab w:val="right" w:pos="9000"/>
        </w:tabs>
        <w:spacing w:after="0" w:line="360" w:lineRule="auto"/>
        <w:jc w:val="both"/>
        <w:rPr>
          <w:rFonts w:ascii="Arial" w:hAnsi="Arial" w:cs="Arial"/>
          <w:sz w:val="24"/>
          <w:szCs w:val="24"/>
        </w:rPr>
      </w:pPr>
    </w:p>
    <w:p w14:paraId="465A52CC" w14:textId="77777777" w:rsidR="00184C3A" w:rsidRPr="00077FC7" w:rsidRDefault="00184C3A" w:rsidP="00184C3A">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122740E4" w14:textId="77777777" w:rsidR="00A612E9" w:rsidRDefault="00A612E9" w:rsidP="006C3AF0">
      <w:pPr>
        <w:spacing w:after="3" w:line="265" w:lineRule="auto"/>
        <w:ind w:left="33" w:right="25" w:hanging="10"/>
        <w:jc w:val="both"/>
        <w:rPr>
          <w:rFonts w:ascii="Arial" w:eastAsia="Arial Unicode MS" w:hAnsi="Arial" w:cs="Arial"/>
          <w:color w:val="000000"/>
          <w:sz w:val="24"/>
          <w:szCs w:val="24"/>
        </w:rPr>
      </w:pPr>
    </w:p>
    <w:p w14:paraId="06F12A12" w14:textId="77777777" w:rsidR="006C3AF0" w:rsidRPr="006C3AF0" w:rsidRDefault="00A612E9" w:rsidP="006C3AF0">
      <w:pPr>
        <w:spacing w:after="3" w:line="265" w:lineRule="auto"/>
        <w:ind w:left="33" w:right="25" w:hanging="10"/>
        <w:jc w:val="both"/>
        <w:rPr>
          <w:rFonts w:ascii="Arial" w:eastAsia="Arial Unicode MS" w:hAnsi="Arial" w:cs="Arial"/>
          <w:b/>
          <w:color w:val="000000"/>
          <w:sz w:val="24"/>
          <w:szCs w:val="24"/>
        </w:rPr>
      </w:pPr>
      <w:r w:rsidRPr="00A612E9">
        <w:rPr>
          <w:rFonts w:ascii="Arial" w:eastAsia="Arial Unicode MS" w:hAnsi="Arial" w:cs="Arial"/>
          <w:b/>
          <w:color w:val="000000"/>
          <w:sz w:val="24"/>
          <w:szCs w:val="24"/>
        </w:rPr>
        <w:t>MICHELLE IKUME SILILO</w:t>
      </w:r>
      <w:r>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6C3AF0">
        <w:rPr>
          <w:rFonts w:ascii="Arial" w:eastAsia="Arial Unicode MS" w:hAnsi="Arial" w:cs="Arial"/>
          <w:b/>
          <w:color w:val="000000"/>
          <w:sz w:val="24"/>
          <w:szCs w:val="24"/>
        </w:rPr>
        <w:tab/>
      </w:r>
      <w:r w:rsidR="006C3AF0" w:rsidRPr="006C3AF0">
        <w:rPr>
          <w:rFonts w:ascii="Arial" w:eastAsia="Arial Unicode MS" w:hAnsi="Arial" w:cs="Arial"/>
          <w:b/>
          <w:color w:val="000000"/>
          <w:sz w:val="24"/>
          <w:szCs w:val="24"/>
        </w:rPr>
        <w:tab/>
      </w:r>
      <w:r w:rsidR="001525BC">
        <w:rPr>
          <w:rFonts w:ascii="Arial" w:eastAsia="Arial Unicode MS" w:hAnsi="Arial" w:cs="Arial"/>
          <w:b/>
          <w:color w:val="000000"/>
          <w:sz w:val="24"/>
          <w:szCs w:val="24"/>
        </w:rPr>
        <w:tab/>
      </w:r>
      <w:r w:rsidR="000F5D13">
        <w:rPr>
          <w:rFonts w:ascii="Arial" w:eastAsia="Arial Unicode MS" w:hAnsi="Arial" w:cs="Arial"/>
          <w:b/>
          <w:color w:val="000000"/>
          <w:sz w:val="24"/>
          <w:szCs w:val="24"/>
        </w:rPr>
        <w:tab/>
        <w:t xml:space="preserve">   </w:t>
      </w:r>
      <w:r w:rsidR="001525BC">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Pr="00A612E9">
        <w:rPr>
          <w:rFonts w:ascii="Arial" w:eastAsia="Arial Unicode MS" w:hAnsi="Arial" w:cs="Arial"/>
          <w:b/>
          <w:color w:val="000000"/>
          <w:sz w:val="24"/>
          <w:szCs w:val="24"/>
        </w:rPr>
        <w:t>APPLICANT</w:t>
      </w:r>
    </w:p>
    <w:p w14:paraId="6CE7B3B4"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0FE5DEF4"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00A6F31D" w14:textId="77777777"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14:paraId="1FC9430E" w14:textId="77777777" w:rsidR="006C3AF0" w:rsidRDefault="00A612E9" w:rsidP="00835F89">
      <w:pPr>
        <w:spacing w:after="3" w:line="480" w:lineRule="auto"/>
        <w:ind w:left="33" w:right="25" w:hanging="10"/>
        <w:jc w:val="both"/>
        <w:rPr>
          <w:rFonts w:ascii="Arial" w:eastAsia="Arial Unicode MS" w:hAnsi="Arial" w:cs="Arial"/>
          <w:b/>
          <w:color w:val="000000"/>
          <w:sz w:val="24"/>
          <w:szCs w:val="24"/>
        </w:rPr>
      </w:pPr>
      <w:r w:rsidRPr="00A612E9">
        <w:rPr>
          <w:rFonts w:ascii="Arial" w:eastAsia="Arial Unicode MS" w:hAnsi="Arial" w:cs="Arial"/>
          <w:b/>
          <w:color w:val="000000"/>
          <w:sz w:val="24"/>
          <w:szCs w:val="24"/>
        </w:rPr>
        <w:t>STANDARD BANK NAMIBIA LIMITED</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00835F89" w:rsidRPr="00835F89">
        <w:rPr>
          <w:rFonts w:ascii="Arial" w:eastAsia="Arial Unicode MS" w:hAnsi="Arial" w:cs="Arial"/>
          <w:b/>
          <w:color w:val="000000"/>
          <w:sz w:val="24"/>
          <w:szCs w:val="24"/>
        </w:rPr>
        <w:t>1</w:t>
      </w:r>
      <w:r w:rsidR="00835F89" w:rsidRPr="00835F89">
        <w:rPr>
          <w:rFonts w:ascii="Arial" w:eastAsia="Arial Unicode MS" w:hAnsi="Arial" w:cs="Arial"/>
          <w:b/>
          <w:color w:val="000000"/>
          <w:sz w:val="24"/>
          <w:szCs w:val="24"/>
          <w:vertAlign w:val="superscript"/>
        </w:rPr>
        <w:t>ST</w:t>
      </w:r>
      <w:r w:rsidR="00835F89" w:rsidRPr="00835F89">
        <w:rPr>
          <w:rFonts w:ascii="Arial" w:eastAsia="Arial Unicode MS" w:hAnsi="Arial" w:cs="Arial"/>
          <w:b/>
          <w:color w:val="000000"/>
          <w:sz w:val="24"/>
          <w:szCs w:val="24"/>
        </w:rPr>
        <w:t xml:space="preserve"> </w:t>
      </w:r>
      <w:r w:rsidRPr="00A612E9">
        <w:rPr>
          <w:rFonts w:ascii="Arial" w:eastAsia="Arial Unicode MS" w:hAnsi="Arial" w:cs="Arial"/>
          <w:b/>
          <w:color w:val="000000"/>
          <w:sz w:val="24"/>
          <w:szCs w:val="24"/>
        </w:rPr>
        <w:t>RESPONDENT</w:t>
      </w:r>
    </w:p>
    <w:p w14:paraId="071E2750" w14:textId="77777777" w:rsidR="00835F89" w:rsidRDefault="00A612E9" w:rsidP="00835F89">
      <w:pPr>
        <w:spacing w:after="3" w:line="480" w:lineRule="auto"/>
        <w:ind w:left="33" w:right="25" w:hanging="10"/>
        <w:jc w:val="both"/>
        <w:rPr>
          <w:rFonts w:ascii="Arial" w:eastAsia="Arial Unicode MS" w:hAnsi="Arial" w:cs="Arial"/>
          <w:b/>
          <w:color w:val="000000"/>
          <w:sz w:val="24"/>
          <w:szCs w:val="24"/>
        </w:rPr>
      </w:pPr>
      <w:r w:rsidRPr="00A612E9">
        <w:rPr>
          <w:rFonts w:ascii="Arial" w:eastAsia="Arial Unicode MS" w:hAnsi="Arial" w:cs="Arial"/>
          <w:b/>
          <w:color w:val="000000"/>
          <w:sz w:val="24"/>
          <w:szCs w:val="24"/>
        </w:rPr>
        <w:t>THE DEPUTY SHERIFF OF SWAKOPMUND</w:t>
      </w:r>
      <w:r>
        <w:rPr>
          <w:rFonts w:ascii="Arial" w:eastAsia="Arial Unicode MS" w:hAnsi="Arial" w:cs="Arial"/>
          <w:b/>
          <w:color w:val="000000"/>
          <w:sz w:val="24"/>
          <w:szCs w:val="24"/>
        </w:rPr>
        <w:tab/>
      </w:r>
      <w:r w:rsidR="00835F89" w:rsidRPr="00835F89">
        <w:rPr>
          <w:rFonts w:ascii="Arial" w:eastAsia="Arial Unicode MS" w:hAnsi="Arial" w:cs="Arial"/>
          <w:b/>
          <w:color w:val="000000"/>
          <w:sz w:val="24"/>
          <w:szCs w:val="24"/>
        </w:rPr>
        <w:tab/>
      </w:r>
      <w:r w:rsidR="00835F89">
        <w:rPr>
          <w:rFonts w:ascii="Arial" w:eastAsia="Arial Unicode MS" w:hAnsi="Arial" w:cs="Arial"/>
          <w:b/>
          <w:color w:val="000000"/>
          <w:sz w:val="24"/>
          <w:szCs w:val="24"/>
        </w:rPr>
        <w:tab/>
        <w:t xml:space="preserve"> </w:t>
      </w:r>
      <w:r w:rsidR="00835F89" w:rsidRPr="00835F89">
        <w:rPr>
          <w:rFonts w:ascii="Arial" w:eastAsia="Arial Unicode MS" w:hAnsi="Arial" w:cs="Arial"/>
          <w:b/>
          <w:color w:val="000000"/>
          <w:sz w:val="24"/>
          <w:szCs w:val="24"/>
        </w:rPr>
        <w:t xml:space="preserve"> </w:t>
      </w:r>
      <w:r w:rsidR="001525BC">
        <w:rPr>
          <w:rFonts w:ascii="Arial" w:eastAsia="Arial Unicode MS" w:hAnsi="Arial" w:cs="Arial"/>
          <w:b/>
          <w:color w:val="000000"/>
          <w:sz w:val="24"/>
          <w:szCs w:val="24"/>
        </w:rPr>
        <w:t xml:space="preserve">  </w:t>
      </w:r>
      <w:r w:rsidR="00835F89" w:rsidRPr="00835F89">
        <w:rPr>
          <w:rFonts w:ascii="Arial" w:eastAsia="Arial Unicode MS" w:hAnsi="Arial" w:cs="Arial"/>
          <w:b/>
          <w:color w:val="000000"/>
          <w:sz w:val="24"/>
          <w:szCs w:val="24"/>
        </w:rPr>
        <w:t xml:space="preserve">   2</w:t>
      </w:r>
      <w:r w:rsidR="00835F89" w:rsidRPr="00835F89">
        <w:rPr>
          <w:rFonts w:ascii="Arial" w:eastAsia="Arial Unicode MS" w:hAnsi="Arial" w:cs="Arial"/>
          <w:b/>
          <w:color w:val="000000"/>
          <w:sz w:val="24"/>
          <w:szCs w:val="24"/>
          <w:vertAlign w:val="superscript"/>
        </w:rPr>
        <w:t>ND</w:t>
      </w:r>
      <w:r w:rsidR="00835F89" w:rsidRPr="00835F89">
        <w:rPr>
          <w:rFonts w:ascii="Arial" w:eastAsia="Arial Unicode MS" w:hAnsi="Arial" w:cs="Arial"/>
          <w:b/>
          <w:color w:val="000000"/>
          <w:sz w:val="24"/>
          <w:szCs w:val="24"/>
        </w:rPr>
        <w:t xml:space="preserve"> </w:t>
      </w:r>
      <w:r w:rsidRPr="00A612E9">
        <w:rPr>
          <w:rFonts w:ascii="Arial" w:eastAsia="Arial Unicode MS" w:hAnsi="Arial" w:cs="Arial"/>
          <w:b/>
          <w:color w:val="000000"/>
          <w:sz w:val="24"/>
          <w:szCs w:val="24"/>
        </w:rPr>
        <w:t>RESPONDENT</w:t>
      </w:r>
    </w:p>
    <w:p w14:paraId="2AD6E205" w14:textId="77777777" w:rsidR="00A612E9" w:rsidRPr="006C3AF0" w:rsidRDefault="00A612E9" w:rsidP="00A612E9">
      <w:pPr>
        <w:spacing w:after="3" w:line="480" w:lineRule="auto"/>
        <w:ind w:left="33" w:right="25" w:hanging="10"/>
        <w:jc w:val="both"/>
        <w:rPr>
          <w:rFonts w:ascii="Arial" w:eastAsia="Arial Unicode MS" w:hAnsi="Arial" w:cs="Arial"/>
          <w:b/>
          <w:color w:val="000000"/>
          <w:sz w:val="24"/>
          <w:szCs w:val="24"/>
        </w:rPr>
      </w:pPr>
      <w:r w:rsidRPr="00A612E9">
        <w:rPr>
          <w:rFonts w:ascii="Arial" w:eastAsia="Arial Unicode MS" w:hAnsi="Arial" w:cs="Arial"/>
          <w:b/>
          <w:color w:val="000000"/>
          <w:sz w:val="24"/>
          <w:szCs w:val="24"/>
        </w:rPr>
        <w:t>THE REGISTRAR OF DEEDS</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835F89">
        <w:rPr>
          <w:rFonts w:ascii="Arial" w:eastAsia="Arial Unicode MS" w:hAnsi="Arial" w:cs="Arial"/>
          <w:b/>
          <w:color w:val="000000"/>
          <w:sz w:val="24"/>
          <w:szCs w:val="24"/>
        </w:rPr>
        <w:t xml:space="preserve"> </w:t>
      </w:r>
      <w:r>
        <w:rPr>
          <w:rFonts w:ascii="Arial" w:eastAsia="Arial Unicode MS" w:hAnsi="Arial" w:cs="Arial"/>
          <w:b/>
          <w:color w:val="000000"/>
          <w:sz w:val="24"/>
          <w:szCs w:val="24"/>
        </w:rPr>
        <w:t xml:space="preserve">  </w:t>
      </w:r>
      <w:r w:rsidRPr="00835F89">
        <w:rPr>
          <w:rFonts w:ascii="Arial" w:eastAsia="Arial Unicode MS" w:hAnsi="Arial" w:cs="Arial"/>
          <w:b/>
          <w:color w:val="000000"/>
          <w:sz w:val="24"/>
          <w:szCs w:val="24"/>
        </w:rPr>
        <w:t xml:space="preserve">   </w:t>
      </w:r>
      <w:r>
        <w:rPr>
          <w:rFonts w:ascii="Arial" w:eastAsia="Arial Unicode MS" w:hAnsi="Arial" w:cs="Arial"/>
          <w:b/>
          <w:color w:val="000000"/>
          <w:sz w:val="24"/>
          <w:szCs w:val="24"/>
        </w:rPr>
        <w:t>3</w:t>
      </w:r>
      <w:r w:rsidRPr="00A612E9">
        <w:rPr>
          <w:rFonts w:ascii="Arial" w:eastAsia="Arial Unicode MS" w:hAnsi="Arial" w:cs="Arial"/>
          <w:b/>
          <w:color w:val="000000"/>
          <w:sz w:val="24"/>
          <w:szCs w:val="24"/>
          <w:vertAlign w:val="superscript"/>
        </w:rPr>
        <w:t>RD</w:t>
      </w:r>
      <w:r>
        <w:rPr>
          <w:rFonts w:ascii="Arial" w:eastAsia="Arial Unicode MS" w:hAnsi="Arial" w:cs="Arial"/>
          <w:b/>
          <w:color w:val="000000"/>
          <w:sz w:val="24"/>
          <w:szCs w:val="24"/>
        </w:rPr>
        <w:t xml:space="preserve"> </w:t>
      </w:r>
      <w:r w:rsidRPr="00A612E9">
        <w:rPr>
          <w:rFonts w:ascii="Arial" w:eastAsia="Arial Unicode MS" w:hAnsi="Arial" w:cs="Arial"/>
          <w:b/>
          <w:color w:val="000000"/>
          <w:sz w:val="24"/>
          <w:szCs w:val="24"/>
        </w:rPr>
        <w:t>RESPONDENT</w:t>
      </w:r>
    </w:p>
    <w:p w14:paraId="10A9B39F" w14:textId="77777777" w:rsidR="00A612E9" w:rsidRPr="006C3AF0" w:rsidRDefault="00A612E9" w:rsidP="00835F89">
      <w:pPr>
        <w:spacing w:after="3" w:line="480" w:lineRule="auto"/>
        <w:ind w:left="33" w:right="25" w:hanging="10"/>
        <w:jc w:val="both"/>
        <w:rPr>
          <w:rFonts w:ascii="Arial" w:eastAsia="Arial Unicode MS" w:hAnsi="Arial" w:cs="Arial"/>
          <w:b/>
          <w:color w:val="000000"/>
          <w:sz w:val="24"/>
          <w:szCs w:val="24"/>
        </w:rPr>
      </w:pPr>
      <w:r w:rsidRPr="00A612E9">
        <w:rPr>
          <w:rFonts w:ascii="Arial" w:eastAsia="Arial Unicode MS" w:hAnsi="Arial" w:cs="Arial"/>
          <w:b/>
          <w:color w:val="000000"/>
          <w:sz w:val="24"/>
          <w:szCs w:val="24"/>
        </w:rPr>
        <w:t>GEORGE ROMENA ZAAHL</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4</w:t>
      </w:r>
      <w:r w:rsidRPr="00A612E9">
        <w:rPr>
          <w:rFonts w:ascii="Arial" w:eastAsia="Arial Unicode MS" w:hAnsi="Arial" w:cs="Arial"/>
          <w:b/>
          <w:color w:val="000000"/>
          <w:sz w:val="24"/>
          <w:szCs w:val="24"/>
          <w:vertAlign w:val="superscript"/>
        </w:rPr>
        <w:t>TH</w:t>
      </w:r>
      <w:r>
        <w:rPr>
          <w:rFonts w:ascii="Arial" w:eastAsia="Arial Unicode MS" w:hAnsi="Arial" w:cs="Arial"/>
          <w:b/>
          <w:color w:val="000000"/>
          <w:sz w:val="24"/>
          <w:szCs w:val="24"/>
        </w:rPr>
        <w:t xml:space="preserve"> </w:t>
      </w:r>
      <w:r w:rsidRPr="00A612E9">
        <w:rPr>
          <w:rFonts w:ascii="Arial" w:eastAsia="Arial Unicode MS" w:hAnsi="Arial" w:cs="Arial"/>
          <w:b/>
          <w:color w:val="000000"/>
          <w:sz w:val="24"/>
          <w:szCs w:val="24"/>
        </w:rPr>
        <w:t>RESPONDENT</w:t>
      </w:r>
    </w:p>
    <w:p w14:paraId="595C95C4" w14:textId="77777777" w:rsidR="00FC4490" w:rsidRDefault="00FC4490" w:rsidP="006D32EE">
      <w:pPr>
        <w:spacing w:after="0" w:line="360" w:lineRule="auto"/>
        <w:ind w:hanging="2160"/>
        <w:jc w:val="both"/>
        <w:rPr>
          <w:rFonts w:ascii="Arial" w:hAnsi="Arial" w:cs="Arial"/>
          <w:b/>
          <w:sz w:val="24"/>
          <w:szCs w:val="24"/>
        </w:rPr>
      </w:pPr>
    </w:p>
    <w:p w14:paraId="4FEA6ED6" w14:textId="77777777" w:rsidR="00184C3A" w:rsidRPr="00280F03" w:rsidRDefault="00184C3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A612E9" w:rsidRPr="00A612E9">
        <w:rPr>
          <w:rFonts w:ascii="Arial" w:hAnsi="Arial" w:cs="Arial"/>
          <w:i/>
          <w:sz w:val="24"/>
          <w:szCs w:val="24"/>
        </w:rPr>
        <w:t>Sililo</w:t>
      </w:r>
      <w:r w:rsidR="00720245" w:rsidRPr="00835F89">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A612E9" w:rsidRPr="00A612E9">
        <w:rPr>
          <w:rFonts w:ascii="Arial" w:eastAsia="Times New Roman" w:hAnsi="Arial" w:cs="Arial"/>
          <w:i/>
          <w:sz w:val="24"/>
          <w:szCs w:val="24"/>
          <w:lang w:eastAsia="en-GB"/>
        </w:rPr>
        <w:t>Standard Bank Namibia Limited</w:t>
      </w:r>
      <w:r w:rsidR="00B92DA4" w:rsidRPr="00B92DA4">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A612E9" w:rsidRPr="00A612E9">
        <w:rPr>
          <w:rFonts w:ascii="Arial" w:eastAsia="Times New Roman" w:hAnsi="Arial" w:cs="Arial"/>
          <w:sz w:val="24"/>
          <w:szCs w:val="24"/>
          <w:lang w:eastAsia="en-GB"/>
        </w:rPr>
        <w:t>HC-MD-CIV-MOT-REV-2022/00062</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2309AF">
        <w:rPr>
          <w:rFonts w:ascii="Arial" w:eastAsia="Times New Roman" w:hAnsi="Arial" w:cs="Arial"/>
          <w:sz w:val="24"/>
          <w:szCs w:val="24"/>
          <w:lang w:eastAsia="en-GB"/>
        </w:rPr>
        <w:t>667</w:t>
      </w:r>
      <w:r w:rsidR="006C3AF0">
        <w:rPr>
          <w:rFonts w:ascii="Arial" w:eastAsia="Times New Roman" w:hAnsi="Arial" w:cs="Arial"/>
          <w:sz w:val="24"/>
          <w:szCs w:val="24"/>
          <w:lang w:eastAsia="en-GB"/>
        </w:rPr>
        <w:t xml:space="preserve"> (</w:t>
      </w:r>
      <w:r w:rsidR="00B47F9D">
        <w:rPr>
          <w:rFonts w:ascii="Arial" w:eastAsia="Times New Roman" w:hAnsi="Arial" w:cs="Arial"/>
          <w:sz w:val="24"/>
          <w:szCs w:val="24"/>
          <w:lang w:eastAsia="en-GB"/>
        </w:rPr>
        <w:t>19 October</w:t>
      </w:r>
      <w:r w:rsidR="00B92DA4">
        <w:rPr>
          <w:rFonts w:ascii="Arial" w:eastAsia="Times New Roman" w:hAnsi="Arial" w:cs="Arial"/>
          <w:sz w:val="24"/>
          <w:szCs w:val="24"/>
          <w:lang w:eastAsia="en-GB"/>
        </w:rPr>
        <w:t xml:space="preserve"> </w:t>
      </w:r>
      <w:r w:rsidR="00F348BE" w:rsidRPr="00F348BE">
        <w:rPr>
          <w:rFonts w:ascii="Arial" w:eastAsia="Times New Roman" w:hAnsi="Arial" w:cs="Arial"/>
          <w:sz w:val="24"/>
          <w:szCs w:val="24"/>
          <w:lang w:eastAsia="en-GB"/>
        </w:rPr>
        <w:t>202</w:t>
      </w:r>
      <w:r w:rsidR="00526DEF">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6FAAD5D1" w14:textId="77777777" w:rsidR="00184C3A" w:rsidRPr="00077FC7" w:rsidRDefault="00184C3A" w:rsidP="00184C3A">
      <w:pPr>
        <w:spacing w:after="0" w:line="360" w:lineRule="auto"/>
        <w:jc w:val="both"/>
        <w:rPr>
          <w:rFonts w:ascii="Arial" w:hAnsi="Arial" w:cs="Arial"/>
          <w:sz w:val="24"/>
          <w:szCs w:val="24"/>
        </w:rPr>
      </w:pPr>
    </w:p>
    <w:p w14:paraId="07D9971C" w14:textId="77777777" w:rsidR="00184C3A" w:rsidRPr="00077FC7" w:rsidRDefault="00184C3A" w:rsidP="00184C3A">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4186BB1A" w14:textId="77777777" w:rsidR="00184C3A" w:rsidRPr="00746204" w:rsidRDefault="00184C3A" w:rsidP="00184C3A">
      <w:pPr>
        <w:spacing w:after="0" w:line="24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B92DA4">
        <w:rPr>
          <w:rFonts w:ascii="Arial" w:hAnsi="Arial" w:cs="Arial"/>
          <w:b/>
          <w:sz w:val="24"/>
          <w:szCs w:val="24"/>
        </w:rPr>
        <w:t>1</w:t>
      </w:r>
      <w:r w:rsidR="00A612E9">
        <w:rPr>
          <w:rFonts w:ascii="Arial" w:hAnsi="Arial" w:cs="Arial"/>
          <w:b/>
          <w:sz w:val="24"/>
          <w:szCs w:val="24"/>
        </w:rPr>
        <w:t>9 June</w:t>
      </w:r>
      <w:r w:rsidR="00B92DA4">
        <w:rPr>
          <w:rFonts w:ascii="Arial" w:hAnsi="Arial" w:cs="Arial"/>
          <w:b/>
          <w:sz w:val="24"/>
          <w:szCs w:val="24"/>
        </w:rPr>
        <w:t xml:space="preserve"> </w:t>
      </w:r>
      <w:r w:rsidR="00F348BE" w:rsidRPr="00F348BE">
        <w:rPr>
          <w:rFonts w:ascii="Arial" w:hAnsi="Arial" w:cs="Arial"/>
          <w:b/>
          <w:sz w:val="24"/>
          <w:szCs w:val="24"/>
        </w:rPr>
        <w:t>202</w:t>
      </w:r>
      <w:r w:rsidR="00526DEF">
        <w:rPr>
          <w:rFonts w:ascii="Arial" w:hAnsi="Arial" w:cs="Arial"/>
          <w:b/>
          <w:sz w:val="24"/>
          <w:szCs w:val="24"/>
        </w:rPr>
        <w:t>3</w:t>
      </w:r>
    </w:p>
    <w:p w14:paraId="68C4BB8B" w14:textId="77777777" w:rsidR="00184C3A" w:rsidRPr="00746204" w:rsidRDefault="00184C3A" w:rsidP="00184C3A">
      <w:pPr>
        <w:spacing w:after="0" w:line="240" w:lineRule="auto"/>
        <w:ind w:left="1440" w:hanging="1440"/>
        <w:jc w:val="both"/>
        <w:rPr>
          <w:rFonts w:ascii="Arial" w:hAnsi="Arial" w:cs="Arial"/>
          <w:b/>
          <w:sz w:val="24"/>
          <w:szCs w:val="24"/>
        </w:rPr>
      </w:pPr>
    </w:p>
    <w:p w14:paraId="5E5BC14D" w14:textId="77777777" w:rsidR="00184C3A" w:rsidRPr="00746204" w:rsidRDefault="00184C3A" w:rsidP="00184C3A">
      <w:pPr>
        <w:spacing w:after="0" w:line="24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B47F9D">
        <w:rPr>
          <w:rFonts w:ascii="Arial" w:hAnsi="Arial" w:cs="Arial"/>
          <w:b/>
          <w:sz w:val="24"/>
          <w:szCs w:val="24"/>
        </w:rPr>
        <w:t>19 October 2023</w:t>
      </w:r>
    </w:p>
    <w:p w14:paraId="01137FD7" w14:textId="77777777" w:rsidR="00184C3A" w:rsidRPr="008803AA" w:rsidRDefault="00184C3A" w:rsidP="00184C3A">
      <w:pPr>
        <w:spacing w:after="0" w:line="240" w:lineRule="auto"/>
        <w:jc w:val="both"/>
        <w:rPr>
          <w:rFonts w:ascii="Arial" w:hAnsi="Arial" w:cs="Arial"/>
          <w:sz w:val="24"/>
          <w:szCs w:val="24"/>
        </w:rPr>
      </w:pPr>
    </w:p>
    <w:p w14:paraId="641C1EEA" w14:textId="77777777" w:rsidR="00184C3A" w:rsidRPr="00077FC7" w:rsidRDefault="00184C3A" w:rsidP="00184C3A">
      <w:pPr>
        <w:spacing w:after="0" w:line="360" w:lineRule="auto"/>
        <w:jc w:val="both"/>
        <w:rPr>
          <w:rFonts w:ascii="Arial" w:hAnsi="Arial" w:cs="Arial"/>
          <w:b/>
          <w:sz w:val="24"/>
          <w:szCs w:val="24"/>
        </w:rPr>
      </w:pPr>
    </w:p>
    <w:p w14:paraId="25DADF9C" w14:textId="77777777" w:rsidR="00F625E9" w:rsidRPr="00FF6E3C" w:rsidRDefault="00184C3A" w:rsidP="00F625E9">
      <w:pPr>
        <w:spacing w:after="0" w:line="360" w:lineRule="auto"/>
        <w:jc w:val="both"/>
        <w:rPr>
          <w:rFonts w:ascii="Arial" w:hAnsi="Arial" w:cs="Arial"/>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BE4BAF">
        <w:rPr>
          <w:rFonts w:ascii="Arial" w:hAnsi="Arial" w:cs="Arial"/>
          <w:sz w:val="24"/>
          <w:szCs w:val="24"/>
        </w:rPr>
        <w:t xml:space="preserve">Applications – Immovable property declared </w:t>
      </w:r>
      <w:r w:rsidR="00044C4A" w:rsidRPr="00044C4A">
        <w:rPr>
          <w:rFonts w:ascii="Arial" w:hAnsi="Arial" w:cs="Arial"/>
          <w:sz w:val="24"/>
          <w:szCs w:val="24"/>
        </w:rPr>
        <w:t>specially executable in terms of rule 108(1)(</w:t>
      </w:r>
      <w:r w:rsidR="00044C4A" w:rsidRPr="00044C4A">
        <w:rPr>
          <w:rFonts w:ascii="Arial" w:hAnsi="Arial" w:cs="Arial"/>
          <w:i/>
          <w:sz w:val="24"/>
          <w:szCs w:val="24"/>
        </w:rPr>
        <w:t>b</w:t>
      </w:r>
      <w:r w:rsidR="00044C4A" w:rsidRPr="00044C4A">
        <w:rPr>
          <w:rFonts w:ascii="Arial" w:hAnsi="Arial" w:cs="Arial"/>
          <w:sz w:val="24"/>
          <w:szCs w:val="24"/>
        </w:rPr>
        <w:t>)</w:t>
      </w:r>
      <w:r w:rsidR="00BE4BAF">
        <w:rPr>
          <w:rFonts w:ascii="Arial" w:hAnsi="Arial" w:cs="Arial"/>
          <w:sz w:val="24"/>
          <w:szCs w:val="24"/>
        </w:rPr>
        <w:t xml:space="preserve"> – S</w:t>
      </w:r>
      <w:r w:rsidR="00BE4BAF" w:rsidRPr="004A1B5A">
        <w:rPr>
          <w:rFonts w:ascii="Arial" w:hAnsi="Arial" w:cs="Arial"/>
          <w:sz w:val="24"/>
          <w:szCs w:val="24"/>
        </w:rPr>
        <w:t xml:space="preserve">heriff of Swakopmund conducted a public auction </w:t>
      </w:r>
      <w:r w:rsidR="00BE4BAF">
        <w:rPr>
          <w:rFonts w:ascii="Arial" w:hAnsi="Arial" w:cs="Arial"/>
          <w:sz w:val="24"/>
          <w:szCs w:val="24"/>
        </w:rPr>
        <w:t>and sold the property</w:t>
      </w:r>
      <w:r w:rsidR="00FF6E3C">
        <w:rPr>
          <w:rFonts w:ascii="Arial" w:hAnsi="Arial" w:cs="Arial"/>
          <w:sz w:val="24"/>
          <w:szCs w:val="24"/>
        </w:rPr>
        <w:t xml:space="preserve"> –  P</w:t>
      </w:r>
      <w:r w:rsidR="00044C4A" w:rsidRPr="00044C4A">
        <w:rPr>
          <w:rFonts w:ascii="Arial" w:hAnsi="Arial" w:cs="Arial"/>
          <w:sz w:val="24"/>
          <w:szCs w:val="24"/>
        </w:rPr>
        <w:t>urchaser did</w:t>
      </w:r>
      <w:r w:rsidR="00FF6E3C" w:rsidRPr="00044C4A">
        <w:rPr>
          <w:rFonts w:ascii="Arial" w:hAnsi="Arial" w:cs="Arial"/>
          <w:sz w:val="24"/>
          <w:szCs w:val="24"/>
        </w:rPr>
        <w:t xml:space="preserve"> not make the payment of the 10 per cent</w:t>
      </w:r>
      <w:r w:rsidR="00044C4A" w:rsidRPr="00044C4A">
        <w:rPr>
          <w:rFonts w:ascii="Arial" w:hAnsi="Arial" w:cs="Arial"/>
          <w:sz w:val="24"/>
          <w:szCs w:val="24"/>
        </w:rPr>
        <w:t xml:space="preserve"> deposit of the </w:t>
      </w:r>
      <w:r w:rsidR="00044C4A" w:rsidRPr="00044C4A">
        <w:rPr>
          <w:rFonts w:ascii="Arial" w:hAnsi="Arial" w:cs="Arial"/>
          <w:sz w:val="24"/>
          <w:szCs w:val="24"/>
        </w:rPr>
        <w:lastRenderedPageBreak/>
        <w:t>purchase price on the date of sale</w:t>
      </w:r>
      <w:r w:rsidR="00FF6E3C">
        <w:rPr>
          <w:rFonts w:ascii="Arial" w:hAnsi="Arial" w:cs="Arial"/>
          <w:sz w:val="24"/>
          <w:szCs w:val="24"/>
        </w:rPr>
        <w:t xml:space="preserve"> </w:t>
      </w:r>
      <w:r w:rsidR="00F625E9">
        <w:rPr>
          <w:rFonts w:ascii="Arial" w:hAnsi="Arial" w:cs="Arial"/>
          <w:sz w:val="24"/>
          <w:szCs w:val="24"/>
        </w:rPr>
        <w:t xml:space="preserve">– </w:t>
      </w:r>
      <w:r w:rsidR="00FF6E3C">
        <w:rPr>
          <w:rFonts w:ascii="Arial" w:hAnsi="Arial" w:cs="Arial"/>
          <w:sz w:val="24"/>
          <w:szCs w:val="24"/>
        </w:rPr>
        <w:t xml:space="preserve"> </w:t>
      </w:r>
      <w:r w:rsidR="00FF6E3C" w:rsidRPr="00FF6E3C">
        <w:rPr>
          <w:rFonts w:ascii="Arial" w:hAnsi="Arial" w:cs="Arial"/>
          <w:sz w:val="24"/>
          <w:szCs w:val="24"/>
        </w:rPr>
        <w:t xml:space="preserve">Points in </w:t>
      </w:r>
      <w:proofErr w:type="spellStart"/>
      <w:r w:rsidR="00FF6E3C" w:rsidRPr="00FF6E3C">
        <w:rPr>
          <w:rFonts w:ascii="Arial" w:hAnsi="Arial" w:cs="Arial"/>
          <w:sz w:val="24"/>
          <w:szCs w:val="24"/>
        </w:rPr>
        <w:t>limine</w:t>
      </w:r>
      <w:proofErr w:type="spellEnd"/>
      <w:r w:rsidR="00F625E9">
        <w:rPr>
          <w:rFonts w:ascii="Arial" w:hAnsi="Arial" w:cs="Arial"/>
          <w:sz w:val="24"/>
          <w:szCs w:val="24"/>
        </w:rPr>
        <w:t xml:space="preserve"> –  </w:t>
      </w:r>
      <w:r w:rsidR="00F625E9" w:rsidRPr="007D4F5E">
        <w:rPr>
          <w:rFonts w:ascii="Arial" w:hAnsi="Arial" w:cs="Arial"/>
          <w:i/>
          <w:sz w:val="24"/>
          <w:szCs w:val="24"/>
        </w:rPr>
        <w:t xml:space="preserve">Locus standi </w:t>
      </w:r>
      <w:r w:rsidR="00F625E9" w:rsidRPr="00F625E9">
        <w:rPr>
          <w:rFonts w:ascii="Arial" w:hAnsi="Arial" w:cs="Arial"/>
          <w:sz w:val="24"/>
          <w:szCs w:val="24"/>
        </w:rPr>
        <w:t>of the applicant</w:t>
      </w:r>
      <w:r w:rsidR="00F625E9">
        <w:rPr>
          <w:rFonts w:ascii="Arial" w:hAnsi="Arial" w:cs="Arial"/>
          <w:i/>
          <w:sz w:val="24"/>
          <w:szCs w:val="24"/>
        </w:rPr>
        <w:t xml:space="preserve">  </w:t>
      </w:r>
      <w:r w:rsidR="00F625E9" w:rsidRPr="00F625E9">
        <w:rPr>
          <w:rFonts w:ascii="Arial" w:hAnsi="Arial" w:cs="Arial"/>
          <w:sz w:val="24"/>
          <w:szCs w:val="24"/>
        </w:rPr>
        <w:t>The relief sought is not competent under rule 76</w:t>
      </w:r>
      <w:r w:rsidR="00F625E9">
        <w:rPr>
          <w:rFonts w:ascii="Arial" w:hAnsi="Arial" w:cs="Arial"/>
          <w:sz w:val="24"/>
          <w:szCs w:val="24"/>
        </w:rPr>
        <w:t xml:space="preserve"> –</w:t>
      </w:r>
      <w:r w:rsidR="00F625E9" w:rsidRPr="00F625E9">
        <w:rPr>
          <w:rFonts w:ascii="Arial" w:hAnsi="Arial" w:cs="Arial"/>
          <w:sz w:val="24"/>
          <w:szCs w:val="24"/>
        </w:rPr>
        <w:t xml:space="preserve"> </w:t>
      </w:r>
      <w:r w:rsidR="00F625E9" w:rsidRPr="00044C4A">
        <w:rPr>
          <w:rFonts w:ascii="Arial" w:hAnsi="Arial" w:cs="Arial"/>
          <w:sz w:val="24"/>
          <w:szCs w:val="24"/>
        </w:rPr>
        <w:t xml:space="preserve">The point in </w:t>
      </w:r>
      <w:proofErr w:type="spellStart"/>
      <w:r w:rsidR="00F625E9" w:rsidRPr="00044C4A">
        <w:rPr>
          <w:rFonts w:ascii="Arial" w:hAnsi="Arial" w:cs="Arial"/>
          <w:sz w:val="24"/>
          <w:szCs w:val="24"/>
        </w:rPr>
        <w:t>limine</w:t>
      </w:r>
      <w:proofErr w:type="spellEnd"/>
      <w:r w:rsidR="00F625E9" w:rsidRPr="00044C4A">
        <w:rPr>
          <w:rFonts w:ascii="Arial" w:hAnsi="Arial" w:cs="Arial"/>
          <w:sz w:val="24"/>
          <w:szCs w:val="24"/>
        </w:rPr>
        <w:t xml:space="preserve"> raised regarding the reviewability of the conduct of the deputy-sheriff under rule 76(1) is upheld</w:t>
      </w:r>
      <w:r w:rsidR="00F625E9">
        <w:rPr>
          <w:rFonts w:ascii="Arial" w:hAnsi="Arial" w:cs="Arial"/>
          <w:sz w:val="24"/>
          <w:szCs w:val="24"/>
        </w:rPr>
        <w:t>.</w:t>
      </w:r>
    </w:p>
    <w:p w14:paraId="58C1387D" w14:textId="77777777" w:rsidR="00184C3A" w:rsidRPr="00D9070C" w:rsidRDefault="00184C3A" w:rsidP="00184C3A">
      <w:pPr>
        <w:spacing w:after="0" w:line="360" w:lineRule="auto"/>
        <w:jc w:val="both"/>
        <w:rPr>
          <w:rFonts w:ascii="Arial" w:hAnsi="Arial" w:cs="Arial"/>
          <w:sz w:val="24"/>
          <w:szCs w:val="24"/>
        </w:rPr>
      </w:pPr>
    </w:p>
    <w:p w14:paraId="07A104EE" w14:textId="77777777" w:rsidR="00044C4A" w:rsidRPr="00044C4A" w:rsidRDefault="00184C3A" w:rsidP="00044C4A">
      <w:pPr>
        <w:spacing w:after="0" w:line="360" w:lineRule="auto"/>
        <w:jc w:val="both"/>
        <w:rPr>
          <w:rFonts w:ascii="Arial" w:hAnsi="Arial" w:cs="Arial"/>
          <w:sz w:val="24"/>
          <w:szCs w:val="24"/>
          <w:u w:val="single"/>
        </w:rPr>
      </w:pPr>
      <w:r w:rsidRPr="00D9070C">
        <w:rPr>
          <w:rFonts w:ascii="Arial" w:hAnsi="Arial" w:cs="Arial"/>
          <w:b/>
          <w:sz w:val="24"/>
          <w:szCs w:val="24"/>
        </w:rPr>
        <w:t>Summary:</w:t>
      </w:r>
      <w:r w:rsidRPr="007E6F34">
        <w:rPr>
          <w:rFonts w:ascii="Arial" w:hAnsi="Arial" w:cs="Arial"/>
          <w:sz w:val="24"/>
          <w:szCs w:val="24"/>
        </w:rPr>
        <w:tab/>
      </w:r>
      <w:r w:rsidR="00044C4A" w:rsidRPr="00044C4A">
        <w:rPr>
          <w:rFonts w:ascii="Arial" w:hAnsi="Arial" w:cs="Arial"/>
          <w:sz w:val="24"/>
          <w:szCs w:val="24"/>
        </w:rPr>
        <w:t xml:space="preserve">The applicant is the registered owner of </w:t>
      </w:r>
      <w:r w:rsidR="00044C4A">
        <w:rPr>
          <w:rFonts w:ascii="Arial" w:hAnsi="Arial" w:cs="Arial"/>
          <w:sz w:val="24"/>
          <w:szCs w:val="24"/>
        </w:rPr>
        <w:t>immovable property situated at E</w:t>
      </w:r>
      <w:r w:rsidR="00044C4A" w:rsidRPr="00044C4A">
        <w:rPr>
          <w:rFonts w:ascii="Arial" w:hAnsi="Arial" w:cs="Arial"/>
          <w:sz w:val="24"/>
          <w:szCs w:val="24"/>
        </w:rPr>
        <w:t xml:space="preserve">rf 1181 </w:t>
      </w:r>
      <w:proofErr w:type="spellStart"/>
      <w:r w:rsidR="00044C4A" w:rsidRPr="00044C4A">
        <w:rPr>
          <w:rFonts w:ascii="Arial" w:hAnsi="Arial" w:cs="Arial"/>
          <w:sz w:val="24"/>
          <w:szCs w:val="24"/>
        </w:rPr>
        <w:t>Tamariskia</w:t>
      </w:r>
      <w:proofErr w:type="spellEnd"/>
      <w:r w:rsidR="00044C4A" w:rsidRPr="00044C4A">
        <w:rPr>
          <w:rFonts w:ascii="Arial" w:hAnsi="Arial" w:cs="Arial"/>
          <w:sz w:val="24"/>
          <w:szCs w:val="24"/>
        </w:rPr>
        <w:t xml:space="preserve"> Extension 3, Swakopmund.  The first respondent has a mortgage bond registered over the property in respect of a loan that </w:t>
      </w:r>
      <w:r w:rsidR="00044C4A">
        <w:rPr>
          <w:rFonts w:ascii="Arial" w:hAnsi="Arial" w:cs="Arial"/>
          <w:sz w:val="24"/>
          <w:szCs w:val="24"/>
        </w:rPr>
        <w:t xml:space="preserve">was advanced to the applicant. </w:t>
      </w:r>
      <w:r w:rsidR="00044C4A" w:rsidRPr="00044C4A">
        <w:rPr>
          <w:rFonts w:ascii="Arial" w:hAnsi="Arial" w:cs="Arial"/>
          <w:sz w:val="24"/>
          <w:szCs w:val="24"/>
        </w:rPr>
        <w:t xml:space="preserve">In the </w:t>
      </w:r>
      <w:proofErr w:type="gramStart"/>
      <w:r w:rsidR="00044C4A" w:rsidRPr="00044C4A">
        <w:rPr>
          <w:rFonts w:ascii="Arial" w:hAnsi="Arial" w:cs="Arial"/>
          <w:sz w:val="24"/>
          <w:szCs w:val="24"/>
        </w:rPr>
        <w:t>course of 2019</w:t>
      </w:r>
      <w:proofErr w:type="gramEnd"/>
      <w:r w:rsidR="00044C4A" w:rsidRPr="00044C4A">
        <w:rPr>
          <w:rFonts w:ascii="Arial" w:hAnsi="Arial" w:cs="Arial"/>
          <w:sz w:val="24"/>
          <w:szCs w:val="24"/>
        </w:rPr>
        <w:t xml:space="preserve"> the first respondent instituted legal proceedings against the applicant for the recovery of default payments on the said loan amount and on 19 March 2021 the first respondent obtained an order declaring the immovable property specially executable in terms of rule 108(1)(</w:t>
      </w:r>
      <w:r w:rsidR="00044C4A" w:rsidRPr="00044C4A">
        <w:rPr>
          <w:rFonts w:ascii="Arial" w:hAnsi="Arial" w:cs="Arial"/>
          <w:i/>
          <w:sz w:val="24"/>
          <w:szCs w:val="24"/>
        </w:rPr>
        <w:t>b</w:t>
      </w:r>
      <w:r w:rsidR="00044C4A" w:rsidRPr="00044C4A">
        <w:rPr>
          <w:rFonts w:ascii="Arial" w:hAnsi="Arial" w:cs="Arial"/>
          <w:sz w:val="24"/>
          <w:szCs w:val="24"/>
        </w:rPr>
        <w:t>) of the rules of the court under case number HC-MD-CIV-ACT-CON-2019/02638.</w:t>
      </w:r>
    </w:p>
    <w:p w14:paraId="4746D90E" w14:textId="77777777" w:rsidR="00044C4A" w:rsidRDefault="00044C4A" w:rsidP="00044C4A">
      <w:pPr>
        <w:spacing w:after="0" w:line="360" w:lineRule="auto"/>
        <w:contextualSpacing/>
        <w:jc w:val="both"/>
        <w:rPr>
          <w:rFonts w:ascii="Arial" w:hAnsi="Arial" w:cs="Arial"/>
          <w:sz w:val="24"/>
          <w:szCs w:val="24"/>
        </w:rPr>
      </w:pPr>
    </w:p>
    <w:p w14:paraId="0401C994" w14:textId="77777777" w:rsidR="00044C4A" w:rsidRPr="00044C4A" w:rsidRDefault="00044C4A" w:rsidP="00044C4A">
      <w:pPr>
        <w:spacing w:after="0" w:line="360" w:lineRule="auto"/>
        <w:contextualSpacing/>
        <w:jc w:val="both"/>
        <w:rPr>
          <w:rFonts w:ascii="Arial" w:hAnsi="Arial" w:cs="Arial"/>
          <w:sz w:val="24"/>
          <w:szCs w:val="24"/>
        </w:rPr>
      </w:pPr>
      <w:r w:rsidRPr="00044C4A">
        <w:rPr>
          <w:rFonts w:ascii="Arial" w:hAnsi="Arial" w:cs="Arial"/>
          <w:sz w:val="24"/>
          <w:szCs w:val="24"/>
        </w:rPr>
        <w:t>Subsequently</w:t>
      </w:r>
      <w:r w:rsidR="0056343E">
        <w:rPr>
          <w:rFonts w:ascii="Arial" w:hAnsi="Arial" w:cs="Arial"/>
          <w:sz w:val="24"/>
          <w:szCs w:val="24"/>
        </w:rPr>
        <w:t>,</w:t>
      </w:r>
      <w:r w:rsidRPr="00044C4A">
        <w:rPr>
          <w:rFonts w:ascii="Arial" w:hAnsi="Arial" w:cs="Arial"/>
          <w:sz w:val="24"/>
          <w:szCs w:val="24"/>
        </w:rPr>
        <w:t xml:space="preserve"> the second defendant, the </w:t>
      </w:r>
      <w:r w:rsidR="0056343E">
        <w:rPr>
          <w:rFonts w:ascii="Arial" w:hAnsi="Arial" w:cs="Arial"/>
          <w:sz w:val="24"/>
          <w:szCs w:val="24"/>
        </w:rPr>
        <w:t xml:space="preserve">deputy </w:t>
      </w:r>
      <w:r w:rsidRPr="00044C4A">
        <w:rPr>
          <w:rFonts w:ascii="Arial" w:hAnsi="Arial" w:cs="Arial"/>
          <w:sz w:val="24"/>
          <w:szCs w:val="24"/>
        </w:rPr>
        <w:t xml:space="preserve">sheriff of Swakopmund conducted a public auction on 26 October 2021 and sold the property. The notice of sale of the execution was published in the Government Gazette of 8 October 2021 and this notice contained some conditions of sale. These conditions of sale substantially </w:t>
      </w:r>
      <w:proofErr w:type="gramStart"/>
      <w:r w:rsidRPr="00044C4A">
        <w:rPr>
          <w:rFonts w:ascii="Arial" w:hAnsi="Arial" w:cs="Arial"/>
          <w:sz w:val="24"/>
          <w:szCs w:val="24"/>
        </w:rPr>
        <w:t>conforms</w:t>
      </w:r>
      <w:proofErr w:type="gramEnd"/>
      <w:r w:rsidRPr="00044C4A">
        <w:rPr>
          <w:rFonts w:ascii="Arial" w:hAnsi="Arial" w:cs="Arial"/>
          <w:sz w:val="24"/>
          <w:szCs w:val="24"/>
        </w:rPr>
        <w:t xml:space="preserve"> with the conditions o</w:t>
      </w:r>
      <w:r w:rsidR="0056343E">
        <w:rPr>
          <w:rFonts w:ascii="Arial" w:hAnsi="Arial" w:cs="Arial"/>
          <w:sz w:val="24"/>
          <w:szCs w:val="24"/>
        </w:rPr>
        <w:t>f sale as required by form 26 of</w:t>
      </w:r>
      <w:r w:rsidRPr="00044C4A">
        <w:rPr>
          <w:rFonts w:ascii="Arial" w:hAnsi="Arial" w:cs="Arial"/>
          <w:sz w:val="24"/>
          <w:szCs w:val="24"/>
        </w:rPr>
        <w:t xml:space="preserve"> the Rules of the High Court. </w:t>
      </w:r>
    </w:p>
    <w:p w14:paraId="539EDDEC" w14:textId="77777777" w:rsidR="00044C4A" w:rsidRDefault="00044C4A" w:rsidP="00044C4A">
      <w:pPr>
        <w:spacing w:after="0" w:line="360" w:lineRule="auto"/>
        <w:contextualSpacing/>
        <w:jc w:val="both"/>
        <w:rPr>
          <w:rFonts w:ascii="Arial" w:hAnsi="Arial" w:cs="Arial"/>
          <w:sz w:val="24"/>
          <w:szCs w:val="24"/>
        </w:rPr>
      </w:pPr>
    </w:p>
    <w:p w14:paraId="10B4988E" w14:textId="77777777" w:rsidR="00044C4A" w:rsidRPr="00044C4A" w:rsidRDefault="00044C4A" w:rsidP="00044C4A">
      <w:pPr>
        <w:spacing w:after="0" w:line="360" w:lineRule="auto"/>
        <w:contextualSpacing/>
        <w:jc w:val="both"/>
        <w:rPr>
          <w:rFonts w:ascii="Arial" w:hAnsi="Arial" w:cs="Arial"/>
          <w:sz w:val="24"/>
          <w:szCs w:val="24"/>
        </w:rPr>
      </w:pPr>
      <w:r w:rsidRPr="00044C4A">
        <w:rPr>
          <w:rFonts w:ascii="Arial" w:hAnsi="Arial" w:cs="Arial"/>
          <w:sz w:val="24"/>
          <w:szCs w:val="24"/>
        </w:rPr>
        <w:t>On 1 February 2022 the legal practitioner for the applicant verified that the property was still registered in the applicant’s name. It further transpired that the purchaser did not make the payment of the 10 per cent deposit of the purchase price on the date of sale</w:t>
      </w:r>
      <w:r w:rsidR="0056343E">
        <w:rPr>
          <w:rFonts w:ascii="Arial" w:hAnsi="Arial" w:cs="Arial"/>
          <w:sz w:val="24"/>
          <w:szCs w:val="24"/>
        </w:rPr>
        <w:t>,</w:t>
      </w:r>
      <w:r w:rsidRPr="00044C4A">
        <w:rPr>
          <w:rFonts w:ascii="Arial" w:hAnsi="Arial" w:cs="Arial"/>
          <w:sz w:val="24"/>
          <w:szCs w:val="24"/>
        </w:rPr>
        <w:t xml:space="preserve"> as it transpired from the statement furnished to the deputy sheriff of payments to the de</w:t>
      </w:r>
      <w:r w:rsidR="00FF6E3C">
        <w:rPr>
          <w:rFonts w:ascii="Arial" w:hAnsi="Arial" w:cs="Arial"/>
          <w:sz w:val="24"/>
          <w:szCs w:val="24"/>
        </w:rPr>
        <w:t xml:space="preserve">puty sheriff by Standard Bank. </w:t>
      </w:r>
      <w:r w:rsidRPr="00044C4A">
        <w:rPr>
          <w:rFonts w:ascii="Arial" w:hAnsi="Arial" w:cs="Arial"/>
          <w:sz w:val="24"/>
          <w:szCs w:val="24"/>
        </w:rPr>
        <w:t>The first respondent only paid over the amount of N$49 047.50 and not the 10 per cent deposit which would have been N$85 000.</w:t>
      </w:r>
    </w:p>
    <w:p w14:paraId="7B4D2FB0" w14:textId="77777777" w:rsidR="00044C4A" w:rsidRPr="00044C4A" w:rsidRDefault="00044C4A" w:rsidP="00BE4BAF">
      <w:pPr>
        <w:contextualSpacing/>
        <w:rPr>
          <w:rFonts w:ascii="Arial" w:hAnsi="Arial" w:cs="Arial"/>
          <w:sz w:val="24"/>
          <w:szCs w:val="24"/>
        </w:rPr>
      </w:pPr>
    </w:p>
    <w:p w14:paraId="5B2B644D" w14:textId="77777777" w:rsidR="00BE4BAF" w:rsidRDefault="00044C4A" w:rsidP="00FF6E3C">
      <w:pPr>
        <w:pStyle w:val="ListParagraph"/>
        <w:spacing w:after="0" w:line="360" w:lineRule="auto"/>
        <w:ind w:left="0"/>
        <w:jc w:val="both"/>
        <w:rPr>
          <w:rFonts w:ascii="Arial" w:hAnsi="Arial" w:cs="Arial"/>
          <w:sz w:val="24"/>
          <w:szCs w:val="24"/>
        </w:rPr>
      </w:pPr>
      <w:r w:rsidRPr="00044C4A">
        <w:rPr>
          <w:rFonts w:ascii="Arial" w:hAnsi="Arial" w:cs="Arial"/>
          <w:sz w:val="24"/>
          <w:szCs w:val="24"/>
        </w:rPr>
        <w:t>In terms of clause 8 of the conditions of sale, if the purchaser fails to carry out any of his obligations under the conditions of sale, the sale may be cancelled by a judge summarily or a report of the deputy sheriff after notice to the purchaser. The present sale was however not so cancelled.</w:t>
      </w:r>
      <w:r w:rsidR="00FF6E3C">
        <w:rPr>
          <w:rFonts w:ascii="Arial" w:hAnsi="Arial" w:cs="Arial"/>
          <w:sz w:val="24"/>
          <w:szCs w:val="24"/>
        </w:rPr>
        <w:t xml:space="preserve"> </w:t>
      </w:r>
      <w:r w:rsidRPr="00044C4A">
        <w:rPr>
          <w:rFonts w:ascii="Arial" w:hAnsi="Arial" w:cs="Arial"/>
          <w:sz w:val="24"/>
          <w:szCs w:val="24"/>
        </w:rPr>
        <w:t>In the meantime, the property has however been transferred to the fourth respondent.</w:t>
      </w:r>
      <w:r w:rsidR="00BE4BAF" w:rsidRPr="00BE4BAF">
        <w:rPr>
          <w:rFonts w:ascii="Arial" w:hAnsi="Arial" w:cs="Arial"/>
          <w:sz w:val="24"/>
          <w:szCs w:val="24"/>
        </w:rPr>
        <w:t xml:space="preserve"> </w:t>
      </w:r>
      <w:r w:rsidR="00BE4BAF" w:rsidRPr="004A1B5A">
        <w:rPr>
          <w:rFonts w:ascii="Arial" w:hAnsi="Arial" w:cs="Arial"/>
          <w:sz w:val="24"/>
          <w:szCs w:val="24"/>
        </w:rPr>
        <w:t>Only the first and second respondents opposed the application.</w:t>
      </w:r>
    </w:p>
    <w:p w14:paraId="2AB3D76F" w14:textId="77777777" w:rsidR="00FF6E3C" w:rsidRDefault="00FF6E3C" w:rsidP="00FF6E3C">
      <w:pPr>
        <w:pStyle w:val="ListParagraph"/>
        <w:spacing w:after="0" w:line="360" w:lineRule="auto"/>
        <w:ind w:left="0"/>
        <w:jc w:val="both"/>
        <w:rPr>
          <w:rFonts w:ascii="Arial" w:hAnsi="Arial" w:cs="Arial"/>
          <w:sz w:val="24"/>
          <w:szCs w:val="24"/>
        </w:rPr>
      </w:pPr>
    </w:p>
    <w:p w14:paraId="505C81A8" w14:textId="77777777" w:rsidR="00184C3A" w:rsidRDefault="00FF6E3C" w:rsidP="00FF6E3C">
      <w:pPr>
        <w:spacing w:after="0" w:line="360" w:lineRule="auto"/>
        <w:jc w:val="both"/>
        <w:rPr>
          <w:rFonts w:ascii="Arial" w:hAnsi="Arial" w:cs="Arial"/>
          <w:sz w:val="24"/>
          <w:szCs w:val="24"/>
        </w:rPr>
      </w:pPr>
      <w:r w:rsidRPr="003E2608">
        <w:rPr>
          <w:rFonts w:ascii="Arial" w:hAnsi="Arial" w:cs="Arial"/>
          <w:i/>
          <w:sz w:val="24"/>
          <w:szCs w:val="24"/>
        </w:rPr>
        <w:lastRenderedPageBreak/>
        <w:t>Held that:</w:t>
      </w:r>
      <w:r>
        <w:rPr>
          <w:rFonts w:ascii="Arial" w:hAnsi="Arial" w:cs="Arial"/>
        </w:rPr>
        <w:t xml:space="preserve"> </w:t>
      </w:r>
      <w:r w:rsidRPr="0041008A">
        <w:rPr>
          <w:rFonts w:ascii="Arial" w:hAnsi="Arial" w:cs="Arial"/>
          <w:sz w:val="24"/>
          <w:szCs w:val="24"/>
        </w:rPr>
        <w:t>although the court found the conduct of the deputy-sher</w:t>
      </w:r>
      <w:r>
        <w:rPr>
          <w:rFonts w:ascii="Arial" w:hAnsi="Arial" w:cs="Arial"/>
          <w:sz w:val="24"/>
          <w:szCs w:val="24"/>
        </w:rPr>
        <w:t>iff not reviewable under s</w:t>
      </w:r>
      <w:r w:rsidRPr="0041008A">
        <w:rPr>
          <w:rFonts w:ascii="Arial" w:hAnsi="Arial" w:cs="Arial"/>
          <w:sz w:val="24"/>
          <w:szCs w:val="24"/>
        </w:rPr>
        <w:t xml:space="preserve"> 76(1) of the rules of court, the applicant will find herself in a similar position as set out in the </w:t>
      </w:r>
      <w:r w:rsidRPr="0056343E">
        <w:rPr>
          <w:rFonts w:ascii="Arial" w:hAnsi="Arial" w:cs="Arial"/>
          <w:i/>
          <w:sz w:val="24"/>
          <w:szCs w:val="24"/>
        </w:rPr>
        <w:t>Bell Rae</w:t>
      </w:r>
      <w:r w:rsidRPr="0041008A">
        <w:rPr>
          <w:rFonts w:ascii="Arial" w:hAnsi="Arial" w:cs="Arial"/>
          <w:sz w:val="24"/>
          <w:szCs w:val="24"/>
        </w:rPr>
        <w:t xml:space="preserve"> matte</w:t>
      </w:r>
      <w:r w:rsidR="0056343E">
        <w:rPr>
          <w:rFonts w:ascii="Arial" w:hAnsi="Arial" w:cs="Arial"/>
          <w:sz w:val="24"/>
          <w:szCs w:val="24"/>
        </w:rPr>
        <w:t>r.</w:t>
      </w:r>
    </w:p>
    <w:p w14:paraId="07E6FD0D" w14:textId="77777777" w:rsidR="00FF6E3C" w:rsidRDefault="00FF6E3C" w:rsidP="00FF6E3C">
      <w:pPr>
        <w:spacing w:after="0" w:line="360" w:lineRule="auto"/>
        <w:jc w:val="both"/>
        <w:rPr>
          <w:rFonts w:ascii="Arial" w:hAnsi="Arial" w:cs="Arial"/>
          <w:sz w:val="24"/>
          <w:szCs w:val="24"/>
        </w:rPr>
      </w:pPr>
    </w:p>
    <w:p w14:paraId="4386883B" w14:textId="77777777" w:rsidR="00FF6E3C" w:rsidRPr="00FF6E3C" w:rsidRDefault="00FF6E3C" w:rsidP="00FF6E3C">
      <w:pPr>
        <w:spacing w:after="0" w:line="360" w:lineRule="auto"/>
        <w:jc w:val="both"/>
        <w:rPr>
          <w:rFonts w:ascii="Arial" w:hAnsi="Arial" w:cs="Arial"/>
        </w:rPr>
      </w:pPr>
      <w:r w:rsidRPr="00044C4A">
        <w:rPr>
          <w:rFonts w:ascii="Arial" w:hAnsi="Arial" w:cs="Arial"/>
          <w:sz w:val="24"/>
          <w:szCs w:val="24"/>
        </w:rPr>
        <w:t xml:space="preserve">The point in </w:t>
      </w:r>
      <w:proofErr w:type="spellStart"/>
      <w:r w:rsidRPr="00044C4A">
        <w:rPr>
          <w:rFonts w:ascii="Arial" w:hAnsi="Arial" w:cs="Arial"/>
          <w:sz w:val="24"/>
          <w:szCs w:val="24"/>
        </w:rPr>
        <w:t>limine</w:t>
      </w:r>
      <w:proofErr w:type="spellEnd"/>
      <w:r w:rsidRPr="00044C4A">
        <w:rPr>
          <w:rFonts w:ascii="Arial" w:hAnsi="Arial" w:cs="Arial"/>
          <w:sz w:val="24"/>
          <w:szCs w:val="24"/>
        </w:rPr>
        <w:t xml:space="preserve"> raised regarding the reviewability of the conduct of the deputy-sheriff under rule 76(1) is upheld</w:t>
      </w:r>
      <w:r w:rsidR="00F625E9">
        <w:rPr>
          <w:rFonts w:ascii="Arial" w:hAnsi="Arial" w:cs="Arial"/>
          <w:sz w:val="24"/>
          <w:szCs w:val="24"/>
        </w:rPr>
        <w:t>.</w:t>
      </w:r>
    </w:p>
    <w:p w14:paraId="1B25153B" w14:textId="77777777" w:rsidR="00184C3A" w:rsidRPr="00D9070C" w:rsidRDefault="00000000" w:rsidP="00184C3A">
      <w:pPr>
        <w:spacing w:line="360" w:lineRule="auto"/>
        <w:jc w:val="both"/>
        <w:rPr>
          <w:rFonts w:ascii="Arial" w:hAnsi="Arial" w:cs="Arial"/>
          <w:bCs/>
          <w:sz w:val="24"/>
          <w:szCs w:val="24"/>
        </w:rPr>
      </w:pPr>
      <w:r>
        <w:rPr>
          <w:rFonts w:ascii="Arial" w:hAnsi="Arial" w:cs="Arial"/>
          <w:bCs/>
          <w:sz w:val="24"/>
          <w:szCs w:val="24"/>
        </w:rPr>
        <w:pict w14:anchorId="0088154A">
          <v:rect id="_x0000_i1025" style="width:0;height:1.5pt" o:hralign="center" o:hrstd="t" o:hr="t" fillcolor="#a0a0a0" stroked="f"/>
        </w:pict>
      </w:r>
    </w:p>
    <w:p w14:paraId="78AC2B15" w14:textId="77777777" w:rsidR="00184C3A" w:rsidRPr="00D9070C" w:rsidRDefault="00184C3A"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7FFDBCBC" w14:textId="77777777" w:rsidR="00184C3A" w:rsidRPr="00D9070C" w:rsidRDefault="00000000" w:rsidP="00184C3A">
      <w:pPr>
        <w:spacing w:after="0" w:line="360" w:lineRule="auto"/>
        <w:jc w:val="both"/>
        <w:rPr>
          <w:rFonts w:ascii="Arial" w:hAnsi="Arial" w:cs="Arial"/>
          <w:b/>
          <w:bCs/>
          <w:sz w:val="24"/>
          <w:szCs w:val="24"/>
        </w:rPr>
      </w:pPr>
      <w:r>
        <w:rPr>
          <w:rFonts w:ascii="Arial" w:hAnsi="Arial" w:cs="Arial"/>
          <w:bCs/>
          <w:sz w:val="24"/>
          <w:szCs w:val="24"/>
        </w:rPr>
        <w:pict w14:anchorId="7FA57133">
          <v:rect id="_x0000_i1026" style="width:0;height:1.5pt" o:hralign="center" o:hrstd="t" o:hr="t" fillcolor="#a0a0a0" stroked="f"/>
        </w:pict>
      </w:r>
    </w:p>
    <w:p w14:paraId="443E7F18" w14:textId="77777777" w:rsidR="00184C3A" w:rsidRDefault="00044C4A" w:rsidP="00044C4A">
      <w:pPr>
        <w:spacing w:after="160" w:line="360" w:lineRule="auto"/>
        <w:jc w:val="both"/>
        <w:rPr>
          <w:rFonts w:ascii="Arial" w:hAnsi="Arial" w:cs="Arial"/>
          <w:sz w:val="24"/>
          <w:szCs w:val="24"/>
        </w:rPr>
      </w:pPr>
      <w:r w:rsidRPr="00044C4A">
        <w:rPr>
          <w:rFonts w:ascii="Arial" w:hAnsi="Arial" w:cs="Arial"/>
          <w:sz w:val="24"/>
          <w:szCs w:val="24"/>
        </w:rPr>
        <w:t xml:space="preserve">The point in </w:t>
      </w:r>
      <w:proofErr w:type="spellStart"/>
      <w:r w:rsidRPr="00044C4A">
        <w:rPr>
          <w:rFonts w:ascii="Arial" w:hAnsi="Arial" w:cs="Arial"/>
          <w:sz w:val="24"/>
          <w:szCs w:val="24"/>
        </w:rPr>
        <w:t>limine</w:t>
      </w:r>
      <w:proofErr w:type="spellEnd"/>
      <w:r w:rsidRPr="00044C4A">
        <w:rPr>
          <w:rFonts w:ascii="Arial" w:hAnsi="Arial" w:cs="Arial"/>
          <w:sz w:val="24"/>
          <w:szCs w:val="24"/>
        </w:rPr>
        <w:t xml:space="preserve"> raised regarding the reviewability of the conduct of the deputy-sheriff under rule 76(1) is upheld with costs, </w:t>
      </w:r>
      <w:r w:rsidR="00A6594C">
        <w:rPr>
          <w:rFonts w:ascii="Arial" w:hAnsi="Arial" w:cs="Arial"/>
          <w:sz w:val="24"/>
          <w:szCs w:val="24"/>
        </w:rPr>
        <w:t xml:space="preserve">such costs </w:t>
      </w:r>
      <w:r w:rsidRPr="00044C4A">
        <w:rPr>
          <w:rFonts w:ascii="Arial" w:hAnsi="Arial" w:cs="Arial"/>
          <w:sz w:val="24"/>
          <w:szCs w:val="24"/>
        </w:rPr>
        <w:t>to include the costs of one instructing and one instructed counsel.</w:t>
      </w:r>
      <w:r w:rsidR="00184C3A" w:rsidRPr="001E32E7">
        <w:rPr>
          <w:rFonts w:ascii="Arial" w:hAnsi="Arial" w:cs="Arial"/>
          <w:sz w:val="24"/>
          <w:szCs w:val="24"/>
        </w:rPr>
        <w:tab/>
      </w:r>
    </w:p>
    <w:p w14:paraId="2C9E8CDE" w14:textId="77777777" w:rsidR="00184C3A" w:rsidRPr="00D9070C" w:rsidRDefault="00000000" w:rsidP="00184C3A">
      <w:pPr>
        <w:spacing w:after="0" w:line="360" w:lineRule="auto"/>
        <w:jc w:val="both"/>
        <w:rPr>
          <w:rFonts w:ascii="Arial" w:hAnsi="Arial" w:cs="Arial"/>
          <w:bCs/>
          <w:sz w:val="24"/>
          <w:szCs w:val="24"/>
        </w:rPr>
      </w:pPr>
      <w:r>
        <w:rPr>
          <w:rFonts w:ascii="Arial" w:hAnsi="Arial" w:cs="Arial"/>
          <w:bCs/>
          <w:sz w:val="24"/>
          <w:szCs w:val="24"/>
        </w:rPr>
        <w:pict w14:anchorId="08F4B003">
          <v:rect id="_x0000_i1027" style="width:0;height:1.5pt" o:hralign="center" o:hrstd="t" o:hr="t" fillcolor="#a0a0a0" stroked="f"/>
        </w:pict>
      </w:r>
    </w:p>
    <w:p w14:paraId="598EEF9F" w14:textId="77777777"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14:paraId="5B8B91D5" w14:textId="77777777" w:rsidR="00184C3A" w:rsidRPr="00D9070C" w:rsidRDefault="00000000" w:rsidP="00184C3A">
      <w:pPr>
        <w:spacing w:after="0" w:line="360" w:lineRule="auto"/>
        <w:jc w:val="both"/>
        <w:rPr>
          <w:rFonts w:ascii="Arial" w:hAnsi="Arial" w:cs="Arial"/>
          <w:b/>
          <w:sz w:val="24"/>
          <w:szCs w:val="24"/>
        </w:rPr>
      </w:pPr>
      <w:r>
        <w:rPr>
          <w:rFonts w:ascii="Arial" w:hAnsi="Arial" w:cs="Arial"/>
          <w:bCs/>
          <w:sz w:val="24"/>
          <w:szCs w:val="24"/>
        </w:rPr>
        <w:pict w14:anchorId="2E11131F">
          <v:rect id="_x0000_i1028" style="width:0;height:1.5pt" o:hralign="center" o:hrstd="t" o:hr="t" fillcolor="#a0a0a0" stroked="f"/>
        </w:pict>
      </w:r>
    </w:p>
    <w:p w14:paraId="146687E0" w14:textId="77777777" w:rsidR="00F3639A" w:rsidRDefault="00F3639A" w:rsidP="00184C3A">
      <w:pPr>
        <w:spacing w:after="0" w:line="360" w:lineRule="auto"/>
        <w:jc w:val="both"/>
        <w:rPr>
          <w:rFonts w:ascii="Arial" w:hAnsi="Arial" w:cs="Arial"/>
          <w:sz w:val="24"/>
          <w:szCs w:val="24"/>
        </w:rPr>
      </w:pPr>
    </w:p>
    <w:p w14:paraId="3C775AA4" w14:textId="77777777" w:rsidR="00184C3A" w:rsidRDefault="009758C6" w:rsidP="004A1B5A">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r w:rsidR="004A1B5A">
        <w:rPr>
          <w:rFonts w:ascii="Arial" w:hAnsi="Arial" w:cs="Arial"/>
          <w:sz w:val="24"/>
          <w:szCs w:val="24"/>
        </w:rPr>
        <w:t>:</w:t>
      </w:r>
    </w:p>
    <w:p w14:paraId="49DD1D3E" w14:textId="77777777" w:rsidR="004A1B5A" w:rsidRDefault="004A1B5A" w:rsidP="004A1B5A">
      <w:pPr>
        <w:spacing w:after="0" w:line="360" w:lineRule="auto"/>
        <w:jc w:val="both"/>
        <w:rPr>
          <w:rFonts w:ascii="Arial" w:hAnsi="Arial" w:cs="Arial"/>
          <w:sz w:val="24"/>
          <w:szCs w:val="24"/>
        </w:rPr>
      </w:pPr>
    </w:p>
    <w:p w14:paraId="42B7C14B" w14:textId="77777777" w:rsidR="009758C6" w:rsidRDefault="00184C3A" w:rsidP="004A1B5A">
      <w:pPr>
        <w:spacing w:line="360" w:lineRule="auto"/>
        <w:jc w:val="both"/>
        <w:rPr>
          <w:rFonts w:ascii="Arial" w:hAnsi="Arial" w:cs="Arial"/>
          <w:sz w:val="24"/>
          <w:szCs w:val="24"/>
        </w:rPr>
      </w:pPr>
      <w:r w:rsidRPr="00564515">
        <w:rPr>
          <w:rFonts w:ascii="Arial" w:hAnsi="Arial" w:cs="Arial"/>
          <w:sz w:val="24"/>
          <w:szCs w:val="24"/>
          <w:u w:val="single"/>
        </w:rPr>
        <w:t>Introduction</w:t>
      </w:r>
    </w:p>
    <w:p w14:paraId="1E7F380F" w14:textId="014A6337" w:rsidR="004A1B5A" w:rsidRPr="00DE5A20" w:rsidRDefault="00DE5A20" w:rsidP="00DE5A20">
      <w:pPr>
        <w:spacing w:after="100" w:afterAutospacing="1"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C3FAD" w:rsidRPr="00DE5A20">
        <w:rPr>
          <w:rFonts w:ascii="Arial" w:hAnsi="Arial" w:cs="Arial"/>
          <w:sz w:val="24"/>
          <w:szCs w:val="24"/>
        </w:rPr>
        <w:t xml:space="preserve">The applicant in the current review matter before court is Michelle </w:t>
      </w:r>
      <w:proofErr w:type="spellStart"/>
      <w:r w:rsidR="001C3FAD" w:rsidRPr="00DE5A20">
        <w:rPr>
          <w:rFonts w:ascii="Arial" w:hAnsi="Arial" w:cs="Arial"/>
          <w:sz w:val="24"/>
          <w:szCs w:val="24"/>
        </w:rPr>
        <w:t>Ikume</w:t>
      </w:r>
      <w:proofErr w:type="spellEnd"/>
      <w:r w:rsidR="001C3FAD" w:rsidRPr="00DE5A20">
        <w:rPr>
          <w:rFonts w:ascii="Arial" w:hAnsi="Arial" w:cs="Arial"/>
          <w:sz w:val="24"/>
          <w:szCs w:val="24"/>
        </w:rPr>
        <w:t xml:space="preserve"> Sililo, an adult female residing at 27 </w:t>
      </w:r>
      <w:proofErr w:type="spellStart"/>
      <w:r w:rsidR="001C3FAD" w:rsidRPr="00DE5A20">
        <w:rPr>
          <w:rFonts w:ascii="Arial" w:hAnsi="Arial" w:cs="Arial"/>
          <w:sz w:val="24"/>
          <w:szCs w:val="24"/>
        </w:rPr>
        <w:t>Scultetus</w:t>
      </w:r>
      <w:proofErr w:type="spellEnd"/>
      <w:r w:rsidR="001C3FAD" w:rsidRPr="00DE5A20">
        <w:rPr>
          <w:rFonts w:ascii="Arial" w:hAnsi="Arial" w:cs="Arial"/>
          <w:sz w:val="24"/>
          <w:szCs w:val="24"/>
        </w:rPr>
        <w:t xml:space="preserve"> Street Vineta</w:t>
      </w:r>
      <w:r w:rsidR="0056343E" w:rsidRPr="00DE5A20">
        <w:rPr>
          <w:rFonts w:ascii="Arial" w:hAnsi="Arial" w:cs="Arial"/>
          <w:sz w:val="24"/>
          <w:szCs w:val="24"/>
        </w:rPr>
        <w:t>,</w:t>
      </w:r>
      <w:r w:rsidR="001C3FAD" w:rsidRPr="00DE5A20">
        <w:rPr>
          <w:rFonts w:ascii="Arial" w:hAnsi="Arial" w:cs="Arial"/>
          <w:sz w:val="24"/>
          <w:szCs w:val="24"/>
        </w:rPr>
        <w:t xml:space="preserve"> Swakopmund.  The first respondent is Standard Bank Namibia Limited, a registered commercial bank and public company duly inco</w:t>
      </w:r>
      <w:r w:rsidR="0056343E" w:rsidRPr="00DE5A20">
        <w:rPr>
          <w:rFonts w:ascii="Arial" w:hAnsi="Arial" w:cs="Arial"/>
          <w:sz w:val="24"/>
          <w:szCs w:val="24"/>
        </w:rPr>
        <w:t xml:space="preserve">rporated and with </w:t>
      </w:r>
      <w:r w:rsidR="001238F3" w:rsidRPr="00DE5A20">
        <w:rPr>
          <w:rFonts w:ascii="Arial" w:hAnsi="Arial" w:cs="Arial"/>
          <w:sz w:val="24"/>
          <w:szCs w:val="24"/>
        </w:rPr>
        <w:t>its</w:t>
      </w:r>
      <w:r w:rsidR="0056343E" w:rsidRPr="00DE5A20">
        <w:rPr>
          <w:rFonts w:ascii="Arial" w:hAnsi="Arial" w:cs="Arial"/>
          <w:sz w:val="24"/>
          <w:szCs w:val="24"/>
        </w:rPr>
        <w:t xml:space="preserve"> principal</w:t>
      </w:r>
      <w:r w:rsidR="001C3FAD" w:rsidRPr="00DE5A20">
        <w:rPr>
          <w:rFonts w:ascii="Arial" w:hAnsi="Arial" w:cs="Arial"/>
          <w:sz w:val="24"/>
          <w:szCs w:val="24"/>
        </w:rPr>
        <w:t xml:space="preserve"> place of business situated at Standard Bank Head Office</w:t>
      </w:r>
      <w:r w:rsidR="0056343E" w:rsidRPr="00DE5A20">
        <w:rPr>
          <w:rFonts w:ascii="Arial" w:hAnsi="Arial" w:cs="Arial"/>
          <w:sz w:val="24"/>
          <w:szCs w:val="24"/>
        </w:rPr>
        <w:t>, Chas</w:t>
      </w:r>
      <w:r w:rsidR="001C3FAD" w:rsidRPr="00DE5A20">
        <w:rPr>
          <w:rFonts w:ascii="Arial" w:hAnsi="Arial" w:cs="Arial"/>
          <w:sz w:val="24"/>
          <w:szCs w:val="24"/>
        </w:rPr>
        <w:t>ie Street in Windhoek.  The</w:t>
      </w:r>
      <w:r w:rsidR="0056343E" w:rsidRPr="00DE5A20">
        <w:rPr>
          <w:rFonts w:ascii="Arial" w:hAnsi="Arial" w:cs="Arial"/>
          <w:sz w:val="24"/>
          <w:szCs w:val="24"/>
        </w:rPr>
        <w:t xml:space="preserve"> second respondent is the deputy s</w:t>
      </w:r>
      <w:r w:rsidR="001C3FAD" w:rsidRPr="00DE5A20">
        <w:rPr>
          <w:rFonts w:ascii="Arial" w:hAnsi="Arial" w:cs="Arial"/>
          <w:sz w:val="24"/>
          <w:szCs w:val="24"/>
        </w:rPr>
        <w:t>heriff of Swakopmund, an official duly appoin</w:t>
      </w:r>
      <w:r w:rsidR="0056343E" w:rsidRPr="00DE5A20">
        <w:rPr>
          <w:rFonts w:ascii="Arial" w:hAnsi="Arial" w:cs="Arial"/>
          <w:sz w:val="24"/>
          <w:szCs w:val="24"/>
        </w:rPr>
        <w:t xml:space="preserve">ted as such in terms of s </w:t>
      </w:r>
      <w:r w:rsidR="001C3FAD" w:rsidRPr="00DE5A20">
        <w:rPr>
          <w:rFonts w:ascii="Arial" w:hAnsi="Arial" w:cs="Arial"/>
          <w:sz w:val="24"/>
          <w:szCs w:val="24"/>
        </w:rPr>
        <w:t>30 of the High Cou</w:t>
      </w:r>
      <w:r w:rsidR="0056343E" w:rsidRPr="00DE5A20">
        <w:rPr>
          <w:rFonts w:ascii="Arial" w:hAnsi="Arial" w:cs="Arial"/>
          <w:sz w:val="24"/>
          <w:szCs w:val="24"/>
        </w:rPr>
        <w:t>rt Act</w:t>
      </w:r>
      <w:r w:rsidR="001C3FAD" w:rsidRPr="00DE5A20">
        <w:rPr>
          <w:rFonts w:ascii="Arial" w:hAnsi="Arial" w:cs="Arial"/>
          <w:sz w:val="24"/>
          <w:szCs w:val="24"/>
        </w:rPr>
        <w:t xml:space="preserve"> 19 of 1990 and conducting his business from 43 Moses </w:t>
      </w:r>
      <w:proofErr w:type="spellStart"/>
      <w:r w:rsidR="001C3FAD" w:rsidRPr="00DE5A20">
        <w:rPr>
          <w:rFonts w:ascii="Arial" w:hAnsi="Arial" w:cs="Arial"/>
          <w:sz w:val="24"/>
          <w:szCs w:val="24"/>
        </w:rPr>
        <w:t>Garoeb</w:t>
      </w:r>
      <w:proofErr w:type="spellEnd"/>
      <w:r w:rsidR="001C3FAD" w:rsidRPr="00DE5A20">
        <w:rPr>
          <w:rFonts w:ascii="Arial" w:hAnsi="Arial" w:cs="Arial"/>
          <w:sz w:val="24"/>
          <w:szCs w:val="24"/>
        </w:rPr>
        <w:t xml:space="preserve"> Street, Walv</w:t>
      </w:r>
      <w:r w:rsidR="004A1B5A" w:rsidRPr="00DE5A20">
        <w:rPr>
          <w:rFonts w:ascii="Arial" w:hAnsi="Arial" w:cs="Arial"/>
          <w:sz w:val="24"/>
          <w:szCs w:val="24"/>
        </w:rPr>
        <w:t>is Bay.</w:t>
      </w:r>
    </w:p>
    <w:p w14:paraId="11965AD0" w14:textId="77777777" w:rsidR="004A1B5A" w:rsidRDefault="004A1B5A" w:rsidP="004A1B5A">
      <w:pPr>
        <w:pStyle w:val="ListParagraph"/>
        <w:spacing w:after="100" w:afterAutospacing="1" w:line="360" w:lineRule="auto"/>
        <w:ind w:left="0"/>
        <w:jc w:val="both"/>
        <w:rPr>
          <w:rFonts w:ascii="Arial" w:hAnsi="Arial" w:cs="Arial"/>
          <w:sz w:val="24"/>
          <w:szCs w:val="24"/>
        </w:rPr>
      </w:pPr>
    </w:p>
    <w:p w14:paraId="50269C5A" w14:textId="723D25D0" w:rsidR="001810D4" w:rsidRPr="00DE5A20" w:rsidRDefault="00DE5A20" w:rsidP="00DE5A2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D669D" w:rsidRPr="00DE5A20">
        <w:rPr>
          <w:rFonts w:ascii="Arial" w:hAnsi="Arial" w:cs="Arial"/>
          <w:sz w:val="24"/>
          <w:szCs w:val="24"/>
        </w:rPr>
        <w:t>The third respondent is the Registrar of Deeds, duly appoi</w:t>
      </w:r>
      <w:r w:rsidR="00044C4A" w:rsidRPr="00DE5A20">
        <w:rPr>
          <w:rFonts w:ascii="Arial" w:hAnsi="Arial" w:cs="Arial"/>
          <w:sz w:val="24"/>
          <w:szCs w:val="24"/>
        </w:rPr>
        <w:t>nted as such in terms of s</w:t>
      </w:r>
      <w:r w:rsidR="0056343E" w:rsidRPr="00DE5A20">
        <w:rPr>
          <w:rFonts w:ascii="Arial" w:hAnsi="Arial" w:cs="Arial"/>
          <w:sz w:val="24"/>
          <w:szCs w:val="24"/>
        </w:rPr>
        <w:t xml:space="preserve"> 2 of the Deeds Registries</w:t>
      </w:r>
      <w:r w:rsidR="00BE4BAF" w:rsidRPr="00DE5A20">
        <w:rPr>
          <w:rFonts w:ascii="Arial" w:hAnsi="Arial" w:cs="Arial"/>
          <w:sz w:val="24"/>
          <w:szCs w:val="24"/>
        </w:rPr>
        <w:t xml:space="preserve"> Act</w:t>
      </w:r>
      <w:r w:rsidR="00044C4A" w:rsidRPr="00DE5A20">
        <w:rPr>
          <w:rFonts w:ascii="Arial" w:hAnsi="Arial" w:cs="Arial"/>
          <w:sz w:val="24"/>
          <w:szCs w:val="24"/>
        </w:rPr>
        <w:t xml:space="preserve"> </w:t>
      </w:r>
      <w:r w:rsidR="007D669D" w:rsidRPr="00DE5A20">
        <w:rPr>
          <w:rFonts w:ascii="Arial" w:hAnsi="Arial" w:cs="Arial"/>
          <w:sz w:val="24"/>
          <w:szCs w:val="24"/>
        </w:rPr>
        <w:t>47 of 1937, with his principal place of business being at the Office of the Registrar of Deeds, 178 R</w:t>
      </w:r>
      <w:r w:rsidR="00044C4A" w:rsidRPr="00DE5A20">
        <w:rPr>
          <w:rFonts w:ascii="Arial" w:hAnsi="Arial" w:cs="Arial"/>
          <w:sz w:val="24"/>
          <w:szCs w:val="24"/>
        </w:rPr>
        <w:t xml:space="preserve">obert Mugabe Avenue, Windhoek. </w:t>
      </w:r>
      <w:r w:rsidR="007D669D" w:rsidRPr="00DE5A20">
        <w:rPr>
          <w:rFonts w:ascii="Arial" w:hAnsi="Arial" w:cs="Arial"/>
          <w:sz w:val="24"/>
          <w:szCs w:val="24"/>
        </w:rPr>
        <w:t xml:space="preserve">The fourth respondent is George </w:t>
      </w:r>
      <w:proofErr w:type="spellStart"/>
      <w:r w:rsidR="007D669D" w:rsidRPr="00DE5A20">
        <w:rPr>
          <w:rFonts w:ascii="Arial" w:hAnsi="Arial" w:cs="Arial"/>
          <w:sz w:val="24"/>
          <w:szCs w:val="24"/>
        </w:rPr>
        <w:t>Romena</w:t>
      </w:r>
      <w:proofErr w:type="spellEnd"/>
      <w:r w:rsidR="007D669D" w:rsidRPr="00DE5A20">
        <w:rPr>
          <w:rFonts w:ascii="Arial" w:hAnsi="Arial" w:cs="Arial"/>
          <w:sz w:val="24"/>
          <w:szCs w:val="24"/>
        </w:rPr>
        <w:t xml:space="preserve"> </w:t>
      </w:r>
      <w:proofErr w:type="spellStart"/>
      <w:r w:rsidR="007D669D" w:rsidRPr="00DE5A20">
        <w:rPr>
          <w:rFonts w:ascii="Arial" w:hAnsi="Arial" w:cs="Arial"/>
          <w:sz w:val="24"/>
          <w:szCs w:val="24"/>
        </w:rPr>
        <w:t>Zaahl</w:t>
      </w:r>
      <w:proofErr w:type="spellEnd"/>
      <w:r w:rsidR="007D669D" w:rsidRPr="00DE5A20">
        <w:rPr>
          <w:rFonts w:ascii="Arial" w:hAnsi="Arial" w:cs="Arial"/>
          <w:sz w:val="24"/>
          <w:szCs w:val="24"/>
        </w:rPr>
        <w:t xml:space="preserve">, an </w:t>
      </w:r>
      <w:r w:rsidR="004A1B5A" w:rsidRPr="00DE5A20">
        <w:rPr>
          <w:rFonts w:ascii="Arial" w:hAnsi="Arial" w:cs="Arial"/>
          <w:sz w:val="24"/>
          <w:szCs w:val="24"/>
        </w:rPr>
        <w:t>adult male person residing at Er</w:t>
      </w:r>
      <w:r w:rsidR="007D669D" w:rsidRPr="00DE5A20">
        <w:rPr>
          <w:rFonts w:ascii="Arial" w:hAnsi="Arial" w:cs="Arial"/>
          <w:sz w:val="24"/>
          <w:szCs w:val="24"/>
        </w:rPr>
        <w:t xml:space="preserve">f 1181 </w:t>
      </w:r>
      <w:proofErr w:type="spellStart"/>
      <w:r w:rsidR="007D669D" w:rsidRPr="00DE5A20">
        <w:rPr>
          <w:rFonts w:ascii="Arial" w:hAnsi="Arial" w:cs="Arial"/>
          <w:sz w:val="24"/>
          <w:szCs w:val="24"/>
        </w:rPr>
        <w:lastRenderedPageBreak/>
        <w:t>Tamar</w:t>
      </w:r>
      <w:r w:rsidR="0056343E" w:rsidRPr="00DE5A20">
        <w:rPr>
          <w:rFonts w:ascii="Arial" w:hAnsi="Arial" w:cs="Arial"/>
          <w:sz w:val="24"/>
          <w:szCs w:val="24"/>
        </w:rPr>
        <w:t>isk</w:t>
      </w:r>
      <w:r w:rsidR="00044C4A" w:rsidRPr="00DE5A20">
        <w:rPr>
          <w:rFonts w:ascii="Arial" w:hAnsi="Arial" w:cs="Arial"/>
          <w:sz w:val="24"/>
          <w:szCs w:val="24"/>
        </w:rPr>
        <w:t>ia</w:t>
      </w:r>
      <w:proofErr w:type="spellEnd"/>
      <w:r w:rsidR="00044C4A" w:rsidRPr="00DE5A20">
        <w:rPr>
          <w:rFonts w:ascii="Arial" w:hAnsi="Arial" w:cs="Arial"/>
          <w:sz w:val="24"/>
          <w:szCs w:val="24"/>
        </w:rPr>
        <w:t>, Extension no 3</w:t>
      </w:r>
      <w:r w:rsidR="0056343E" w:rsidRPr="00DE5A20">
        <w:rPr>
          <w:rFonts w:ascii="Arial" w:hAnsi="Arial" w:cs="Arial"/>
          <w:sz w:val="24"/>
          <w:szCs w:val="24"/>
        </w:rPr>
        <w:t>,</w:t>
      </w:r>
      <w:r w:rsidR="00044C4A" w:rsidRPr="00DE5A20">
        <w:rPr>
          <w:rFonts w:ascii="Arial" w:hAnsi="Arial" w:cs="Arial"/>
          <w:sz w:val="24"/>
          <w:szCs w:val="24"/>
        </w:rPr>
        <w:t xml:space="preserve"> </w:t>
      </w:r>
      <w:proofErr w:type="spellStart"/>
      <w:r w:rsidR="00044C4A" w:rsidRPr="00DE5A20">
        <w:rPr>
          <w:rFonts w:ascii="Arial" w:hAnsi="Arial" w:cs="Arial"/>
          <w:sz w:val="24"/>
          <w:szCs w:val="24"/>
        </w:rPr>
        <w:t>Swakomund</w:t>
      </w:r>
      <w:proofErr w:type="spellEnd"/>
      <w:r w:rsidR="00044C4A" w:rsidRPr="00DE5A20">
        <w:rPr>
          <w:rFonts w:ascii="Arial" w:hAnsi="Arial" w:cs="Arial"/>
          <w:sz w:val="24"/>
          <w:szCs w:val="24"/>
        </w:rPr>
        <w:t xml:space="preserve">. </w:t>
      </w:r>
      <w:r w:rsidR="007D669D" w:rsidRPr="00DE5A20">
        <w:rPr>
          <w:rFonts w:ascii="Arial" w:hAnsi="Arial" w:cs="Arial"/>
          <w:sz w:val="24"/>
          <w:szCs w:val="24"/>
        </w:rPr>
        <w:t xml:space="preserve">The fourth respondent is the purported purchaser of the property at the heart of this application.  </w:t>
      </w:r>
    </w:p>
    <w:p w14:paraId="74490AC6" w14:textId="77777777" w:rsidR="004A1B5A" w:rsidRPr="004A1B5A" w:rsidRDefault="004A1B5A" w:rsidP="004A1B5A">
      <w:pPr>
        <w:pStyle w:val="ListParagraph"/>
        <w:spacing w:after="0" w:line="360" w:lineRule="auto"/>
        <w:ind w:left="0"/>
        <w:jc w:val="both"/>
        <w:rPr>
          <w:rFonts w:ascii="Arial" w:hAnsi="Arial" w:cs="Arial"/>
          <w:sz w:val="24"/>
          <w:szCs w:val="24"/>
        </w:rPr>
      </w:pPr>
    </w:p>
    <w:p w14:paraId="312F4537" w14:textId="77777777" w:rsidR="00184C3A" w:rsidRDefault="001810D4" w:rsidP="004A1B5A">
      <w:pPr>
        <w:spacing w:after="0" w:line="360" w:lineRule="auto"/>
        <w:jc w:val="both"/>
        <w:rPr>
          <w:rFonts w:ascii="Arial" w:hAnsi="Arial" w:cs="Arial"/>
          <w:sz w:val="24"/>
          <w:szCs w:val="24"/>
          <w:u w:val="single"/>
        </w:rPr>
      </w:pPr>
      <w:r w:rsidRPr="001810D4">
        <w:rPr>
          <w:rFonts w:ascii="Arial" w:hAnsi="Arial" w:cs="Arial"/>
          <w:sz w:val="24"/>
          <w:szCs w:val="24"/>
          <w:u w:val="single"/>
        </w:rPr>
        <w:t>Background</w:t>
      </w:r>
    </w:p>
    <w:p w14:paraId="7D7F2F69" w14:textId="77777777" w:rsidR="004A1B5A" w:rsidRPr="004A1B5A" w:rsidRDefault="004A1B5A" w:rsidP="004A1B5A">
      <w:pPr>
        <w:spacing w:after="0" w:line="360" w:lineRule="auto"/>
        <w:jc w:val="both"/>
        <w:rPr>
          <w:rFonts w:ascii="Arial" w:hAnsi="Arial" w:cs="Arial"/>
          <w:sz w:val="24"/>
          <w:szCs w:val="24"/>
          <w:u w:val="single"/>
        </w:rPr>
      </w:pPr>
    </w:p>
    <w:p w14:paraId="134AC695" w14:textId="3A4C9959"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810D4" w:rsidRPr="00DE5A20">
        <w:rPr>
          <w:rFonts w:ascii="Arial" w:hAnsi="Arial" w:cs="Arial"/>
          <w:sz w:val="24"/>
          <w:szCs w:val="24"/>
        </w:rPr>
        <w:t xml:space="preserve">The applicant is the registered owner of </w:t>
      </w:r>
      <w:r w:rsidR="008D1008" w:rsidRPr="00DE5A20">
        <w:rPr>
          <w:rFonts w:ascii="Arial" w:hAnsi="Arial" w:cs="Arial"/>
          <w:sz w:val="24"/>
          <w:szCs w:val="24"/>
        </w:rPr>
        <w:t>i</w:t>
      </w:r>
      <w:r w:rsidR="0056343E" w:rsidRPr="00DE5A20">
        <w:rPr>
          <w:rFonts w:ascii="Arial" w:hAnsi="Arial" w:cs="Arial"/>
          <w:sz w:val="24"/>
          <w:szCs w:val="24"/>
        </w:rPr>
        <w:t>mmovable property situated at E</w:t>
      </w:r>
      <w:r w:rsidR="008D1008" w:rsidRPr="00DE5A20">
        <w:rPr>
          <w:rFonts w:ascii="Arial" w:hAnsi="Arial" w:cs="Arial"/>
          <w:sz w:val="24"/>
          <w:szCs w:val="24"/>
        </w:rPr>
        <w:t xml:space="preserve">rf 1181 </w:t>
      </w:r>
      <w:proofErr w:type="spellStart"/>
      <w:r w:rsidR="008D1008" w:rsidRPr="00DE5A20">
        <w:rPr>
          <w:rFonts w:ascii="Arial" w:hAnsi="Arial" w:cs="Arial"/>
          <w:sz w:val="24"/>
          <w:szCs w:val="24"/>
        </w:rPr>
        <w:t>Tamariskia</w:t>
      </w:r>
      <w:proofErr w:type="spellEnd"/>
      <w:r w:rsidR="008D1008" w:rsidRPr="00DE5A20">
        <w:rPr>
          <w:rFonts w:ascii="Arial" w:hAnsi="Arial" w:cs="Arial"/>
          <w:sz w:val="24"/>
          <w:szCs w:val="24"/>
        </w:rPr>
        <w:t xml:space="preserve"> Extension 3, Swakopmund.  The first respondent has a mortgage bond registered over the property in respect of a loan that wa</w:t>
      </w:r>
      <w:r w:rsidR="0056343E" w:rsidRPr="00DE5A20">
        <w:rPr>
          <w:rFonts w:ascii="Arial" w:hAnsi="Arial" w:cs="Arial"/>
          <w:sz w:val="24"/>
          <w:szCs w:val="24"/>
        </w:rPr>
        <w:t>s advanced to the applicant. During</w:t>
      </w:r>
      <w:r w:rsidR="008D1008" w:rsidRPr="00DE5A20">
        <w:rPr>
          <w:rFonts w:ascii="Arial" w:hAnsi="Arial" w:cs="Arial"/>
          <w:sz w:val="24"/>
          <w:szCs w:val="24"/>
        </w:rPr>
        <w:t xml:space="preserve"> the course of 2019</w:t>
      </w:r>
      <w:r w:rsidR="001238F3" w:rsidRPr="00DE5A20">
        <w:rPr>
          <w:rFonts w:ascii="Arial" w:hAnsi="Arial" w:cs="Arial"/>
          <w:sz w:val="24"/>
          <w:szCs w:val="24"/>
        </w:rPr>
        <w:t>,</w:t>
      </w:r>
      <w:r w:rsidR="008D1008" w:rsidRPr="00DE5A20">
        <w:rPr>
          <w:rFonts w:ascii="Arial" w:hAnsi="Arial" w:cs="Arial"/>
          <w:sz w:val="24"/>
          <w:szCs w:val="24"/>
        </w:rPr>
        <w:t xml:space="preserve"> the first respondent instituted legal proceedings against the applicant for the recovery of default payments on the said loan amount and on 19 March 2021 the first respondent obtained an order declaring the immovable property </w:t>
      </w:r>
      <w:proofErr w:type="gramStart"/>
      <w:r w:rsidR="008D1008" w:rsidRPr="00DE5A20">
        <w:rPr>
          <w:rFonts w:ascii="Arial" w:hAnsi="Arial" w:cs="Arial"/>
          <w:sz w:val="24"/>
          <w:szCs w:val="24"/>
        </w:rPr>
        <w:t>specially</w:t>
      </w:r>
      <w:proofErr w:type="gramEnd"/>
      <w:r w:rsidR="008D1008" w:rsidRPr="00DE5A20">
        <w:rPr>
          <w:rFonts w:ascii="Arial" w:hAnsi="Arial" w:cs="Arial"/>
          <w:sz w:val="24"/>
          <w:szCs w:val="24"/>
        </w:rPr>
        <w:t xml:space="preserve"> executable in terms of rule 108(1</w:t>
      </w:r>
      <w:r w:rsidR="001238F3" w:rsidRPr="00DE5A20">
        <w:rPr>
          <w:rFonts w:ascii="Arial" w:hAnsi="Arial" w:cs="Arial"/>
          <w:sz w:val="24"/>
          <w:szCs w:val="24"/>
        </w:rPr>
        <w:t>)(</w:t>
      </w:r>
      <w:r w:rsidR="008D1008" w:rsidRPr="00DE5A20">
        <w:rPr>
          <w:rFonts w:ascii="Arial" w:hAnsi="Arial" w:cs="Arial"/>
          <w:sz w:val="24"/>
          <w:szCs w:val="24"/>
        </w:rPr>
        <w:t>b) of the rules of the court under case number HC-MD-CIV-ACT-CON-2019/02638.</w:t>
      </w:r>
    </w:p>
    <w:p w14:paraId="36B10A49" w14:textId="77777777" w:rsidR="004A1B5A" w:rsidRDefault="004A1B5A" w:rsidP="004A1B5A">
      <w:pPr>
        <w:pStyle w:val="ListParagraph"/>
        <w:spacing w:after="0" w:line="360" w:lineRule="auto"/>
        <w:ind w:left="0"/>
        <w:jc w:val="both"/>
        <w:rPr>
          <w:rFonts w:ascii="Arial" w:hAnsi="Arial" w:cs="Arial"/>
          <w:sz w:val="24"/>
          <w:szCs w:val="24"/>
        </w:rPr>
      </w:pPr>
    </w:p>
    <w:p w14:paraId="40E46949" w14:textId="49BE6EDB"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52A87" w:rsidRPr="00DE5A20">
        <w:rPr>
          <w:rFonts w:ascii="Arial" w:hAnsi="Arial" w:cs="Arial"/>
          <w:sz w:val="24"/>
          <w:szCs w:val="24"/>
        </w:rPr>
        <w:t>Subsequently</w:t>
      </w:r>
      <w:r w:rsidR="0056343E" w:rsidRPr="00DE5A20">
        <w:rPr>
          <w:rFonts w:ascii="Arial" w:hAnsi="Arial" w:cs="Arial"/>
          <w:sz w:val="24"/>
          <w:szCs w:val="24"/>
        </w:rPr>
        <w:t>,</w:t>
      </w:r>
      <w:r w:rsidR="00D52A87" w:rsidRPr="00DE5A20">
        <w:rPr>
          <w:rFonts w:ascii="Arial" w:hAnsi="Arial" w:cs="Arial"/>
          <w:sz w:val="24"/>
          <w:szCs w:val="24"/>
        </w:rPr>
        <w:t xml:space="preserve"> the second defendant, the </w:t>
      </w:r>
      <w:r w:rsidR="0056343E" w:rsidRPr="00DE5A20">
        <w:rPr>
          <w:rFonts w:ascii="Arial" w:hAnsi="Arial" w:cs="Arial"/>
          <w:sz w:val="24"/>
          <w:szCs w:val="24"/>
        </w:rPr>
        <w:t xml:space="preserve">deputy </w:t>
      </w:r>
      <w:r w:rsidR="00D52A87" w:rsidRPr="00DE5A20">
        <w:rPr>
          <w:rFonts w:ascii="Arial" w:hAnsi="Arial" w:cs="Arial"/>
          <w:sz w:val="24"/>
          <w:szCs w:val="24"/>
        </w:rPr>
        <w:t>sheriff of Swakopmund conducted a public auction on 26 Octob</w:t>
      </w:r>
      <w:r w:rsidR="004A1B5A" w:rsidRPr="00DE5A20">
        <w:rPr>
          <w:rFonts w:ascii="Arial" w:hAnsi="Arial" w:cs="Arial"/>
          <w:sz w:val="24"/>
          <w:szCs w:val="24"/>
        </w:rPr>
        <w:t xml:space="preserve">er 2021 and sold the property. </w:t>
      </w:r>
      <w:r w:rsidR="00D52A87" w:rsidRPr="00DE5A20">
        <w:rPr>
          <w:rFonts w:ascii="Arial" w:hAnsi="Arial" w:cs="Arial"/>
          <w:sz w:val="24"/>
          <w:szCs w:val="24"/>
        </w:rPr>
        <w:t>The notice of sale of the execution was published in the Government Gazette of 8 October 2021 and this notice cont</w:t>
      </w:r>
      <w:r w:rsidR="004A1B5A" w:rsidRPr="00DE5A20">
        <w:rPr>
          <w:rFonts w:ascii="Arial" w:hAnsi="Arial" w:cs="Arial"/>
          <w:sz w:val="24"/>
          <w:szCs w:val="24"/>
        </w:rPr>
        <w:t xml:space="preserve">ained some conditions of sale. </w:t>
      </w:r>
      <w:r w:rsidR="001226C5" w:rsidRPr="00DE5A20">
        <w:rPr>
          <w:rFonts w:ascii="Arial" w:hAnsi="Arial" w:cs="Arial"/>
          <w:sz w:val="24"/>
          <w:szCs w:val="24"/>
        </w:rPr>
        <w:t xml:space="preserve">These conditions of sale substantially </w:t>
      </w:r>
      <w:proofErr w:type="gramStart"/>
      <w:r w:rsidR="001226C5" w:rsidRPr="00DE5A20">
        <w:rPr>
          <w:rFonts w:ascii="Arial" w:hAnsi="Arial" w:cs="Arial"/>
          <w:sz w:val="24"/>
          <w:szCs w:val="24"/>
        </w:rPr>
        <w:t>conforms</w:t>
      </w:r>
      <w:proofErr w:type="gramEnd"/>
      <w:r w:rsidR="001226C5" w:rsidRPr="00DE5A20">
        <w:rPr>
          <w:rFonts w:ascii="Arial" w:hAnsi="Arial" w:cs="Arial"/>
          <w:sz w:val="24"/>
          <w:szCs w:val="24"/>
        </w:rPr>
        <w:t xml:space="preserve"> </w:t>
      </w:r>
      <w:r w:rsidR="001238F3" w:rsidRPr="00DE5A20">
        <w:rPr>
          <w:rFonts w:ascii="Arial" w:hAnsi="Arial" w:cs="Arial"/>
          <w:sz w:val="24"/>
          <w:szCs w:val="24"/>
        </w:rPr>
        <w:t>to</w:t>
      </w:r>
      <w:r w:rsidR="001226C5" w:rsidRPr="00DE5A20">
        <w:rPr>
          <w:rFonts w:ascii="Arial" w:hAnsi="Arial" w:cs="Arial"/>
          <w:sz w:val="24"/>
          <w:szCs w:val="24"/>
        </w:rPr>
        <w:t xml:space="preserve"> the con</w:t>
      </w:r>
      <w:r w:rsidR="004A1B5A" w:rsidRPr="00DE5A20">
        <w:rPr>
          <w:rFonts w:ascii="Arial" w:hAnsi="Arial" w:cs="Arial"/>
          <w:sz w:val="24"/>
          <w:szCs w:val="24"/>
        </w:rPr>
        <w:t>ditions of sale as required by f</w:t>
      </w:r>
      <w:r w:rsidR="0056343E" w:rsidRPr="00DE5A20">
        <w:rPr>
          <w:rFonts w:ascii="Arial" w:hAnsi="Arial" w:cs="Arial"/>
          <w:sz w:val="24"/>
          <w:szCs w:val="24"/>
        </w:rPr>
        <w:t>orm 26 of</w:t>
      </w:r>
      <w:r w:rsidR="001226C5" w:rsidRPr="00DE5A20">
        <w:rPr>
          <w:rFonts w:ascii="Arial" w:hAnsi="Arial" w:cs="Arial"/>
          <w:sz w:val="24"/>
          <w:szCs w:val="24"/>
        </w:rPr>
        <w:t xml:space="preserve"> the Rules of the High</w:t>
      </w:r>
      <w:r w:rsidR="004A1B5A" w:rsidRPr="00DE5A20">
        <w:rPr>
          <w:rFonts w:ascii="Arial" w:hAnsi="Arial" w:cs="Arial"/>
          <w:sz w:val="24"/>
          <w:szCs w:val="24"/>
        </w:rPr>
        <w:t xml:space="preserve"> Court. </w:t>
      </w:r>
    </w:p>
    <w:p w14:paraId="15A7FC66" w14:textId="77777777" w:rsidR="004A1B5A" w:rsidRPr="004A1B5A" w:rsidRDefault="004A1B5A" w:rsidP="004A1B5A">
      <w:pPr>
        <w:pStyle w:val="ListParagraph"/>
        <w:rPr>
          <w:rFonts w:ascii="Arial" w:hAnsi="Arial" w:cs="Arial"/>
          <w:sz w:val="24"/>
          <w:szCs w:val="24"/>
        </w:rPr>
      </w:pPr>
    </w:p>
    <w:p w14:paraId="688A9797" w14:textId="443D4044"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7516A" w:rsidRPr="00DE5A20">
        <w:rPr>
          <w:rFonts w:ascii="Arial" w:hAnsi="Arial" w:cs="Arial"/>
          <w:sz w:val="24"/>
          <w:szCs w:val="24"/>
        </w:rPr>
        <w:t>On 1 February 2022 the legal practitioner for the applicant verified that the property was still regis</w:t>
      </w:r>
      <w:r w:rsidR="004A1B5A" w:rsidRPr="00DE5A20">
        <w:rPr>
          <w:rFonts w:ascii="Arial" w:hAnsi="Arial" w:cs="Arial"/>
          <w:sz w:val="24"/>
          <w:szCs w:val="24"/>
        </w:rPr>
        <w:t xml:space="preserve">tered in the applicant’s name. </w:t>
      </w:r>
      <w:r w:rsidR="0007516A" w:rsidRPr="00DE5A20">
        <w:rPr>
          <w:rFonts w:ascii="Arial" w:hAnsi="Arial" w:cs="Arial"/>
          <w:sz w:val="24"/>
          <w:szCs w:val="24"/>
        </w:rPr>
        <w:t>It further transpired that the purchaser did</w:t>
      </w:r>
      <w:r w:rsidR="0056343E" w:rsidRPr="00DE5A20">
        <w:rPr>
          <w:rFonts w:ascii="Arial" w:hAnsi="Arial" w:cs="Arial"/>
          <w:sz w:val="24"/>
          <w:szCs w:val="24"/>
        </w:rPr>
        <w:t xml:space="preserve"> not make the payment of</w:t>
      </w:r>
      <w:r w:rsidR="004A1B5A" w:rsidRPr="00DE5A20">
        <w:rPr>
          <w:rFonts w:ascii="Arial" w:hAnsi="Arial" w:cs="Arial"/>
          <w:sz w:val="24"/>
          <w:szCs w:val="24"/>
        </w:rPr>
        <w:t xml:space="preserve"> 10 per cent</w:t>
      </w:r>
      <w:r w:rsidR="0007516A" w:rsidRPr="00DE5A20">
        <w:rPr>
          <w:rFonts w:ascii="Arial" w:hAnsi="Arial" w:cs="Arial"/>
          <w:sz w:val="24"/>
          <w:szCs w:val="24"/>
        </w:rPr>
        <w:t xml:space="preserve"> deposit of the purchase price on the date of sale as it transpired from the statement furnished to the deputy sheriff of payments </w:t>
      </w:r>
      <w:r w:rsidR="00BE4BAF" w:rsidRPr="00DE5A20">
        <w:rPr>
          <w:rFonts w:ascii="Arial" w:hAnsi="Arial" w:cs="Arial"/>
          <w:sz w:val="24"/>
          <w:szCs w:val="24"/>
        </w:rPr>
        <w:t xml:space="preserve">by Standard Bank. </w:t>
      </w:r>
      <w:r w:rsidR="0007516A" w:rsidRPr="00DE5A20">
        <w:rPr>
          <w:rFonts w:ascii="Arial" w:hAnsi="Arial" w:cs="Arial"/>
          <w:sz w:val="24"/>
          <w:szCs w:val="24"/>
        </w:rPr>
        <w:t>The first respondent only paid over the amoun</w:t>
      </w:r>
      <w:r w:rsidR="004A1B5A" w:rsidRPr="00DE5A20">
        <w:rPr>
          <w:rFonts w:ascii="Arial" w:hAnsi="Arial" w:cs="Arial"/>
          <w:sz w:val="24"/>
          <w:szCs w:val="24"/>
        </w:rPr>
        <w:t>t of N$49 047.50 and not the 10 per cent</w:t>
      </w:r>
      <w:r w:rsidR="0007516A" w:rsidRPr="00DE5A20">
        <w:rPr>
          <w:rFonts w:ascii="Arial" w:hAnsi="Arial" w:cs="Arial"/>
          <w:sz w:val="24"/>
          <w:szCs w:val="24"/>
        </w:rPr>
        <w:t xml:space="preserve"> deposit which would have been N$85 000.</w:t>
      </w:r>
    </w:p>
    <w:p w14:paraId="27E66116" w14:textId="77777777" w:rsidR="004A1B5A" w:rsidRPr="004A1B5A" w:rsidRDefault="004A1B5A" w:rsidP="004A1B5A">
      <w:pPr>
        <w:pStyle w:val="ListParagraph"/>
        <w:rPr>
          <w:rFonts w:ascii="Arial" w:hAnsi="Arial" w:cs="Arial"/>
          <w:sz w:val="24"/>
          <w:szCs w:val="24"/>
        </w:rPr>
      </w:pPr>
    </w:p>
    <w:p w14:paraId="4C274BAE" w14:textId="5851E768"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7516A" w:rsidRPr="00DE5A20">
        <w:rPr>
          <w:rFonts w:ascii="Arial" w:hAnsi="Arial" w:cs="Arial"/>
          <w:sz w:val="24"/>
          <w:szCs w:val="24"/>
        </w:rPr>
        <w:t>The purchaser further did not make payment of the balance of the purchase price or fu</w:t>
      </w:r>
      <w:r w:rsidR="004A1B5A" w:rsidRPr="00DE5A20">
        <w:rPr>
          <w:rFonts w:ascii="Arial" w:hAnsi="Arial" w:cs="Arial"/>
          <w:sz w:val="24"/>
          <w:szCs w:val="24"/>
        </w:rPr>
        <w:t>r</w:t>
      </w:r>
      <w:r w:rsidR="0056343E" w:rsidRPr="00DE5A20">
        <w:rPr>
          <w:rFonts w:ascii="Arial" w:hAnsi="Arial" w:cs="Arial"/>
          <w:sz w:val="24"/>
          <w:szCs w:val="24"/>
        </w:rPr>
        <w:t>nish</w:t>
      </w:r>
      <w:r w:rsidR="0007516A" w:rsidRPr="00DE5A20">
        <w:rPr>
          <w:rFonts w:ascii="Arial" w:hAnsi="Arial" w:cs="Arial"/>
          <w:sz w:val="24"/>
          <w:szCs w:val="24"/>
        </w:rPr>
        <w:t xml:space="preserve"> a bank or building society guarantee to the deputy sheriff within 14 days after the date of sale as contemplated in the conditions of sale and that explained why the property was not yet registered in his name on 1 February 2022.  According to an email correspondence received from Standard Bank by the applicant, she was informed that the sale is indeed still in process and that there might have been a </w:t>
      </w:r>
      <w:r w:rsidR="0007516A" w:rsidRPr="00DE5A20">
        <w:rPr>
          <w:rFonts w:ascii="Arial" w:hAnsi="Arial" w:cs="Arial"/>
          <w:sz w:val="24"/>
          <w:szCs w:val="24"/>
        </w:rPr>
        <w:lastRenderedPageBreak/>
        <w:t>miscommunication between the conveyancing division and the collections division of the relevant firm.  There was apparently one requirement still outstanding.  It transpired that the one requirement still outstanding was the fact that the purchaser did not make t</w:t>
      </w:r>
      <w:r w:rsidR="004A1B5A" w:rsidRPr="00DE5A20">
        <w:rPr>
          <w:rFonts w:ascii="Arial" w:hAnsi="Arial" w:cs="Arial"/>
          <w:sz w:val="24"/>
          <w:szCs w:val="24"/>
        </w:rPr>
        <w:t>he payment of 10 per cent</w:t>
      </w:r>
      <w:r w:rsidR="0007516A" w:rsidRPr="00DE5A20">
        <w:rPr>
          <w:rFonts w:ascii="Arial" w:hAnsi="Arial" w:cs="Arial"/>
          <w:sz w:val="24"/>
          <w:szCs w:val="24"/>
        </w:rPr>
        <w:t xml:space="preserve"> at the date of the auction and therefore did not comply with the conditions of the sale.  </w:t>
      </w:r>
    </w:p>
    <w:p w14:paraId="1A8F1F04" w14:textId="77777777" w:rsidR="004A1B5A" w:rsidRPr="004A1B5A" w:rsidRDefault="004A1B5A" w:rsidP="004A1B5A">
      <w:pPr>
        <w:pStyle w:val="ListParagraph"/>
        <w:rPr>
          <w:rFonts w:ascii="Arial" w:hAnsi="Arial" w:cs="Arial"/>
          <w:sz w:val="24"/>
          <w:szCs w:val="24"/>
        </w:rPr>
      </w:pPr>
    </w:p>
    <w:p w14:paraId="7FA596E5" w14:textId="3889C054"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7516A" w:rsidRPr="00DE5A20">
        <w:rPr>
          <w:rFonts w:ascii="Arial" w:hAnsi="Arial" w:cs="Arial"/>
          <w:sz w:val="24"/>
          <w:szCs w:val="24"/>
        </w:rPr>
        <w:t xml:space="preserve">In terms of clause 8 of the conditions of sale, if the purchaser fails to carry out any of his obligations under the conditions of sale, the sale may be cancelled by a judge summarily or </w:t>
      </w:r>
      <w:r w:rsidR="00DB7DEB" w:rsidRPr="00DE5A20">
        <w:rPr>
          <w:rFonts w:ascii="Arial" w:hAnsi="Arial" w:cs="Arial"/>
          <w:sz w:val="24"/>
          <w:szCs w:val="24"/>
        </w:rPr>
        <w:t xml:space="preserve">by </w:t>
      </w:r>
      <w:r w:rsidR="0007516A" w:rsidRPr="00DE5A20">
        <w:rPr>
          <w:rFonts w:ascii="Arial" w:hAnsi="Arial" w:cs="Arial"/>
          <w:sz w:val="24"/>
          <w:szCs w:val="24"/>
        </w:rPr>
        <w:t xml:space="preserve">a report of the deputy sheriff </w:t>
      </w:r>
      <w:r w:rsidR="004A1B5A" w:rsidRPr="00DE5A20">
        <w:rPr>
          <w:rFonts w:ascii="Arial" w:hAnsi="Arial" w:cs="Arial"/>
          <w:sz w:val="24"/>
          <w:szCs w:val="24"/>
        </w:rPr>
        <w:t xml:space="preserve">after notice to the purchaser. </w:t>
      </w:r>
      <w:r w:rsidR="0007516A" w:rsidRPr="00DE5A20">
        <w:rPr>
          <w:rFonts w:ascii="Arial" w:hAnsi="Arial" w:cs="Arial"/>
          <w:sz w:val="24"/>
          <w:szCs w:val="24"/>
        </w:rPr>
        <w:t>The present sale was however not so cancelled.</w:t>
      </w:r>
      <w:r w:rsidR="0054063C" w:rsidRPr="00DE5A20">
        <w:rPr>
          <w:rFonts w:ascii="Arial" w:hAnsi="Arial" w:cs="Arial"/>
          <w:sz w:val="24"/>
          <w:szCs w:val="24"/>
        </w:rPr>
        <w:t xml:space="preserve">  In the mea</w:t>
      </w:r>
      <w:r w:rsidR="00DB7DEB" w:rsidRPr="00DE5A20">
        <w:rPr>
          <w:rFonts w:ascii="Arial" w:hAnsi="Arial" w:cs="Arial"/>
          <w:sz w:val="24"/>
          <w:szCs w:val="24"/>
        </w:rPr>
        <w:t xml:space="preserve">ntime, the property has </w:t>
      </w:r>
      <w:r w:rsidR="0054063C" w:rsidRPr="00DE5A20">
        <w:rPr>
          <w:rFonts w:ascii="Arial" w:hAnsi="Arial" w:cs="Arial"/>
          <w:sz w:val="24"/>
          <w:szCs w:val="24"/>
        </w:rPr>
        <w:t>been transferred to the fourth respondent.</w:t>
      </w:r>
    </w:p>
    <w:p w14:paraId="0E9AC31C" w14:textId="77777777" w:rsidR="004A1B5A" w:rsidRPr="004A1B5A" w:rsidRDefault="004A1B5A" w:rsidP="004A1B5A">
      <w:pPr>
        <w:pStyle w:val="ListParagraph"/>
        <w:rPr>
          <w:rFonts w:ascii="Arial" w:hAnsi="Arial" w:cs="Arial"/>
          <w:sz w:val="24"/>
          <w:szCs w:val="24"/>
        </w:rPr>
      </w:pPr>
    </w:p>
    <w:p w14:paraId="623BBCA5" w14:textId="18BEBEAD" w:rsidR="007D4F5E" w:rsidRPr="00DE5A20" w:rsidRDefault="00DE5A20" w:rsidP="00DE5A2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D4F5E" w:rsidRPr="00DE5A20">
        <w:rPr>
          <w:rFonts w:ascii="Arial" w:hAnsi="Arial" w:cs="Arial"/>
          <w:sz w:val="24"/>
          <w:szCs w:val="24"/>
        </w:rPr>
        <w:t>The first respondent prov</w:t>
      </w:r>
      <w:r w:rsidR="00DB7DEB" w:rsidRPr="00DE5A20">
        <w:rPr>
          <w:rFonts w:ascii="Arial" w:hAnsi="Arial" w:cs="Arial"/>
          <w:sz w:val="24"/>
          <w:szCs w:val="24"/>
        </w:rPr>
        <w:t>ided a time</w:t>
      </w:r>
      <w:r w:rsidR="004A1B5A" w:rsidRPr="00DE5A20">
        <w:rPr>
          <w:rFonts w:ascii="Arial" w:hAnsi="Arial" w:cs="Arial"/>
          <w:sz w:val="24"/>
          <w:szCs w:val="24"/>
        </w:rPr>
        <w:t>line for the matter:</w:t>
      </w:r>
    </w:p>
    <w:p w14:paraId="28C0FDFA" w14:textId="77777777" w:rsidR="004A1B5A" w:rsidRPr="004A1B5A" w:rsidRDefault="004A1B5A" w:rsidP="004A1B5A">
      <w:pPr>
        <w:pStyle w:val="ListParagraph"/>
        <w:spacing w:after="0" w:line="360" w:lineRule="auto"/>
        <w:ind w:left="0"/>
        <w:jc w:val="both"/>
        <w:rPr>
          <w:rFonts w:ascii="Arial" w:hAnsi="Arial" w:cs="Arial"/>
          <w:sz w:val="24"/>
          <w:szCs w:val="24"/>
        </w:rPr>
      </w:pPr>
    </w:p>
    <w:p w14:paraId="0EDC3937" w14:textId="77777777" w:rsidR="007D4F5E" w:rsidRDefault="007D4F5E" w:rsidP="00184C3A">
      <w:pPr>
        <w:spacing w:line="360" w:lineRule="auto"/>
        <w:jc w:val="both"/>
        <w:rPr>
          <w:rFonts w:ascii="Arial" w:hAnsi="Arial" w:cs="Arial"/>
          <w:sz w:val="24"/>
          <w:szCs w:val="24"/>
        </w:rPr>
      </w:pPr>
      <w:r>
        <w:rPr>
          <w:rFonts w:ascii="Arial" w:hAnsi="Arial" w:cs="Arial"/>
          <w:sz w:val="24"/>
          <w:szCs w:val="24"/>
        </w:rPr>
        <w:t>1</w:t>
      </w:r>
      <w:r w:rsidR="004A1B5A">
        <w:rPr>
          <w:rFonts w:ascii="Arial" w:hAnsi="Arial" w:cs="Arial"/>
          <w:sz w:val="24"/>
          <w:szCs w:val="24"/>
        </w:rPr>
        <w:t>0 February 2020:</w:t>
      </w:r>
      <w:r w:rsidR="004A1B5A">
        <w:rPr>
          <w:rFonts w:ascii="Arial" w:hAnsi="Arial" w:cs="Arial"/>
          <w:sz w:val="24"/>
          <w:szCs w:val="24"/>
        </w:rPr>
        <w:tab/>
      </w:r>
      <w:r w:rsidR="004A1B5A">
        <w:rPr>
          <w:rFonts w:ascii="Arial" w:hAnsi="Arial" w:cs="Arial"/>
          <w:sz w:val="24"/>
          <w:szCs w:val="24"/>
        </w:rPr>
        <w:tab/>
      </w:r>
      <w:r w:rsidR="004A1B5A">
        <w:rPr>
          <w:rFonts w:ascii="Arial" w:hAnsi="Arial" w:cs="Arial"/>
          <w:sz w:val="24"/>
          <w:szCs w:val="24"/>
        </w:rPr>
        <w:tab/>
        <w:t>Judg</w:t>
      </w:r>
      <w:r>
        <w:rPr>
          <w:rFonts w:ascii="Arial" w:hAnsi="Arial" w:cs="Arial"/>
          <w:sz w:val="24"/>
          <w:szCs w:val="24"/>
        </w:rPr>
        <w:t xml:space="preserve">ment </w:t>
      </w:r>
      <w:proofErr w:type="gramStart"/>
      <w:r>
        <w:rPr>
          <w:rFonts w:ascii="Arial" w:hAnsi="Arial" w:cs="Arial"/>
          <w:sz w:val="24"/>
          <w:szCs w:val="24"/>
        </w:rPr>
        <w:t>granted</w:t>
      </w:r>
      <w:proofErr w:type="gramEnd"/>
    </w:p>
    <w:p w14:paraId="318B9AD8" w14:textId="77777777" w:rsidR="007D4F5E" w:rsidRDefault="007D4F5E" w:rsidP="00184C3A">
      <w:pPr>
        <w:spacing w:line="360" w:lineRule="auto"/>
        <w:jc w:val="both"/>
        <w:rPr>
          <w:rFonts w:ascii="Arial" w:hAnsi="Arial" w:cs="Arial"/>
          <w:sz w:val="24"/>
          <w:szCs w:val="24"/>
        </w:rPr>
      </w:pPr>
      <w:r>
        <w:rPr>
          <w:rFonts w:ascii="Arial" w:hAnsi="Arial" w:cs="Arial"/>
          <w:sz w:val="24"/>
          <w:szCs w:val="24"/>
        </w:rPr>
        <w:t>19 March 2021: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Property declared </w:t>
      </w:r>
      <w:proofErr w:type="gramStart"/>
      <w:r>
        <w:rPr>
          <w:rFonts w:ascii="Arial" w:hAnsi="Arial" w:cs="Arial"/>
          <w:sz w:val="24"/>
          <w:szCs w:val="24"/>
        </w:rPr>
        <w:t>executable</w:t>
      </w:r>
      <w:proofErr w:type="gramEnd"/>
    </w:p>
    <w:p w14:paraId="53C01C38" w14:textId="77777777" w:rsidR="007D4F5E" w:rsidRDefault="007D4F5E" w:rsidP="00184C3A">
      <w:pPr>
        <w:spacing w:line="360" w:lineRule="auto"/>
        <w:jc w:val="both"/>
        <w:rPr>
          <w:rFonts w:ascii="Arial" w:hAnsi="Arial" w:cs="Arial"/>
          <w:sz w:val="24"/>
          <w:szCs w:val="24"/>
        </w:rPr>
      </w:pPr>
      <w:r>
        <w:rPr>
          <w:rFonts w:ascii="Arial" w:hAnsi="Arial" w:cs="Arial"/>
          <w:sz w:val="24"/>
          <w:szCs w:val="24"/>
        </w:rPr>
        <w:t>28 October 2021:</w:t>
      </w:r>
      <w:r>
        <w:rPr>
          <w:rFonts w:ascii="Arial" w:hAnsi="Arial" w:cs="Arial"/>
          <w:sz w:val="24"/>
          <w:szCs w:val="24"/>
        </w:rPr>
        <w:tab/>
      </w:r>
      <w:r>
        <w:rPr>
          <w:rFonts w:ascii="Arial" w:hAnsi="Arial" w:cs="Arial"/>
          <w:sz w:val="24"/>
          <w:szCs w:val="24"/>
        </w:rPr>
        <w:tab/>
      </w:r>
      <w:r>
        <w:rPr>
          <w:rFonts w:ascii="Arial" w:hAnsi="Arial" w:cs="Arial"/>
          <w:sz w:val="24"/>
          <w:szCs w:val="24"/>
        </w:rPr>
        <w:tab/>
        <w:t>Sale in Execution</w:t>
      </w:r>
    </w:p>
    <w:p w14:paraId="0C0782B0" w14:textId="77777777" w:rsidR="007D4F5E" w:rsidRDefault="007D4F5E" w:rsidP="00184C3A">
      <w:pPr>
        <w:spacing w:line="360" w:lineRule="auto"/>
        <w:jc w:val="both"/>
        <w:rPr>
          <w:rFonts w:ascii="Arial" w:hAnsi="Arial" w:cs="Arial"/>
          <w:sz w:val="24"/>
          <w:szCs w:val="24"/>
        </w:rPr>
      </w:pPr>
      <w:r>
        <w:rPr>
          <w:rFonts w:ascii="Arial" w:hAnsi="Arial" w:cs="Arial"/>
          <w:sz w:val="24"/>
          <w:szCs w:val="24"/>
        </w:rPr>
        <w:t>11 November 2021: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Transferring attorneys receive conditions of </w:t>
      </w:r>
      <w:proofErr w:type="gramStart"/>
      <w:r>
        <w:rPr>
          <w:rFonts w:ascii="Arial" w:hAnsi="Arial" w:cs="Arial"/>
          <w:sz w:val="24"/>
          <w:szCs w:val="24"/>
        </w:rPr>
        <w:t>sale</w:t>
      </w:r>
      <w:proofErr w:type="gramEnd"/>
    </w:p>
    <w:p w14:paraId="172D5476" w14:textId="77777777" w:rsidR="007D4F5E" w:rsidRDefault="00F177DE" w:rsidP="00184C3A">
      <w:pPr>
        <w:spacing w:line="360" w:lineRule="auto"/>
        <w:jc w:val="both"/>
        <w:rPr>
          <w:rFonts w:ascii="Arial" w:hAnsi="Arial" w:cs="Arial"/>
          <w:sz w:val="24"/>
          <w:szCs w:val="24"/>
        </w:rPr>
      </w:pPr>
      <w:r>
        <w:rPr>
          <w:rFonts w:ascii="Arial" w:hAnsi="Arial" w:cs="Arial"/>
          <w:sz w:val="24"/>
          <w:szCs w:val="24"/>
        </w:rPr>
        <w:t>24 November 2021: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Purchaser’s home loan finally </w:t>
      </w:r>
      <w:proofErr w:type="gramStart"/>
      <w:r>
        <w:rPr>
          <w:rFonts w:ascii="Arial" w:hAnsi="Arial" w:cs="Arial"/>
          <w:sz w:val="24"/>
          <w:szCs w:val="24"/>
        </w:rPr>
        <w:t>approved</w:t>
      </w:r>
      <w:proofErr w:type="gramEnd"/>
    </w:p>
    <w:p w14:paraId="410DE106"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16 December 2021:</w:t>
      </w:r>
      <w:r>
        <w:rPr>
          <w:rFonts w:ascii="Arial" w:hAnsi="Arial" w:cs="Arial"/>
          <w:sz w:val="24"/>
          <w:szCs w:val="24"/>
        </w:rPr>
        <w:tab/>
      </w:r>
      <w:r>
        <w:rPr>
          <w:rFonts w:ascii="Arial" w:hAnsi="Arial" w:cs="Arial"/>
          <w:sz w:val="24"/>
          <w:szCs w:val="24"/>
        </w:rPr>
        <w:tab/>
      </w:r>
      <w:r>
        <w:rPr>
          <w:rFonts w:ascii="Arial" w:hAnsi="Arial" w:cs="Arial"/>
          <w:sz w:val="24"/>
          <w:szCs w:val="24"/>
        </w:rPr>
        <w:tab/>
        <w:t>Transferring attorneys close</w:t>
      </w:r>
    </w:p>
    <w:p w14:paraId="4C7E78D3"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20 January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Instruction from financier to register mortgage </w:t>
      </w:r>
      <w:proofErr w:type="gramStart"/>
      <w:r>
        <w:rPr>
          <w:rFonts w:ascii="Arial" w:hAnsi="Arial" w:cs="Arial"/>
          <w:sz w:val="24"/>
          <w:szCs w:val="24"/>
        </w:rPr>
        <w:t>bond</w:t>
      </w:r>
      <w:proofErr w:type="gramEnd"/>
    </w:p>
    <w:p w14:paraId="2AEE01BB"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8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Transferring attorneys received signed transfer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documents and compliance </w:t>
      </w:r>
      <w:proofErr w:type="gramStart"/>
      <w:r>
        <w:rPr>
          <w:rFonts w:ascii="Arial" w:hAnsi="Arial" w:cs="Arial"/>
          <w:sz w:val="24"/>
          <w:szCs w:val="24"/>
        </w:rPr>
        <w:t>certificate</w:t>
      </w:r>
      <w:proofErr w:type="gramEnd"/>
    </w:p>
    <w:p w14:paraId="07C53CED"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10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Guarantee for the purchase price </w:t>
      </w:r>
      <w:proofErr w:type="gramStart"/>
      <w:r>
        <w:rPr>
          <w:rFonts w:ascii="Arial" w:hAnsi="Arial" w:cs="Arial"/>
          <w:sz w:val="24"/>
          <w:szCs w:val="24"/>
        </w:rPr>
        <w:t>issued</w:t>
      </w:r>
      <w:proofErr w:type="gramEnd"/>
    </w:p>
    <w:p w14:paraId="34BF0958"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14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Receipt issued for payment of transfer </w:t>
      </w:r>
      <w:proofErr w:type="gramStart"/>
      <w:r>
        <w:rPr>
          <w:rFonts w:ascii="Arial" w:hAnsi="Arial" w:cs="Arial"/>
          <w:sz w:val="24"/>
          <w:szCs w:val="24"/>
        </w:rPr>
        <w:t>duty</w:t>
      </w:r>
      <w:proofErr w:type="gramEnd"/>
    </w:p>
    <w:p w14:paraId="1FD6461E"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18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Clearance figures </w:t>
      </w:r>
      <w:proofErr w:type="gramStart"/>
      <w:r>
        <w:rPr>
          <w:rFonts w:ascii="Arial" w:hAnsi="Arial" w:cs="Arial"/>
          <w:sz w:val="24"/>
          <w:szCs w:val="24"/>
        </w:rPr>
        <w:t>requested</w:t>
      </w:r>
      <w:proofErr w:type="gramEnd"/>
    </w:p>
    <w:p w14:paraId="7A4CBBDF"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22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Clearance certificates </w:t>
      </w:r>
      <w:proofErr w:type="gramStart"/>
      <w:r>
        <w:rPr>
          <w:rFonts w:ascii="Arial" w:hAnsi="Arial" w:cs="Arial"/>
          <w:sz w:val="24"/>
          <w:szCs w:val="24"/>
        </w:rPr>
        <w:t>issued</w:t>
      </w:r>
      <w:proofErr w:type="gramEnd"/>
    </w:p>
    <w:p w14:paraId="6CD04515"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24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Bond cancellation instructions </w:t>
      </w:r>
      <w:proofErr w:type="gramStart"/>
      <w:r>
        <w:rPr>
          <w:rFonts w:ascii="Arial" w:hAnsi="Arial" w:cs="Arial"/>
          <w:sz w:val="24"/>
          <w:szCs w:val="24"/>
        </w:rPr>
        <w:t>requested</w:t>
      </w:r>
      <w:proofErr w:type="gramEnd"/>
    </w:p>
    <w:p w14:paraId="0CF72633"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lastRenderedPageBreak/>
        <w:t>28 February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Purchasers pay interest in terms of clause 7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conditions</w:t>
      </w:r>
    </w:p>
    <w:p w14:paraId="008137D7"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10 March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Interest paid by </w:t>
      </w:r>
      <w:proofErr w:type="gramStart"/>
      <w:r>
        <w:rPr>
          <w:rFonts w:ascii="Arial" w:hAnsi="Arial" w:cs="Arial"/>
          <w:sz w:val="24"/>
          <w:szCs w:val="24"/>
        </w:rPr>
        <w:t>purchasers</w:t>
      </w:r>
      <w:proofErr w:type="gramEnd"/>
    </w:p>
    <w:p w14:paraId="7847E741"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17 March 2022: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Transaction on prep at deeds office.  Purchasers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paid further interest.  Purchasers paid clearance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amounts</w:t>
      </w:r>
    </w:p>
    <w:p w14:paraId="797F92A3" w14:textId="77777777" w:rsidR="00F177DE" w:rsidRDefault="00F177DE" w:rsidP="00184C3A">
      <w:pPr>
        <w:spacing w:line="360" w:lineRule="auto"/>
        <w:jc w:val="both"/>
        <w:rPr>
          <w:rFonts w:ascii="Arial" w:hAnsi="Arial" w:cs="Arial"/>
          <w:sz w:val="24"/>
          <w:szCs w:val="24"/>
        </w:rPr>
      </w:pPr>
      <w:r>
        <w:rPr>
          <w:rFonts w:ascii="Arial" w:hAnsi="Arial" w:cs="Arial"/>
          <w:sz w:val="24"/>
          <w:szCs w:val="24"/>
        </w:rPr>
        <w:t>18 March 2022:</w:t>
      </w:r>
      <w:r>
        <w:rPr>
          <w:rFonts w:ascii="Arial" w:hAnsi="Arial" w:cs="Arial"/>
          <w:sz w:val="24"/>
          <w:szCs w:val="24"/>
        </w:rPr>
        <w:tab/>
      </w:r>
      <w:r>
        <w:rPr>
          <w:rFonts w:ascii="Arial" w:hAnsi="Arial" w:cs="Arial"/>
          <w:sz w:val="24"/>
          <w:szCs w:val="24"/>
        </w:rPr>
        <w:tab/>
      </w:r>
      <w:r>
        <w:rPr>
          <w:rFonts w:ascii="Arial" w:hAnsi="Arial" w:cs="Arial"/>
          <w:sz w:val="24"/>
          <w:szCs w:val="24"/>
        </w:rPr>
        <w:tab/>
        <w:t>Registration of transfer</w:t>
      </w:r>
    </w:p>
    <w:p w14:paraId="2E295D7E" w14:textId="0011096F"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4063C" w:rsidRPr="00DE5A20">
        <w:rPr>
          <w:rFonts w:ascii="Arial" w:hAnsi="Arial" w:cs="Arial"/>
          <w:sz w:val="24"/>
          <w:szCs w:val="24"/>
        </w:rPr>
        <w:t>Only the first and second respondents opposed the application.</w:t>
      </w:r>
    </w:p>
    <w:p w14:paraId="03F4825E" w14:textId="77777777" w:rsidR="00044C4A" w:rsidRPr="004A1B5A" w:rsidRDefault="00044C4A" w:rsidP="00044C4A">
      <w:pPr>
        <w:pStyle w:val="ListParagraph"/>
        <w:spacing w:after="0" w:line="360" w:lineRule="auto"/>
        <w:ind w:left="0"/>
        <w:jc w:val="both"/>
        <w:rPr>
          <w:rFonts w:ascii="Arial" w:hAnsi="Arial" w:cs="Arial"/>
          <w:sz w:val="24"/>
          <w:szCs w:val="24"/>
        </w:rPr>
      </w:pPr>
    </w:p>
    <w:p w14:paraId="563A1096" w14:textId="77777777" w:rsidR="004523AF" w:rsidRDefault="0054063C" w:rsidP="004A1B5A">
      <w:pPr>
        <w:spacing w:after="0" w:line="360" w:lineRule="auto"/>
        <w:jc w:val="both"/>
        <w:rPr>
          <w:rFonts w:ascii="Arial" w:hAnsi="Arial" w:cs="Arial"/>
          <w:sz w:val="24"/>
          <w:szCs w:val="24"/>
          <w:u w:val="single"/>
        </w:rPr>
      </w:pPr>
      <w:r>
        <w:rPr>
          <w:rFonts w:ascii="Arial" w:hAnsi="Arial" w:cs="Arial"/>
          <w:sz w:val="24"/>
          <w:szCs w:val="24"/>
          <w:u w:val="single"/>
        </w:rPr>
        <w:t xml:space="preserve">Relief </w:t>
      </w:r>
      <w:proofErr w:type="gramStart"/>
      <w:r>
        <w:rPr>
          <w:rFonts w:ascii="Arial" w:hAnsi="Arial" w:cs="Arial"/>
          <w:sz w:val="24"/>
          <w:szCs w:val="24"/>
          <w:u w:val="single"/>
        </w:rPr>
        <w:t>sought</w:t>
      </w:r>
      <w:proofErr w:type="gramEnd"/>
    </w:p>
    <w:p w14:paraId="0C9B2C6D" w14:textId="77777777" w:rsidR="004A1B5A" w:rsidRPr="004523AF" w:rsidRDefault="004A1B5A" w:rsidP="004A1B5A">
      <w:pPr>
        <w:spacing w:after="0" w:line="360" w:lineRule="auto"/>
        <w:jc w:val="both"/>
        <w:rPr>
          <w:rFonts w:ascii="Arial" w:hAnsi="Arial" w:cs="Arial"/>
          <w:sz w:val="24"/>
          <w:szCs w:val="24"/>
          <w:u w:val="single"/>
        </w:rPr>
      </w:pPr>
    </w:p>
    <w:p w14:paraId="38041496" w14:textId="0D877BB0" w:rsidR="004A1B5A" w:rsidRPr="00DE5A20" w:rsidRDefault="00DE5A20" w:rsidP="00DE5A2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4063C" w:rsidRPr="00DE5A20">
        <w:rPr>
          <w:rFonts w:ascii="Arial" w:hAnsi="Arial" w:cs="Arial"/>
          <w:sz w:val="24"/>
          <w:szCs w:val="24"/>
        </w:rPr>
        <w:t>The following relief is being sought by the applicant:</w:t>
      </w:r>
    </w:p>
    <w:p w14:paraId="0F9680CF" w14:textId="77777777" w:rsidR="004A1B5A" w:rsidRPr="004A1B5A" w:rsidRDefault="004A1B5A" w:rsidP="004A1B5A">
      <w:pPr>
        <w:pStyle w:val="ListParagraph"/>
        <w:spacing w:after="0" w:line="360" w:lineRule="auto"/>
        <w:ind w:left="0"/>
        <w:jc w:val="both"/>
        <w:rPr>
          <w:rFonts w:ascii="Arial" w:hAnsi="Arial" w:cs="Arial"/>
          <w:sz w:val="24"/>
          <w:szCs w:val="24"/>
        </w:rPr>
      </w:pPr>
    </w:p>
    <w:p w14:paraId="1BD82F29" w14:textId="77777777" w:rsidR="0054063C" w:rsidRPr="004A1B5A" w:rsidRDefault="004A1B5A" w:rsidP="004A1B5A">
      <w:pPr>
        <w:spacing w:line="360" w:lineRule="auto"/>
        <w:ind w:firstLine="720"/>
        <w:jc w:val="both"/>
        <w:rPr>
          <w:rFonts w:ascii="Arial" w:hAnsi="Arial" w:cs="Arial"/>
        </w:rPr>
      </w:pPr>
      <w:r>
        <w:rPr>
          <w:rFonts w:ascii="Arial" w:hAnsi="Arial" w:cs="Arial"/>
          <w:sz w:val="24"/>
          <w:szCs w:val="24"/>
        </w:rPr>
        <w:t>‘</w:t>
      </w:r>
      <w:r w:rsidR="0054063C" w:rsidRPr="004A1B5A">
        <w:rPr>
          <w:rFonts w:ascii="Arial" w:hAnsi="Arial" w:cs="Arial"/>
        </w:rPr>
        <w:t xml:space="preserve">1. An order reviewing the sale by judicial auction of the immovable property situated at Erf 1181, </w:t>
      </w:r>
      <w:proofErr w:type="spellStart"/>
      <w:r w:rsidR="0054063C" w:rsidRPr="004A1B5A">
        <w:rPr>
          <w:rFonts w:ascii="Arial" w:hAnsi="Arial" w:cs="Arial"/>
        </w:rPr>
        <w:t>Tamariskia</w:t>
      </w:r>
      <w:proofErr w:type="spellEnd"/>
      <w:r w:rsidR="0054063C" w:rsidRPr="004A1B5A">
        <w:rPr>
          <w:rFonts w:ascii="Arial" w:hAnsi="Arial" w:cs="Arial"/>
        </w:rPr>
        <w:t xml:space="preserve">, Extension No. 3, Swakopmund, Namibia, and setting aside the sale of the said immovable property by the deputy sheriff for the district of Swakopmund to the fourth respondent. </w:t>
      </w:r>
    </w:p>
    <w:p w14:paraId="4F9606F1" w14:textId="77777777" w:rsidR="0054063C" w:rsidRPr="004A1B5A" w:rsidRDefault="0054063C" w:rsidP="00184C3A">
      <w:pPr>
        <w:spacing w:line="360" w:lineRule="auto"/>
        <w:jc w:val="both"/>
        <w:rPr>
          <w:rFonts w:ascii="Arial" w:hAnsi="Arial" w:cs="Arial"/>
        </w:rPr>
      </w:pPr>
      <w:r w:rsidRPr="004A1B5A">
        <w:rPr>
          <w:rFonts w:ascii="Arial" w:hAnsi="Arial" w:cs="Arial"/>
        </w:rPr>
        <w:t xml:space="preserve">2. In the alternative to the </w:t>
      </w:r>
      <w:proofErr w:type="gramStart"/>
      <w:r w:rsidRPr="004A1B5A">
        <w:rPr>
          <w:rFonts w:ascii="Arial" w:hAnsi="Arial" w:cs="Arial"/>
        </w:rPr>
        <w:t>aforementioned prayer</w:t>
      </w:r>
      <w:proofErr w:type="gramEnd"/>
      <w:r w:rsidRPr="004A1B5A">
        <w:rPr>
          <w:rFonts w:ascii="Arial" w:hAnsi="Arial" w:cs="Arial"/>
        </w:rPr>
        <w:t xml:space="preserve">, an order compelling the deputy sheriff for the district of Swakopmund to submit a report to the </w:t>
      </w:r>
      <w:proofErr w:type="spellStart"/>
      <w:r w:rsidRPr="004A1B5A">
        <w:rPr>
          <w:rFonts w:ascii="Arial" w:hAnsi="Arial" w:cs="Arial"/>
        </w:rPr>
        <w:t>Honourable</w:t>
      </w:r>
      <w:proofErr w:type="spellEnd"/>
      <w:r w:rsidRPr="004A1B5A">
        <w:rPr>
          <w:rFonts w:ascii="Arial" w:hAnsi="Arial" w:cs="Arial"/>
        </w:rPr>
        <w:t xml:space="preserve"> Court as contemplated in Rule 110(10) of the Rules of this </w:t>
      </w:r>
      <w:proofErr w:type="spellStart"/>
      <w:r w:rsidRPr="004A1B5A">
        <w:rPr>
          <w:rFonts w:ascii="Arial" w:hAnsi="Arial" w:cs="Arial"/>
        </w:rPr>
        <w:t>Honourable</w:t>
      </w:r>
      <w:proofErr w:type="spellEnd"/>
      <w:r w:rsidRPr="004A1B5A">
        <w:rPr>
          <w:rFonts w:ascii="Arial" w:hAnsi="Arial" w:cs="Arial"/>
        </w:rPr>
        <w:t xml:space="preserve"> Court within twenty (20) days of an order in terms hereof. </w:t>
      </w:r>
    </w:p>
    <w:p w14:paraId="49953D97" w14:textId="77777777" w:rsidR="0054063C" w:rsidRPr="004A1B5A" w:rsidRDefault="0054063C" w:rsidP="00184C3A">
      <w:pPr>
        <w:spacing w:line="360" w:lineRule="auto"/>
        <w:jc w:val="both"/>
        <w:rPr>
          <w:rFonts w:ascii="Arial" w:hAnsi="Arial" w:cs="Arial"/>
        </w:rPr>
      </w:pPr>
      <w:r w:rsidRPr="004A1B5A">
        <w:rPr>
          <w:rFonts w:ascii="Arial" w:hAnsi="Arial" w:cs="Arial"/>
        </w:rPr>
        <w:t xml:space="preserve">3. Setting aside the registration of the immovable property situated at Erf 1181, </w:t>
      </w:r>
      <w:proofErr w:type="spellStart"/>
      <w:r w:rsidRPr="004A1B5A">
        <w:rPr>
          <w:rFonts w:ascii="Arial" w:hAnsi="Arial" w:cs="Arial"/>
        </w:rPr>
        <w:t>Tamariskia</w:t>
      </w:r>
      <w:proofErr w:type="spellEnd"/>
      <w:r w:rsidRPr="004A1B5A">
        <w:rPr>
          <w:rFonts w:ascii="Arial" w:hAnsi="Arial" w:cs="Arial"/>
        </w:rPr>
        <w:t xml:space="preserve">, Extension No. 3, Swakopmund, Namibia into the name of the fourth respondent, and declaring the said registration unlawful, invalid and of no force or effect. </w:t>
      </w:r>
    </w:p>
    <w:p w14:paraId="7D68B539" w14:textId="77777777" w:rsidR="0054063C" w:rsidRPr="004A1B5A" w:rsidRDefault="0054063C" w:rsidP="00184C3A">
      <w:pPr>
        <w:spacing w:line="360" w:lineRule="auto"/>
        <w:jc w:val="both"/>
        <w:rPr>
          <w:rFonts w:ascii="Arial" w:hAnsi="Arial" w:cs="Arial"/>
        </w:rPr>
      </w:pPr>
      <w:r w:rsidRPr="004A1B5A">
        <w:rPr>
          <w:rFonts w:ascii="Arial" w:hAnsi="Arial" w:cs="Arial"/>
        </w:rPr>
        <w:t xml:space="preserve">4. Directing the Registrar of Deeds to </w:t>
      </w:r>
      <w:proofErr w:type="gramStart"/>
      <w:r w:rsidRPr="004A1B5A">
        <w:rPr>
          <w:rFonts w:ascii="Arial" w:hAnsi="Arial" w:cs="Arial"/>
        </w:rPr>
        <w:t>effect</w:t>
      </w:r>
      <w:proofErr w:type="gramEnd"/>
      <w:r w:rsidRPr="004A1B5A">
        <w:rPr>
          <w:rFonts w:ascii="Arial" w:hAnsi="Arial" w:cs="Arial"/>
        </w:rPr>
        <w:t xml:space="preserve"> the necessary endorsements on the title deed in respect of the immovable property situated at Erf 1181, </w:t>
      </w:r>
      <w:proofErr w:type="spellStart"/>
      <w:r w:rsidRPr="004A1B5A">
        <w:rPr>
          <w:rFonts w:ascii="Arial" w:hAnsi="Arial" w:cs="Arial"/>
        </w:rPr>
        <w:t>Tamariskia</w:t>
      </w:r>
      <w:proofErr w:type="spellEnd"/>
      <w:r w:rsidRPr="004A1B5A">
        <w:rPr>
          <w:rFonts w:ascii="Arial" w:hAnsi="Arial" w:cs="Arial"/>
        </w:rPr>
        <w:t xml:space="preserve">, Extension No. 3, Swakopmund, Namibia to cancel the registration of the transfer of the said immovable property situated into the name of the fourth respondent and reflecting the registration thereof in the name of the applicant. </w:t>
      </w:r>
    </w:p>
    <w:p w14:paraId="34FD5713" w14:textId="77777777" w:rsidR="0054063C" w:rsidRPr="004A1B5A" w:rsidRDefault="0054063C" w:rsidP="00184C3A">
      <w:pPr>
        <w:spacing w:line="360" w:lineRule="auto"/>
        <w:jc w:val="both"/>
        <w:rPr>
          <w:rFonts w:ascii="Arial" w:hAnsi="Arial" w:cs="Arial"/>
        </w:rPr>
      </w:pPr>
      <w:r w:rsidRPr="004A1B5A">
        <w:rPr>
          <w:rFonts w:ascii="Arial" w:hAnsi="Arial" w:cs="Arial"/>
        </w:rPr>
        <w:t xml:space="preserve">5. Ordering the first respondent to pay the costs of this application, jointly and severally, the one paying the other to be absolved, with such further respondents electing to oppose this application. </w:t>
      </w:r>
    </w:p>
    <w:p w14:paraId="7602480B" w14:textId="77777777" w:rsidR="00184C3A" w:rsidRDefault="0054063C" w:rsidP="004A1B5A">
      <w:pPr>
        <w:spacing w:after="0" w:line="360" w:lineRule="auto"/>
        <w:jc w:val="both"/>
        <w:rPr>
          <w:rFonts w:ascii="Arial" w:hAnsi="Arial" w:cs="Arial"/>
        </w:rPr>
      </w:pPr>
      <w:r w:rsidRPr="004A1B5A">
        <w:rPr>
          <w:rFonts w:ascii="Arial" w:hAnsi="Arial" w:cs="Arial"/>
        </w:rPr>
        <w:lastRenderedPageBreak/>
        <w:t>6. Further and or alternative relief.</w:t>
      </w:r>
      <w:r w:rsidR="004A1B5A">
        <w:rPr>
          <w:rFonts w:ascii="Arial" w:hAnsi="Arial" w:cs="Arial"/>
        </w:rPr>
        <w:t>’</w:t>
      </w:r>
    </w:p>
    <w:p w14:paraId="5092CD86" w14:textId="77777777" w:rsidR="004A1B5A" w:rsidRPr="004A1B5A" w:rsidRDefault="004A1B5A" w:rsidP="004A1B5A">
      <w:pPr>
        <w:spacing w:after="0" w:line="360" w:lineRule="auto"/>
        <w:jc w:val="both"/>
        <w:rPr>
          <w:rFonts w:ascii="Arial" w:hAnsi="Arial" w:cs="Arial"/>
        </w:rPr>
      </w:pPr>
    </w:p>
    <w:p w14:paraId="2AE36D84" w14:textId="77777777" w:rsidR="007D4F5E" w:rsidRDefault="007D4F5E" w:rsidP="004A1B5A">
      <w:pPr>
        <w:spacing w:after="0" w:line="360" w:lineRule="auto"/>
        <w:jc w:val="both"/>
        <w:rPr>
          <w:rFonts w:ascii="Arial" w:hAnsi="Arial" w:cs="Arial"/>
          <w:sz w:val="24"/>
          <w:szCs w:val="24"/>
          <w:u w:val="single"/>
        </w:rPr>
      </w:pPr>
      <w:r>
        <w:rPr>
          <w:rFonts w:ascii="Arial" w:hAnsi="Arial" w:cs="Arial"/>
          <w:sz w:val="24"/>
          <w:szCs w:val="24"/>
          <w:u w:val="single"/>
        </w:rPr>
        <w:t xml:space="preserve">Points in </w:t>
      </w:r>
      <w:proofErr w:type="spellStart"/>
      <w:r>
        <w:rPr>
          <w:rFonts w:ascii="Arial" w:hAnsi="Arial" w:cs="Arial"/>
          <w:sz w:val="24"/>
          <w:szCs w:val="24"/>
          <w:u w:val="single"/>
        </w:rPr>
        <w:t>limine</w:t>
      </w:r>
      <w:proofErr w:type="spellEnd"/>
    </w:p>
    <w:p w14:paraId="71ED20A4" w14:textId="77777777" w:rsidR="004A1B5A" w:rsidRDefault="004A1B5A" w:rsidP="004A1B5A">
      <w:pPr>
        <w:spacing w:after="0" w:line="360" w:lineRule="auto"/>
        <w:jc w:val="both"/>
        <w:rPr>
          <w:rFonts w:ascii="Arial" w:hAnsi="Arial" w:cs="Arial"/>
          <w:sz w:val="24"/>
          <w:szCs w:val="24"/>
          <w:u w:val="single"/>
        </w:rPr>
      </w:pPr>
    </w:p>
    <w:p w14:paraId="310A1C8E" w14:textId="77777777" w:rsidR="007D4F5E" w:rsidRDefault="007D4F5E" w:rsidP="004A1B5A">
      <w:pPr>
        <w:spacing w:after="0" w:line="360" w:lineRule="auto"/>
        <w:jc w:val="both"/>
        <w:rPr>
          <w:rFonts w:ascii="Arial" w:hAnsi="Arial" w:cs="Arial"/>
          <w:i/>
          <w:sz w:val="24"/>
          <w:szCs w:val="24"/>
        </w:rPr>
      </w:pPr>
      <w:r w:rsidRPr="007D4F5E">
        <w:rPr>
          <w:rFonts w:ascii="Arial" w:hAnsi="Arial" w:cs="Arial"/>
          <w:i/>
          <w:sz w:val="24"/>
          <w:szCs w:val="24"/>
        </w:rPr>
        <w:t>Locus standi of the applicant</w:t>
      </w:r>
    </w:p>
    <w:p w14:paraId="6BF6397E" w14:textId="77777777" w:rsidR="004A1B5A" w:rsidRPr="007D4F5E" w:rsidRDefault="004A1B5A" w:rsidP="004A1B5A">
      <w:pPr>
        <w:spacing w:after="0" w:line="360" w:lineRule="auto"/>
        <w:jc w:val="both"/>
        <w:rPr>
          <w:rFonts w:ascii="Arial" w:hAnsi="Arial" w:cs="Arial"/>
          <w:i/>
          <w:sz w:val="24"/>
          <w:szCs w:val="24"/>
          <w:u w:val="single"/>
        </w:rPr>
      </w:pPr>
    </w:p>
    <w:p w14:paraId="600882AB" w14:textId="52438237" w:rsidR="007D4F5E" w:rsidRPr="00DE5A20" w:rsidRDefault="00DE5A20" w:rsidP="00DE5A2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D4F5E" w:rsidRPr="00DE5A20">
        <w:rPr>
          <w:rFonts w:ascii="Arial" w:hAnsi="Arial" w:cs="Arial"/>
          <w:sz w:val="24"/>
          <w:szCs w:val="24"/>
        </w:rPr>
        <w:t xml:space="preserve">Standard Bank raised two points </w:t>
      </w:r>
      <w:r w:rsidR="007D4F5E" w:rsidRPr="00DE5A20">
        <w:rPr>
          <w:rFonts w:ascii="Arial" w:hAnsi="Arial" w:cs="Arial"/>
          <w:i/>
          <w:sz w:val="24"/>
          <w:szCs w:val="24"/>
        </w:rPr>
        <w:t xml:space="preserve">in </w:t>
      </w:r>
      <w:proofErr w:type="spellStart"/>
      <w:r w:rsidR="007D4F5E" w:rsidRPr="00DE5A20">
        <w:rPr>
          <w:rFonts w:ascii="Arial" w:hAnsi="Arial" w:cs="Arial"/>
          <w:i/>
          <w:sz w:val="24"/>
          <w:szCs w:val="24"/>
        </w:rPr>
        <w:t>limine</w:t>
      </w:r>
      <w:proofErr w:type="spellEnd"/>
      <w:r w:rsidR="007D4F5E" w:rsidRPr="00DE5A20">
        <w:rPr>
          <w:rFonts w:ascii="Arial" w:hAnsi="Arial" w:cs="Arial"/>
          <w:sz w:val="24"/>
          <w:szCs w:val="24"/>
        </w:rPr>
        <w:t xml:space="preserve">, the first being that the applicant has no </w:t>
      </w:r>
      <w:r w:rsidR="007D4F5E" w:rsidRPr="00DE5A20">
        <w:rPr>
          <w:rFonts w:ascii="Arial" w:hAnsi="Arial" w:cs="Arial"/>
          <w:i/>
          <w:sz w:val="24"/>
          <w:szCs w:val="24"/>
        </w:rPr>
        <w:t>locus standi</w:t>
      </w:r>
      <w:r w:rsidR="007D4F5E" w:rsidRPr="00DE5A20">
        <w:rPr>
          <w:rFonts w:ascii="Arial" w:hAnsi="Arial" w:cs="Arial"/>
          <w:sz w:val="24"/>
          <w:szCs w:val="24"/>
        </w:rPr>
        <w:t xml:space="preserve"> to challenge aspects emanating from the conditions of sale, mainly because she is not a party to the conditions of sale. In paragraph 8 of the Standard Bank’s answering affidavit, the deponent says: </w:t>
      </w:r>
    </w:p>
    <w:p w14:paraId="4189C98A" w14:textId="77777777" w:rsidR="00FF6E3C" w:rsidRPr="004A1B5A" w:rsidRDefault="00FF6E3C" w:rsidP="00DB7DEB">
      <w:pPr>
        <w:pStyle w:val="ListParagraph"/>
        <w:spacing w:after="0" w:line="360" w:lineRule="auto"/>
        <w:ind w:left="0"/>
        <w:jc w:val="both"/>
        <w:rPr>
          <w:rFonts w:ascii="Arial" w:hAnsi="Arial" w:cs="Arial"/>
          <w:sz w:val="24"/>
          <w:szCs w:val="24"/>
        </w:rPr>
      </w:pPr>
    </w:p>
    <w:p w14:paraId="5E0590CB" w14:textId="77777777" w:rsidR="00184C3A" w:rsidRDefault="004A1B5A" w:rsidP="002D339E">
      <w:pPr>
        <w:spacing w:after="0" w:line="360" w:lineRule="auto"/>
        <w:ind w:firstLine="720"/>
        <w:jc w:val="both"/>
        <w:rPr>
          <w:rFonts w:ascii="Arial" w:hAnsi="Arial" w:cs="Arial"/>
        </w:rPr>
      </w:pPr>
      <w:r>
        <w:rPr>
          <w:rFonts w:ascii="Arial" w:hAnsi="Arial" w:cs="Arial"/>
        </w:rPr>
        <w:t>‘</w:t>
      </w:r>
      <w:r w:rsidR="007D4F5E" w:rsidRPr="007D4F5E">
        <w:rPr>
          <w:rFonts w:ascii="Arial" w:hAnsi="Arial" w:cs="Arial"/>
        </w:rPr>
        <w:t>8. The execution debtor is not a party to the contract of sale concluded between the deputy-sheriff and the execution purchaser. (It was concluded between the deputy-sheriff and the purchaser to the exclusion of the debtor). Insofar as the execution debtor may contend that she has a direct and substantial interest in considering or evaluating whether the sale was conducted in accordance with the requirements of the law, such interest, if it even exists, is not suff</w:t>
      </w:r>
      <w:r>
        <w:rPr>
          <w:rFonts w:ascii="Arial" w:hAnsi="Arial" w:cs="Arial"/>
        </w:rPr>
        <w:t>icient.’</w:t>
      </w:r>
    </w:p>
    <w:p w14:paraId="16909789" w14:textId="77777777" w:rsidR="002D339E" w:rsidRPr="007D4F5E" w:rsidRDefault="002D339E" w:rsidP="002D339E">
      <w:pPr>
        <w:spacing w:after="0" w:line="360" w:lineRule="auto"/>
        <w:ind w:firstLine="720"/>
        <w:jc w:val="both"/>
        <w:rPr>
          <w:rFonts w:ascii="Arial" w:hAnsi="Arial" w:cs="Arial"/>
        </w:rPr>
      </w:pPr>
    </w:p>
    <w:p w14:paraId="441229CD" w14:textId="77777777" w:rsidR="00184C3A" w:rsidRDefault="007D4F5E" w:rsidP="002D339E">
      <w:pPr>
        <w:spacing w:after="0" w:line="360" w:lineRule="auto"/>
        <w:jc w:val="both"/>
        <w:rPr>
          <w:rFonts w:ascii="Arial" w:hAnsi="Arial" w:cs="Arial"/>
          <w:i/>
          <w:sz w:val="24"/>
          <w:szCs w:val="24"/>
        </w:rPr>
      </w:pPr>
      <w:r w:rsidRPr="007D4F5E">
        <w:rPr>
          <w:rFonts w:ascii="Arial" w:hAnsi="Arial" w:cs="Arial"/>
          <w:i/>
          <w:sz w:val="24"/>
          <w:szCs w:val="24"/>
        </w:rPr>
        <w:t xml:space="preserve">The relief sought is not competent under rule </w:t>
      </w:r>
      <w:proofErr w:type="gramStart"/>
      <w:r w:rsidRPr="007D4F5E">
        <w:rPr>
          <w:rFonts w:ascii="Arial" w:hAnsi="Arial" w:cs="Arial"/>
          <w:i/>
          <w:sz w:val="24"/>
          <w:szCs w:val="24"/>
        </w:rPr>
        <w:t>76</w:t>
      </w:r>
      <w:proofErr w:type="gramEnd"/>
    </w:p>
    <w:p w14:paraId="07DA7ECF" w14:textId="77777777" w:rsidR="002D339E" w:rsidRPr="007D4F5E" w:rsidRDefault="002D339E" w:rsidP="002D339E">
      <w:pPr>
        <w:spacing w:after="0" w:line="360" w:lineRule="auto"/>
        <w:jc w:val="both"/>
        <w:rPr>
          <w:rFonts w:ascii="Arial" w:hAnsi="Arial" w:cs="Arial"/>
          <w:i/>
          <w:sz w:val="24"/>
          <w:szCs w:val="24"/>
        </w:rPr>
      </w:pPr>
    </w:p>
    <w:p w14:paraId="643F7CCD" w14:textId="495AA3F5" w:rsidR="002D339E" w:rsidRPr="00DE5A20" w:rsidRDefault="00DE5A20" w:rsidP="00DE5A20">
      <w:pPr>
        <w:spacing w:after="0" w:line="360" w:lineRule="auto"/>
        <w:jc w:val="both"/>
        <w:rPr>
          <w:rFonts w:ascii="Arial" w:hAnsi="Arial" w:cs="Arial"/>
          <w:sz w:val="24"/>
          <w:szCs w:val="24"/>
        </w:rPr>
      </w:pPr>
      <w:r w:rsidRPr="002D339E">
        <w:rPr>
          <w:rFonts w:ascii="Arial" w:hAnsi="Arial" w:cs="Arial"/>
          <w:sz w:val="24"/>
          <w:szCs w:val="24"/>
        </w:rPr>
        <w:t>[12]</w:t>
      </w:r>
      <w:r w:rsidRPr="002D339E">
        <w:rPr>
          <w:rFonts w:ascii="Arial" w:hAnsi="Arial" w:cs="Arial"/>
          <w:sz w:val="24"/>
          <w:szCs w:val="24"/>
        </w:rPr>
        <w:tab/>
      </w:r>
      <w:r w:rsidR="00F177DE" w:rsidRPr="00DE5A20">
        <w:rPr>
          <w:rFonts w:ascii="Arial" w:hAnsi="Arial" w:cs="Arial"/>
          <w:sz w:val="24"/>
          <w:szCs w:val="24"/>
        </w:rPr>
        <w:t>Rule 76 reads as follows:</w:t>
      </w:r>
    </w:p>
    <w:p w14:paraId="72A3A7C0" w14:textId="77777777" w:rsidR="002D339E" w:rsidRDefault="002D339E" w:rsidP="002D339E">
      <w:pPr>
        <w:spacing w:after="0" w:line="360" w:lineRule="auto"/>
        <w:jc w:val="both"/>
        <w:rPr>
          <w:rFonts w:ascii="Arial" w:hAnsi="Arial" w:cs="Arial"/>
          <w:sz w:val="24"/>
          <w:szCs w:val="24"/>
        </w:rPr>
      </w:pPr>
    </w:p>
    <w:p w14:paraId="0B676471" w14:textId="77777777" w:rsidR="002D339E" w:rsidRDefault="002D339E" w:rsidP="002D339E">
      <w:pPr>
        <w:spacing w:after="0" w:line="360" w:lineRule="auto"/>
        <w:jc w:val="both"/>
        <w:rPr>
          <w:rFonts w:ascii="Arial" w:hAnsi="Arial" w:cs="Arial"/>
        </w:rPr>
      </w:pPr>
      <w:r>
        <w:rPr>
          <w:rFonts w:ascii="Arial" w:hAnsi="Arial" w:cs="Arial"/>
        </w:rPr>
        <w:tab/>
        <w:t>‘</w:t>
      </w:r>
      <w:r w:rsidR="00F177DE" w:rsidRPr="00F177DE">
        <w:rPr>
          <w:rFonts w:ascii="Arial" w:hAnsi="Arial" w:cs="Arial"/>
        </w:rPr>
        <w:t xml:space="preserve"> All proceedings to bring under review the decision or proceedings of an inferior court, a tribunal, and administrative body or administrative official are, unless a law otherwise provides by way of application directed and delivered by the party seeking to review such decision of proceedings to the magistrate or the presiding officer of court, the chairperson of the tribunal, the chairperson of the administrative body or the administrative official and to all other parties affected.’</w:t>
      </w:r>
    </w:p>
    <w:p w14:paraId="188507EA" w14:textId="77777777" w:rsidR="002D339E" w:rsidRPr="00F177DE" w:rsidRDefault="002D339E" w:rsidP="002D339E">
      <w:pPr>
        <w:spacing w:after="0" w:line="360" w:lineRule="auto"/>
        <w:jc w:val="both"/>
        <w:rPr>
          <w:rFonts w:ascii="Arial" w:hAnsi="Arial" w:cs="Arial"/>
        </w:rPr>
      </w:pPr>
    </w:p>
    <w:p w14:paraId="428D4CB6" w14:textId="62766FFC"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964B2" w:rsidRPr="00DE5A20">
        <w:rPr>
          <w:rFonts w:ascii="Arial" w:hAnsi="Arial" w:cs="Arial"/>
          <w:sz w:val="24"/>
          <w:szCs w:val="24"/>
        </w:rPr>
        <w:t>The argument presented by the first respondent is that rule 76 only provides for four categories of judicial review, being that of an inferior court, a tribunal, an administrative body and an administrative official and the deputy sheriff is neither of these.</w:t>
      </w:r>
    </w:p>
    <w:p w14:paraId="41C4BE81" w14:textId="77777777" w:rsidR="002D339E" w:rsidRPr="002D339E" w:rsidRDefault="002D339E" w:rsidP="002D339E">
      <w:pPr>
        <w:pStyle w:val="ListParagraph"/>
        <w:spacing w:after="0" w:line="360" w:lineRule="auto"/>
        <w:ind w:left="0"/>
        <w:jc w:val="both"/>
        <w:rPr>
          <w:rFonts w:ascii="Arial" w:hAnsi="Arial" w:cs="Arial"/>
          <w:sz w:val="24"/>
          <w:szCs w:val="24"/>
        </w:rPr>
      </w:pPr>
    </w:p>
    <w:p w14:paraId="33CD3348" w14:textId="77777777" w:rsidR="002D339E" w:rsidRDefault="00477DA7" w:rsidP="002D339E">
      <w:pPr>
        <w:spacing w:after="0" w:line="360" w:lineRule="auto"/>
        <w:jc w:val="both"/>
        <w:rPr>
          <w:rFonts w:ascii="Arial" w:hAnsi="Arial" w:cs="Arial"/>
          <w:sz w:val="24"/>
          <w:szCs w:val="24"/>
          <w:u w:val="single"/>
        </w:rPr>
      </w:pPr>
      <w:r w:rsidRPr="00477DA7">
        <w:rPr>
          <w:rFonts w:ascii="Arial" w:hAnsi="Arial" w:cs="Arial"/>
          <w:sz w:val="24"/>
          <w:szCs w:val="24"/>
          <w:u w:val="single"/>
        </w:rPr>
        <w:t>Arguments by the parties</w:t>
      </w:r>
    </w:p>
    <w:p w14:paraId="62351185" w14:textId="77777777" w:rsidR="002D339E" w:rsidRDefault="002D339E" w:rsidP="002D339E">
      <w:pPr>
        <w:spacing w:after="0" w:line="360" w:lineRule="auto"/>
        <w:jc w:val="both"/>
        <w:rPr>
          <w:rFonts w:ascii="Arial" w:hAnsi="Arial" w:cs="Arial"/>
          <w:sz w:val="24"/>
          <w:szCs w:val="24"/>
          <w:u w:val="single"/>
        </w:rPr>
      </w:pPr>
    </w:p>
    <w:p w14:paraId="28EDF648" w14:textId="0D2C33B6" w:rsidR="002D339E" w:rsidRPr="00DE5A20" w:rsidRDefault="00DE5A20" w:rsidP="00DE5A20">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726BBE" w:rsidRPr="00DE5A20">
        <w:rPr>
          <w:rFonts w:ascii="Arial" w:hAnsi="Arial" w:cs="Arial"/>
          <w:sz w:val="24"/>
          <w:szCs w:val="24"/>
        </w:rPr>
        <w:t xml:space="preserve">In respect of the points </w:t>
      </w:r>
      <w:r w:rsidR="00726BBE" w:rsidRPr="00DE5A20">
        <w:rPr>
          <w:rFonts w:ascii="Arial" w:hAnsi="Arial" w:cs="Arial"/>
          <w:i/>
          <w:sz w:val="24"/>
          <w:szCs w:val="24"/>
        </w:rPr>
        <w:t xml:space="preserve">in </w:t>
      </w:r>
      <w:proofErr w:type="spellStart"/>
      <w:r w:rsidR="00726BBE" w:rsidRPr="00DE5A20">
        <w:rPr>
          <w:rFonts w:ascii="Arial" w:hAnsi="Arial" w:cs="Arial"/>
          <w:i/>
          <w:sz w:val="24"/>
          <w:szCs w:val="24"/>
        </w:rPr>
        <w:t>limine</w:t>
      </w:r>
      <w:proofErr w:type="spellEnd"/>
      <w:r w:rsidR="00DB7DEB" w:rsidRPr="00DE5A20">
        <w:rPr>
          <w:rFonts w:ascii="Arial" w:hAnsi="Arial" w:cs="Arial"/>
          <w:sz w:val="24"/>
          <w:szCs w:val="24"/>
        </w:rPr>
        <w:t>,</w:t>
      </w:r>
      <w:r w:rsidR="00726BBE" w:rsidRPr="00DE5A20">
        <w:rPr>
          <w:rFonts w:ascii="Arial" w:hAnsi="Arial" w:cs="Arial"/>
          <w:sz w:val="24"/>
          <w:szCs w:val="24"/>
        </w:rPr>
        <w:t xml:space="preserve"> it was argued by the applicant that the fact that the property was attached by the deputy sheriff did not leave her without any property.  She remained the owner of the property until it was transferred with the deputy sheriff only </w:t>
      </w:r>
      <w:r w:rsidR="00580100" w:rsidRPr="00DE5A20">
        <w:rPr>
          <w:rFonts w:ascii="Arial" w:hAnsi="Arial" w:cs="Arial"/>
          <w:sz w:val="24"/>
          <w:szCs w:val="24"/>
        </w:rPr>
        <w:t>the custodian of the process to get it transferred.</w:t>
      </w:r>
      <w:r w:rsidR="00580100" w:rsidRPr="00580100">
        <w:t xml:space="preserve"> </w:t>
      </w:r>
      <w:r w:rsidR="00580100" w:rsidRPr="00DE5A20">
        <w:rPr>
          <w:rFonts w:ascii="Arial" w:hAnsi="Arial" w:cs="Arial"/>
          <w:sz w:val="24"/>
          <w:szCs w:val="24"/>
        </w:rPr>
        <w:t>On that basis alone, the applicant has a direct and substantial interest in the process of the sale in execution of the judgment</w:t>
      </w:r>
      <w:r w:rsidR="002D339E" w:rsidRPr="00DE5A20">
        <w:rPr>
          <w:rFonts w:ascii="Arial" w:hAnsi="Arial" w:cs="Arial"/>
          <w:sz w:val="24"/>
          <w:szCs w:val="24"/>
        </w:rPr>
        <w:t>.</w:t>
      </w:r>
    </w:p>
    <w:p w14:paraId="4C0DEF43" w14:textId="77777777" w:rsidR="002D339E" w:rsidRDefault="002D339E" w:rsidP="002D339E">
      <w:pPr>
        <w:pStyle w:val="ListParagraph"/>
        <w:spacing w:after="0" w:line="360" w:lineRule="auto"/>
        <w:ind w:left="0"/>
        <w:jc w:val="both"/>
        <w:rPr>
          <w:rFonts w:ascii="Arial" w:hAnsi="Arial" w:cs="Arial"/>
          <w:sz w:val="24"/>
          <w:szCs w:val="24"/>
        </w:rPr>
      </w:pPr>
    </w:p>
    <w:p w14:paraId="4DA0C5A4" w14:textId="35F8C552" w:rsidR="002D339E" w:rsidRPr="00DE5A20" w:rsidRDefault="00DE5A20" w:rsidP="00DE5A20">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B756E" w:rsidRPr="00DE5A20">
        <w:rPr>
          <w:rFonts w:ascii="Arial" w:hAnsi="Arial" w:cs="Arial"/>
          <w:sz w:val="24"/>
          <w:szCs w:val="24"/>
        </w:rPr>
        <w:t xml:space="preserve">Regarding the second point </w:t>
      </w:r>
      <w:r w:rsidR="004B756E" w:rsidRPr="00DE5A20">
        <w:rPr>
          <w:rFonts w:ascii="Arial" w:hAnsi="Arial" w:cs="Arial"/>
          <w:i/>
          <w:sz w:val="24"/>
          <w:szCs w:val="24"/>
        </w:rPr>
        <w:t xml:space="preserve">in </w:t>
      </w:r>
      <w:proofErr w:type="spellStart"/>
      <w:r w:rsidR="004B756E" w:rsidRPr="00DE5A20">
        <w:rPr>
          <w:rFonts w:ascii="Arial" w:hAnsi="Arial" w:cs="Arial"/>
          <w:i/>
          <w:sz w:val="24"/>
          <w:szCs w:val="24"/>
        </w:rPr>
        <w:t>limine</w:t>
      </w:r>
      <w:proofErr w:type="spellEnd"/>
      <w:r w:rsidR="004B756E" w:rsidRPr="00DE5A20">
        <w:rPr>
          <w:rFonts w:ascii="Arial" w:hAnsi="Arial" w:cs="Arial"/>
          <w:sz w:val="24"/>
          <w:szCs w:val="24"/>
        </w:rPr>
        <w:t xml:space="preserve">, the reviewability </w:t>
      </w:r>
      <w:r w:rsidR="00DB7DEB" w:rsidRPr="00DE5A20">
        <w:rPr>
          <w:rFonts w:ascii="Arial" w:hAnsi="Arial" w:cs="Arial"/>
          <w:sz w:val="24"/>
          <w:szCs w:val="24"/>
        </w:rPr>
        <w:t xml:space="preserve">of the actions of the deputy </w:t>
      </w:r>
      <w:r w:rsidR="004B756E" w:rsidRPr="00DE5A20">
        <w:rPr>
          <w:rFonts w:ascii="Arial" w:hAnsi="Arial" w:cs="Arial"/>
          <w:sz w:val="24"/>
          <w:szCs w:val="24"/>
        </w:rPr>
        <w:t>sheriff</w:t>
      </w:r>
      <w:r w:rsidR="00DB7DEB" w:rsidRPr="00DE5A20">
        <w:rPr>
          <w:rFonts w:ascii="Arial" w:hAnsi="Arial" w:cs="Arial"/>
          <w:sz w:val="24"/>
          <w:szCs w:val="24"/>
        </w:rPr>
        <w:t>,</w:t>
      </w:r>
      <w:r w:rsidR="004B756E" w:rsidRPr="00DE5A20">
        <w:rPr>
          <w:rFonts w:ascii="Arial" w:hAnsi="Arial" w:cs="Arial"/>
          <w:sz w:val="24"/>
          <w:szCs w:val="24"/>
        </w:rPr>
        <w:t xml:space="preserve"> the applicant argued</w:t>
      </w:r>
      <w:r w:rsidR="00DB7DEB" w:rsidRPr="00DE5A20">
        <w:rPr>
          <w:rFonts w:ascii="Arial" w:hAnsi="Arial" w:cs="Arial"/>
          <w:sz w:val="24"/>
          <w:szCs w:val="24"/>
        </w:rPr>
        <w:t>,</w:t>
      </w:r>
      <w:r w:rsidR="004B756E" w:rsidRPr="00DE5A20">
        <w:rPr>
          <w:rFonts w:ascii="Arial" w:hAnsi="Arial" w:cs="Arial"/>
          <w:sz w:val="24"/>
          <w:szCs w:val="24"/>
        </w:rPr>
        <w:t xml:space="preserve"> it is indeed an administrative action which was performed by the deputy-sheriff when he decided not to cancel the sale for the failure of the buyer to provide the required deposit.  It was further argued that each case must be decided on its own merit</w:t>
      </w:r>
      <w:r w:rsidR="00DB7DEB" w:rsidRPr="00DE5A20">
        <w:rPr>
          <w:rFonts w:ascii="Arial" w:hAnsi="Arial" w:cs="Arial"/>
          <w:sz w:val="24"/>
          <w:szCs w:val="24"/>
        </w:rPr>
        <w:t>s</w:t>
      </w:r>
      <w:r w:rsidR="004B756E" w:rsidRPr="00DE5A20">
        <w:rPr>
          <w:rFonts w:ascii="Arial" w:hAnsi="Arial" w:cs="Arial"/>
          <w:sz w:val="24"/>
          <w:szCs w:val="24"/>
        </w:rPr>
        <w:t xml:space="preserve"> regarding whether it is an administrative action or not which was performed.</w:t>
      </w:r>
    </w:p>
    <w:p w14:paraId="2BCAF86D" w14:textId="77777777" w:rsidR="002D339E" w:rsidRPr="002D339E" w:rsidRDefault="002D339E" w:rsidP="002D339E">
      <w:pPr>
        <w:pStyle w:val="ListParagraph"/>
        <w:rPr>
          <w:rFonts w:ascii="Arial" w:hAnsi="Arial" w:cs="Arial"/>
          <w:sz w:val="24"/>
          <w:szCs w:val="24"/>
        </w:rPr>
      </w:pPr>
    </w:p>
    <w:p w14:paraId="24A92AE4" w14:textId="04A17D2C" w:rsidR="002D339E" w:rsidRPr="00DE5A20" w:rsidRDefault="00DE5A20" w:rsidP="00DE5A20">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A2344" w:rsidRPr="00DE5A20">
        <w:rPr>
          <w:rFonts w:ascii="Arial" w:hAnsi="Arial" w:cs="Arial"/>
          <w:sz w:val="24"/>
          <w:szCs w:val="24"/>
        </w:rPr>
        <w:t>For the respondent</w:t>
      </w:r>
      <w:r w:rsidR="00DB7DEB" w:rsidRPr="00DE5A20">
        <w:rPr>
          <w:rFonts w:ascii="Arial" w:hAnsi="Arial" w:cs="Arial"/>
          <w:sz w:val="24"/>
          <w:szCs w:val="24"/>
        </w:rPr>
        <w:t>,</w:t>
      </w:r>
      <w:r w:rsidR="00AA2344" w:rsidRPr="00DE5A20">
        <w:rPr>
          <w:rFonts w:ascii="Arial" w:hAnsi="Arial" w:cs="Arial"/>
          <w:sz w:val="24"/>
          <w:szCs w:val="24"/>
        </w:rPr>
        <w:t xml:space="preserve"> it was argued that the execution debtor is not a party to the contract of sale concluded between the deputy-sheriff and the purchaser.  Insofar as the debtor may contend that she has a direct and substantial interest in considering or evaluating whether the sale was conducted in accordance with the requirements of the law, such interest if it even exists, is </w:t>
      </w:r>
      <w:r w:rsidR="00DB7DEB" w:rsidRPr="00DE5A20">
        <w:rPr>
          <w:rFonts w:ascii="Arial" w:hAnsi="Arial" w:cs="Arial"/>
          <w:sz w:val="24"/>
          <w:szCs w:val="24"/>
        </w:rPr>
        <w:t>not sufficient.  The interest</w:t>
      </w:r>
      <w:r w:rsidR="00AA2344" w:rsidRPr="00DE5A20">
        <w:rPr>
          <w:rFonts w:ascii="Arial" w:hAnsi="Arial" w:cs="Arial"/>
          <w:sz w:val="24"/>
          <w:szCs w:val="24"/>
        </w:rPr>
        <w:t xml:space="preserve"> that must be shown needs to be direct and substantial interest in the subject matter and in the outcome of the application.</w:t>
      </w:r>
      <w:r w:rsidR="00AA2344">
        <w:rPr>
          <w:rStyle w:val="FootnoteReference"/>
          <w:rFonts w:ascii="Arial" w:hAnsi="Arial" w:cs="Arial"/>
          <w:sz w:val="24"/>
          <w:szCs w:val="24"/>
        </w:rPr>
        <w:footnoteReference w:id="1"/>
      </w:r>
    </w:p>
    <w:p w14:paraId="08DF36A3" w14:textId="77777777" w:rsidR="002D339E" w:rsidRPr="002D339E" w:rsidRDefault="002D339E" w:rsidP="002D339E">
      <w:pPr>
        <w:pStyle w:val="ListParagraph"/>
        <w:rPr>
          <w:rFonts w:ascii="Arial" w:hAnsi="Arial" w:cs="Arial"/>
          <w:sz w:val="24"/>
          <w:szCs w:val="24"/>
        </w:rPr>
      </w:pPr>
    </w:p>
    <w:p w14:paraId="763FBB77" w14:textId="61D98B17" w:rsidR="002D339E" w:rsidRPr="00DE5A20" w:rsidRDefault="00DE5A20" w:rsidP="00DE5A2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A2344" w:rsidRPr="00DE5A20">
        <w:rPr>
          <w:rFonts w:ascii="Arial" w:hAnsi="Arial" w:cs="Arial"/>
          <w:sz w:val="24"/>
          <w:szCs w:val="24"/>
        </w:rPr>
        <w:t xml:space="preserve">Regarding the second point </w:t>
      </w:r>
      <w:r w:rsidR="00AA2344" w:rsidRPr="00DE5A20">
        <w:rPr>
          <w:rFonts w:ascii="Arial" w:hAnsi="Arial" w:cs="Arial"/>
          <w:i/>
          <w:sz w:val="24"/>
          <w:szCs w:val="24"/>
        </w:rPr>
        <w:t xml:space="preserve">in </w:t>
      </w:r>
      <w:proofErr w:type="spellStart"/>
      <w:r w:rsidR="00AA2344" w:rsidRPr="00DE5A20">
        <w:rPr>
          <w:rFonts w:ascii="Arial" w:hAnsi="Arial" w:cs="Arial"/>
          <w:i/>
          <w:sz w:val="24"/>
          <w:szCs w:val="24"/>
        </w:rPr>
        <w:t>limine</w:t>
      </w:r>
      <w:proofErr w:type="spellEnd"/>
      <w:r w:rsidR="00DB7DEB" w:rsidRPr="00DE5A20">
        <w:rPr>
          <w:rFonts w:ascii="Arial" w:hAnsi="Arial" w:cs="Arial"/>
          <w:sz w:val="24"/>
          <w:szCs w:val="24"/>
        </w:rPr>
        <w:t>,</w:t>
      </w:r>
      <w:r w:rsidR="00AA2344" w:rsidRPr="00DE5A20">
        <w:rPr>
          <w:rFonts w:ascii="Arial" w:hAnsi="Arial" w:cs="Arial"/>
          <w:sz w:val="24"/>
          <w:szCs w:val="24"/>
        </w:rPr>
        <w:t xml:space="preserve"> it was argued that the applicant is clearly not reviewing the decision or proceedings of an inferior court or tribunal and therefore to meet the r</w:t>
      </w:r>
      <w:r w:rsidR="002D339E" w:rsidRPr="00DE5A20">
        <w:rPr>
          <w:rFonts w:ascii="Arial" w:hAnsi="Arial" w:cs="Arial"/>
          <w:sz w:val="24"/>
          <w:szCs w:val="24"/>
        </w:rPr>
        <w:t>eview requirements under s</w:t>
      </w:r>
      <w:r w:rsidR="00AA2344" w:rsidRPr="00DE5A20">
        <w:rPr>
          <w:rFonts w:ascii="Arial" w:hAnsi="Arial" w:cs="Arial"/>
          <w:sz w:val="24"/>
          <w:szCs w:val="24"/>
        </w:rPr>
        <w:t xml:space="preserve"> 76(1) must be reviewing the decision or proceedings of an administrative body or o</w:t>
      </w:r>
      <w:r w:rsidR="00DB7DEB" w:rsidRPr="00DE5A20">
        <w:rPr>
          <w:rFonts w:ascii="Arial" w:hAnsi="Arial" w:cs="Arial"/>
          <w:sz w:val="24"/>
          <w:szCs w:val="24"/>
        </w:rPr>
        <w:t xml:space="preserve">fficial. </w:t>
      </w:r>
      <w:r w:rsidR="0000653C" w:rsidRPr="00DE5A20">
        <w:rPr>
          <w:rFonts w:ascii="Arial" w:hAnsi="Arial" w:cs="Arial"/>
          <w:sz w:val="24"/>
          <w:szCs w:val="24"/>
        </w:rPr>
        <w:t>The question</w:t>
      </w:r>
      <w:r w:rsidR="006540AB" w:rsidRPr="00DE5A20">
        <w:rPr>
          <w:rFonts w:ascii="Arial" w:hAnsi="Arial" w:cs="Arial"/>
          <w:sz w:val="24"/>
          <w:szCs w:val="24"/>
        </w:rPr>
        <w:t>,</w:t>
      </w:r>
      <w:r w:rsidR="0000653C" w:rsidRPr="00DE5A20">
        <w:rPr>
          <w:rFonts w:ascii="Arial" w:hAnsi="Arial" w:cs="Arial"/>
          <w:sz w:val="24"/>
          <w:szCs w:val="24"/>
        </w:rPr>
        <w:t xml:space="preserve"> therefore</w:t>
      </w:r>
      <w:r w:rsidR="006540AB" w:rsidRPr="00DE5A20">
        <w:rPr>
          <w:rFonts w:ascii="Arial" w:hAnsi="Arial" w:cs="Arial"/>
          <w:sz w:val="24"/>
          <w:szCs w:val="24"/>
        </w:rPr>
        <w:t>,</w:t>
      </w:r>
      <w:r w:rsidR="0000653C" w:rsidRPr="00DE5A20">
        <w:rPr>
          <w:rFonts w:ascii="Arial" w:hAnsi="Arial" w:cs="Arial"/>
          <w:sz w:val="24"/>
          <w:szCs w:val="24"/>
        </w:rPr>
        <w:t xml:space="preserve"> is whether the deputy-sheriff is an administrative body or administrative officer and for the res</w:t>
      </w:r>
      <w:r w:rsidR="006540AB" w:rsidRPr="00DE5A20">
        <w:rPr>
          <w:rFonts w:ascii="Arial" w:hAnsi="Arial" w:cs="Arial"/>
          <w:sz w:val="24"/>
          <w:szCs w:val="24"/>
        </w:rPr>
        <w:t>pondents it was argued that the</w:t>
      </w:r>
      <w:r w:rsidR="0000653C" w:rsidRPr="00DE5A20">
        <w:rPr>
          <w:rFonts w:ascii="Arial" w:hAnsi="Arial" w:cs="Arial"/>
          <w:sz w:val="24"/>
          <w:szCs w:val="24"/>
        </w:rPr>
        <w:t xml:space="preserve"> answer is no.</w:t>
      </w:r>
    </w:p>
    <w:p w14:paraId="0607C38A" w14:textId="77777777" w:rsidR="002D339E" w:rsidRPr="002D339E" w:rsidRDefault="002D339E" w:rsidP="002D339E">
      <w:pPr>
        <w:pStyle w:val="ListParagraph"/>
        <w:rPr>
          <w:rFonts w:ascii="Arial" w:hAnsi="Arial" w:cs="Arial"/>
          <w:sz w:val="24"/>
          <w:szCs w:val="24"/>
        </w:rPr>
      </w:pPr>
    </w:p>
    <w:p w14:paraId="72E5299F" w14:textId="6B457036"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00653C" w:rsidRPr="00DE5A20">
        <w:rPr>
          <w:rFonts w:ascii="Arial" w:hAnsi="Arial" w:cs="Arial"/>
          <w:sz w:val="24"/>
          <w:szCs w:val="24"/>
        </w:rPr>
        <w:t xml:space="preserve">The court was referred to </w:t>
      </w:r>
      <w:r w:rsidR="0000653C" w:rsidRPr="00DE5A20">
        <w:rPr>
          <w:rFonts w:ascii="Arial" w:hAnsi="Arial" w:cs="Arial"/>
          <w:i/>
          <w:sz w:val="24"/>
          <w:szCs w:val="24"/>
        </w:rPr>
        <w:t>New Era Investments (Pty) Ltd v Roads Authority and Others</w:t>
      </w:r>
      <w:r w:rsidR="0000653C">
        <w:rPr>
          <w:rStyle w:val="FootnoteReference"/>
          <w:rFonts w:ascii="Arial" w:hAnsi="Arial" w:cs="Arial"/>
          <w:i/>
          <w:sz w:val="24"/>
          <w:szCs w:val="24"/>
        </w:rPr>
        <w:footnoteReference w:id="2"/>
      </w:r>
      <w:r w:rsidR="0000653C" w:rsidRPr="00DE5A20">
        <w:rPr>
          <w:rFonts w:ascii="Arial" w:hAnsi="Arial" w:cs="Arial"/>
          <w:i/>
          <w:sz w:val="24"/>
          <w:szCs w:val="24"/>
        </w:rPr>
        <w:t xml:space="preserve"> </w:t>
      </w:r>
      <w:r w:rsidR="0000653C" w:rsidRPr="00DE5A20">
        <w:rPr>
          <w:rFonts w:ascii="Arial" w:hAnsi="Arial" w:cs="Arial"/>
          <w:sz w:val="24"/>
          <w:szCs w:val="24"/>
        </w:rPr>
        <w:t>which explains that there are basically four types of reviews.  These are explained as follows:</w:t>
      </w:r>
    </w:p>
    <w:p w14:paraId="5C7AA435" w14:textId="77777777" w:rsidR="002D339E" w:rsidRPr="002D339E" w:rsidRDefault="002D339E" w:rsidP="002D339E">
      <w:pPr>
        <w:pStyle w:val="ListParagraph"/>
        <w:spacing w:after="0" w:line="360" w:lineRule="auto"/>
        <w:ind w:left="0"/>
        <w:jc w:val="both"/>
        <w:rPr>
          <w:rFonts w:ascii="Arial" w:hAnsi="Arial" w:cs="Arial"/>
          <w:sz w:val="24"/>
          <w:szCs w:val="24"/>
        </w:rPr>
      </w:pPr>
    </w:p>
    <w:p w14:paraId="67FA7160" w14:textId="77777777" w:rsidR="0000653C" w:rsidRDefault="0000653C" w:rsidP="0017241D">
      <w:pPr>
        <w:spacing w:after="0" w:line="360" w:lineRule="auto"/>
        <w:jc w:val="both"/>
        <w:rPr>
          <w:rFonts w:ascii="Arial" w:hAnsi="Arial" w:cs="Arial"/>
          <w:sz w:val="24"/>
          <w:szCs w:val="24"/>
        </w:rPr>
      </w:pPr>
      <w:r>
        <w:rPr>
          <w:rFonts w:ascii="Arial" w:hAnsi="Arial" w:cs="Arial"/>
          <w:sz w:val="24"/>
          <w:szCs w:val="24"/>
        </w:rPr>
        <w:tab/>
        <w:t>‘</w:t>
      </w:r>
      <w:r w:rsidRPr="0000653C">
        <w:rPr>
          <w:rFonts w:ascii="Arial" w:hAnsi="Arial" w:cs="Arial"/>
        </w:rPr>
        <w:t>In our law, broadly speaking, there are</w:t>
      </w:r>
      <w:r>
        <w:rPr>
          <w:rFonts w:ascii="Arial" w:hAnsi="Arial" w:cs="Arial"/>
        </w:rPr>
        <w:t xml:space="preserve"> four distinct categories of</w:t>
      </w:r>
      <w:r w:rsidRPr="0000653C">
        <w:rPr>
          <w:rFonts w:ascii="Arial" w:hAnsi="Arial" w:cs="Arial"/>
        </w:rPr>
        <w:t xml:space="preserve"> judicial review. The first type of review relates to irregularities and illegalities in the proceedings before a lower court (category 1 review). Section 20 of the High Court Act 16 of 1990 contemplates precisely this type of review. The second category is meant to control proceedings before tribunals (and inferior courts) (c</w:t>
      </w:r>
      <w:r>
        <w:rPr>
          <w:rFonts w:ascii="Arial" w:hAnsi="Arial" w:cs="Arial"/>
        </w:rPr>
        <w:t xml:space="preserve">ategory 2 review). The </w:t>
      </w:r>
      <w:r w:rsidR="002D339E">
        <w:rPr>
          <w:rFonts w:ascii="Arial" w:hAnsi="Arial" w:cs="Arial"/>
        </w:rPr>
        <w:t xml:space="preserve">third </w:t>
      </w:r>
      <w:r w:rsidR="002D339E" w:rsidRPr="0000653C">
        <w:rPr>
          <w:rFonts w:ascii="Arial" w:hAnsi="Arial" w:cs="Arial"/>
        </w:rPr>
        <w:t>category</w:t>
      </w:r>
      <w:r w:rsidRPr="0000653C">
        <w:rPr>
          <w:rFonts w:ascii="Arial" w:hAnsi="Arial" w:cs="Arial"/>
        </w:rPr>
        <w:t xml:space="preserve"> is meant to control acts of administrative bodies and administrative officials (category 3 review). The fourth (and last) category comprises reviews provided by legislation (category 4 review). The present is a category 3 review therefore art 18 of the Namibian Constitution applies. The art 18 principles embrace the common-law principles. They also broaden its ambit to include, for instance, the concept of reasonableness as a ground for review</w:t>
      </w:r>
      <w:r w:rsidRPr="0000653C">
        <w:rPr>
          <w:rFonts w:ascii="Arial" w:hAnsi="Arial" w:cs="Arial"/>
          <w:sz w:val="24"/>
          <w:szCs w:val="24"/>
        </w:rPr>
        <w:t>.</w:t>
      </w:r>
      <w:r>
        <w:rPr>
          <w:rFonts w:ascii="Arial" w:hAnsi="Arial" w:cs="Arial"/>
          <w:sz w:val="24"/>
          <w:szCs w:val="24"/>
        </w:rPr>
        <w:t>’</w:t>
      </w:r>
    </w:p>
    <w:p w14:paraId="0DDC4DD7" w14:textId="77777777" w:rsidR="0017241D" w:rsidRDefault="0017241D" w:rsidP="0017241D">
      <w:pPr>
        <w:spacing w:after="0" w:line="360" w:lineRule="auto"/>
        <w:jc w:val="both"/>
        <w:rPr>
          <w:rFonts w:ascii="Arial" w:hAnsi="Arial" w:cs="Arial"/>
          <w:sz w:val="24"/>
          <w:szCs w:val="24"/>
        </w:rPr>
      </w:pPr>
    </w:p>
    <w:p w14:paraId="57A2DC0A" w14:textId="4C749E9F" w:rsidR="0000653C" w:rsidRPr="00DE5A20" w:rsidRDefault="00DE5A20" w:rsidP="00DE5A2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0653C" w:rsidRPr="00DE5A20">
        <w:rPr>
          <w:rFonts w:ascii="Arial" w:hAnsi="Arial" w:cs="Arial"/>
          <w:sz w:val="24"/>
          <w:szCs w:val="24"/>
        </w:rPr>
        <w:t>It w</w:t>
      </w:r>
      <w:r w:rsidR="002D339E" w:rsidRPr="00DE5A20">
        <w:rPr>
          <w:rFonts w:ascii="Arial" w:hAnsi="Arial" w:cs="Arial"/>
          <w:sz w:val="24"/>
          <w:szCs w:val="24"/>
        </w:rPr>
        <w:t>as argued that the review sought</w:t>
      </w:r>
      <w:r w:rsidR="0000653C" w:rsidRPr="00DE5A20">
        <w:rPr>
          <w:rFonts w:ascii="Arial" w:hAnsi="Arial" w:cs="Arial"/>
          <w:sz w:val="24"/>
          <w:szCs w:val="24"/>
        </w:rPr>
        <w:t xml:space="preserve"> in these proceedings does not meet any of these four categories. </w:t>
      </w:r>
    </w:p>
    <w:p w14:paraId="1DE0488C" w14:textId="77777777" w:rsidR="002D339E" w:rsidRPr="002D339E" w:rsidRDefault="002D339E" w:rsidP="002D339E">
      <w:pPr>
        <w:pStyle w:val="ListParagraph"/>
        <w:spacing w:after="0" w:line="360" w:lineRule="auto"/>
        <w:ind w:left="0"/>
        <w:jc w:val="both"/>
        <w:rPr>
          <w:rFonts w:ascii="Arial" w:hAnsi="Arial" w:cs="Arial"/>
          <w:sz w:val="24"/>
          <w:szCs w:val="24"/>
        </w:rPr>
      </w:pPr>
    </w:p>
    <w:p w14:paraId="404BDF54" w14:textId="77777777" w:rsidR="00184C3A" w:rsidRPr="0091717D" w:rsidRDefault="0091717D" w:rsidP="00184C3A">
      <w:pPr>
        <w:spacing w:line="360" w:lineRule="auto"/>
        <w:jc w:val="both"/>
        <w:rPr>
          <w:rFonts w:ascii="Arial" w:hAnsi="Arial" w:cs="Arial"/>
          <w:sz w:val="24"/>
          <w:szCs w:val="24"/>
          <w:u w:val="single"/>
        </w:rPr>
      </w:pPr>
      <w:r w:rsidRPr="0091717D">
        <w:rPr>
          <w:rFonts w:ascii="Arial" w:hAnsi="Arial" w:cs="Arial"/>
          <w:sz w:val="24"/>
          <w:szCs w:val="24"/>
          <w:u w:val="single"/>
        </w:rPr>
        <w:t xml:space="preserve">Points </w:t>
      </w:r>
      <w:r w:rsidRPr="001238F3">
        <w:rPr>
          <w:rFonts w:ascii="Arial" w:hAnsi="Arial" w:cs="Arial"/>
          <w:i/>
          <w:sz w:val="24"/>
          <w:szCs w:val="24"/>
          <w:u w:val="single"/>
        </w:rPr>
        <w:t xml:space="preserve">in </w:t>
      </w:r>
      <w:proofErr w:type="spellStart"/>
      <w:r w:rsidRPr="001238F3">
        <w:rPr>
          <w:rFonts w:ascii="Arial" w:hAnsi="Arial" w:cs="Arial"/>
          <w:i/>
          <w:sz w:val="24"/>
          <w:szCs w:val="24"/>
          <w:u w:val="single"/>
        </w:rPr>
        <w:t>limine</w:t>
      </w:r>
      <w:proofErr w:type="spellEnd"/>
      <w:r w:rsidRPr="0091717D">
        <w:rPr>
          <w:rFonts w:ascii="Arial" w:hAnsi="Arial" w:cs="Arial"/>
          <w:sz w:val="24"/>
          <w:szCs w:val="24"/>
          <w:u w:val="single"/>
        </w:rPr>
        <w:t xml:space="preserve"> – legal considerations</w:t>
      </w:r>
    </w:p>
    <w:p w14:paraId="39C36365" w14:textId="528EAD89" w:rsidR="002D339E" w:rsidRPr="00DE5A20" w:rsidRDefault="00DE5A20" w:rsidP="00DE5A2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1717D" w:rsidRPr="00DE5A20">
        <w:rPr>
          <w:rFonts w:ascii="Arial" w:hAnsi="Arial" w:cs="Arial"/>
          <w:sz w:val="24"/>
          <w:szCs w:val="24"/>
        </w:rPr>
        <w:t xml:space="preserve">In </w:t>
      </w:r>
      <w:r w:rsidR="0091717D" w:rsidRPr="00DE5A20">
        <w:rPr>
          <w:rFonts w:ascii="Arial" w:hAnsi="Arial" w:cs="Arial"/>
          <w:i/>
          <w:sz w:val="24"/>
          <w:szCs w:val="24"/>
        </w:rPr>
        <w:t>Jaftha v Schoeman &amp; others; Van Rooyen v Stoltz &amp; others</w:t>
      </w:r>
      <w:r w:rsidR="0091717D">
        <w:rPr>
          <w:rStyle w:val="FootnoteReference"/>
          <w:rFonts w:ascii="Arial" w:hAnsi="Arial" w:cs="Arial"/>
          <w:sz w:val="24"/>
          <w:szCs w:val="24"/>
        </w:rPr>
        <w:footnoteReference w:id="3"/>
      </w:r>
      <w:r w:rsidR="006540AB" w:rsidRPr="00DE5A20">
        <w:rPr>
          <w:rFonts w:ascii="Arial" w:hAnsi="Arial" w:cs="Arial"/>
          <w:sz w:val="24"/>
          <w:szCs w:val="24"/>
        </w:rPr>
        <w:t>,</w:t>
      </w:r>
      <w:r w:rsidR="0091717D" w:rsidRPr="00DE5A20">
        <w:rPr>
          <w:rFonts w:ascii="Arial" w:hAnsi="Arial" w:cs="Arial"/>
          <w:sz w:val="24"/>
          <w:szCs w:val="24"/>
        </w:rPr>
        <w:t xml:space="preserve"> para [45] and [46]: </w:t>
      </w:r>
    </w:p>
    <w:p w14:paraId="17C8F748" w14:textId="77777777" w:rsidR="002D339E" w:rsidRPr="002D339E" w:rsidRDefault="002D339E" w:rsidP="002D339E">
      <w:pPr>
        <w:pStyle w:val="ListParagraph"/>
        <w:spacing w:after="0" w:line="360" w:lineRule="auto"/>
        <w:ind w:left="0"/>
        <w:jc w:val="both"/>
        <w:rPr>
          <w:rFonts w:ascii="Arial" w:hAnsi="Arial" w:cs="Arial"/>
          <w:sz w:val="24"/>
          <w:szCs w:val="24"/>
        </w:rPr>
      </w:pPr>
    </w:p>
    <w:p w14:paraId="13C3339D" w14:textId="77777777" w:rsidR="0091717D" w:rsidRPr="0091717D" w:rsidRDefault="0091717D" w:rsidP="002D339E">
      <w:pPr>
        <w:spacing w:line="360" w:lineRule="auto"/>
        <w:ind w:firstLine="720"/>
        <w:jc w:val="both"/>
        <w:rPr>
          <w:rFonts w:ascii="Arial" w:hAnsi="Arial" w:cs="Arial"/>
        </w:rPr>
      </w:pPr>
      <w:r w:rsidRPr="0091717D">
        <w:rPr>
          <w:rFonts w:ascii="Arial" w:hAnsi="Arial" w:cs="Arial"/>
        </w:rPr>
        <w:t xml:space="preserve"> </w:t>
      </w:r>
      <w:r>
        <w:rPr>
          <w:rFonts w:ascii="Arial" w:hAnsi="Arial" w:cs="Arial"/>
        </w:rPr>
        <w:t>‘</w:t>
      </w:r>
      <w:r w:rsidRPr="0091717D">
        <w:rPr>
          <w:rFonts w:ascii="Arial" w:hAnsi="Arial" w:cs="Arial"/>
        </w:rPr>
        <w:t xml:space="preserve">[45] An attachment brings about a </w:t>
      </w:r>
      <w:r w:rsidRPr="001238F3">
        <w:rPr>
          <w:rFonts w:ascii="Arial" w:hAnsi="Arial" w:cs="Arial"/>
          <w:i/>
        </w:rPr>
        <w:t xml:space="preserve">pignus </w:t>
      </w:r>
      <w:proofErr w:type="spellStart"/>
      <w:r w:rsidRPr="001238F3">
        <w:rPr>
          <w:rFonts w:ascii="Arial" w:hAnsi="Arial" w:cs="Arial"/>
          <w:i/>
        </w:rPr>
        <w:t>judiciale</w:t>
      </w:r>
      <w:proofErr w:type="spellEnd"/>
      <w:r w:rsidRPr="0091717D">
        <w:rPr>
          <w:rFonts w:ascii="Arial" w:hAnsi="Arial" w:cs="Arial"/>
        </w:rPr>
        <w:t xml:space="preserve"> which does not affect the judgment debtor’s dominium in the attached property but merely places it in the hands or under the custody of the sheriff. </w:t>
      </w:r>
    </w:p>
    <w:p w14:paraId="429FD930" w14:textId="77777777" w:rsidR="002D339E" w:rsidRDefault="0091717D" w:rsidP="002D339E">
      <w:pPr>
        <w:spacing w:after="0" w:line="360" w:lineRule="auto"/>
        <w:jc w:val="both"/>
        <w:rPr>
          <w:rFonts w:ascii="Arial" w:hAnsi="Arial" w:cs="Arial"/>
        </w:rPr>
      </w:pPr>
      <w:r w:rsidRPr="0091717D">
        <w:rPr>
          <w:rFonts w:ascii="Arial" w:hAnsi="Arial" w:cs="Arial"/>
        </w:rPr>
        <w:t>[46] It is clear from the above that until an immovable property that has been sold in execution has been transferred into the name of the purchaser, the judgment debtor’s ownership therein remains undisturbed as does his or her right, qua owner, to the use thereof.</w:t>
      </w:r>
      <w:r>
        <w:rPr>
          <w:rFonts w:ascii="Arial" w:hAnsi="Arial" w:cs="Arial"/>
        </w:rPr>
        <w:t>’</w:t>
      </w:r>
    </w:p>
    <w:p w14:paraId="095BE766" w14:textId="77777777" w:rsidR="002D339E" w:rsidRPr="002D339E" w:rsidRDefault="002D339E" w:rsidP="002D339E">
      <w:pPr>
        <w:spacing w:after="0" w:line="360" w:lineRule="auto"/>
        <w:jc w:val="both"/>
        <w:rPr>
          <w:rFonts w:ascii="Arial" w:hAnsi="Arial" w:cs="Arial"/>
        </w:rPr>
      </w:pPr>
    </w:p>
    <w:p w14:paraId="25C8E92E" w14:textId="166138AB" w:rsidR="001238F3" w:rsidRPr="00DE5A20" w:rsidRDefault="00DE5A20" w:rsidP="00DE5A20">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12334" w:rsidRPr="00DE5A20">
        <w:rPr>
          <w:rFonts w:ascii="Arial" w:hAnsi="Arial" w:cs="Arial"/>
          <w:sz w:val="24"/>
          <w:szCs w:val="24"/>
        </w:rPr>
        <w:t xml:space="preserve">In </w:t>
      </w:r>
      <w:proofErr w:type="spellStart"/>
      <w:r w:rsidR="00812334" w:rsidRPr="00DE5A20">
        <w:rPr>
          <w:rFonts w:ascii="Arial" w:hAnsi="Arial" w:cs="Arial"/>
          <w:i/>
          <w:sz w:val="24"/>
          <w:szCs w:val="24"/>
        </w:rPr>
        <w:t>Syfrets</w:t>
      </w:r>
      <w:proofErr w:type="spellEnd"/>
      <w:r w:rsidR="00812334" w:rsidRPr="00DE5A20">
        <w:rPr>
          <w:rFonts w:ascii="Arial" w:hAnsi="Arial" w:cs="Arial"/>
          <w:i/>
          <w:sz w:val="24"/>
          <w:szCs w:val="24"/>
        </w:rPr>
        <w:t xml:space="preserve"> Bank Ltd and Others v Sheriff of the Supreme Court</w:t>
      </w:r>
      <w:r w:rsidR="00A435AF">
        <w:rPr>
          <w:rStyle w:val="FootnoteReference"/>
          <w:rFonts w:ascii="Arial" w:hAnsi="Arial" w:cs="Arial"/>
          <w:i/>
          <w:sz w:val="24"/>
          <w:szCs w:val="24"/>
        </w:rPr>
        <w:footnoteReference w:id="4"/>
      </w:r>
      <w:r w:rsidR="00812334" w:rsidRPr="00DE5A20">
        <w:rPr>
          <w:rFonts w:ascii="Arial" w:hAnsi="Arial" w:cs="Arial"/>
          <w:sz w:val="24"/>
          <w:szCs w:val="24"/>
        </w:rPr>
        <w:t xml:space="preserve"> the following was commented in the context of an insolvent estate, but nonetheless equally app</w:t>
      </w:r>
      <w:r w:rsidR="00477660" w:rsidRPr="00DE5A20">
        <w:rPr>
          <w:rFonts w:ascii="Arial" w:hAnsi="Arial" w:cs="Arial"/>
          <w:sz w:val="24"/>
          <w:szCs w:val="24"/>
        </w:rPr>
        <w:t xml:space="preserve">licable in the instant matter: </w:t>
      </w:r>
    </w:p>
    <w:p w14:paraId="27A65B3C" w14:textId="77777777" w:rsidR="001238F3" w:rsidRDefault="001238F3" w:rsidP="001238F3">
      <w:pPr>
        <w:pStyle w:val="ListParagraph"/>
        <w:spacing w:after="0" w:line="360" w:lineRule="auto"/>
        <w:ind w:left="0"/>
        <w:jc w:val="both"/>
        <w:rPr>
          <w:rFonts w:ascii="Arial" w:hAnsi="Arial" w:cs="Arial"/>
          <w:sz w:val="24"/>
          <w:szCs w:val="24"/>
        </w:rPr>
      </w:pPr>
    </w:p>
    <w:p w14:paraId="3406D840" w14:textId="77777777" w:rsidR="00477660" w:rsidRDefault="00477660" w:rsidP="001238F3">
      <w:pPr>
        <w:pStyle w:val="ListParagraph"/>
        <w:spacing w:after="0" w:line="360" w:lineRule="auto"/>
        <w:ind w:left="0" w:firstLine="720"/>
        <w:jc w:val="both"/>
        <w:rPr>
          <w:rFonts w:ascii="Arial" w:hAnsi="Arial" w:cs="Arial"/>
          <w:sz w:val="24"/>
          <w:szCs w:val="24"/>
        </w:rPr>
      </w:pPr>
      <w:r w:rsidRPr="001238F3">
        <w:rPr>
          <w:rFonts w:ascii="Arial" w:hAnsi="Arial" w:cs="Arial"/>
        </w:rPr>
        <w:t>‘</w:t>
      </w:r>
      <w:r w:rsidR="00812334" w:rsidRPr="001238F3">
        <w:rPr>
          <w:rFonts w:ascii="Arial" w:hAnsi="Arial" w:cs="Arial"/>
        </w:rPr>
        <w:t xml:space="preserve">An arrest effected on property in execution of a judgment creates a </w:t>
      </w:r>
      <w:r w:rsidR="00812334" w:rsidRPr="001238F3">
        <w:rPr>
          <w:rFonts w:ascii="Arial" w:hAnsi="Arial" w:cs="Arial"/>
          <w:i/>
        </w:rPr>
        <w:t>pignus praetorium</w:t>
      </w:r>
      <w:r w:rsidR="00812334" w:rsidRPr="001238F3">
        <w:rPr>
          <w:rFonts w:ascii="Arial" w:hAnsi="Arial" w:cs="Arial"/>
        </w:rPr>
        <w:t xml:space="preserve"> or so to speak more correctly, a </w:t>
      </w:r>
      <w:r w:rsidR="00812334" w:rsidRPr="001238F3">
        <w:rPr>
          <w:rFonts w:ascii="Arial" w:hAnsi="Arial" w:cs="Arial"/>
          <w:i/>
        </w:rPr>
        <w:t xml:space="preserve">pignus </w:t>
      </w:r>
      <w:proofErr w:type="spellStart"/>
      <w:r w:rsidR="00B84436" w:rsidRPr="001238F3">
        <w:rPr>
          <w:rFonts w:ascii="Arial" w:hAnsi="Arial" w:cs="Arial"/>
          <w:i/>
        </w:rPr>
        <w:t>judiciale</w:t>
      </w:r>
      <w:proofErr w:type="spellEnd"/>
      <w:r w:rsidR="00B84436" w:rsidRPr="001238F3">
        <w:rPr>
          <w:rFonts w:ascii="Arial" w:hAnsi="Arial" w:cs="Arial"/>
        </w:rPr>
        <w:t>, over</w:t>
      </w:r>
      <w:r w:rsidR="00812334" w:rsidRPr="001238F3">
        <w:rPr>
          <w:rFonts w:ascii="Arial" w:hAnsi="Arial" w:cs="Arial"/>
        </w:rPr>
        <w:t xml:space="preserve"> such property. The effect of such a judicial arrest is that the good</w:t>
      </w:r>
      <w:r w:rsidR="00B84436" w:rsidRPr="001238F3">
        <w:rPr>
          <w:rFonts w:ascii="Arial" w:hAnsi="Arial" w:cs="Arial"/>
        </w:rPr>
        <w:t xml:space="preserve">s attached are thereby placed in </w:t>
      </w:r>
      <w:r w:rsidR="00812334" w:rsidRPr="001238F3">
        <w:rPr>
          <w:rFonts w:ascii="Arial" w:hAnsi="Arial" w:cs="Arial"/>
        </w:rPr>
        <w:t>the hands or custody of the officer of the Court. They pass out of the estate of the judgment debtor, so that in the event of the debtor’s insolvency</w:t>
      </w:r>
      <w:r w:rsidR="006540AB" w:rsidRPr="001238F3">
        <w:rPr>
          <w:rFonts w:ascii="Arial" w:hAnsi="Arial" w:cs="Arial"/>
        </w:rPr>
        <w:t xml:space="preserve">, </w:t>
      </w:r>
      <w:r w:rsidR="00812334" w:rsidRPr="001238F3">
        <w:rPr>
          <w:rFonts w:ascii="Arial" w:hAnsi="Arial" w:cs="Arial"/>
        </w:rPr>
        <w:t>the curator of the latter’s estate cannot claim to have the property attached delivered up to him to be dealt with in the distribu</w:t>
      </w:r>
      <w:r w:rsidR="00A435AF" w:rsidRPr="001238F3">
        <w:rPr>
          <w:rFonts w:ascii="Arial" w:hAnsi="Arial" w:cs="Arial"/>
        </w:rPr>
        <w:t>tion of the insolvent’s estate.</w:t>
      </w:r>
      <w:r w:rsidR="00812334" w:rsidRPr="001238F3">
        <w:rPr>
          <w:rFonts w:ascii="Arial" w:hAnsi="Arial" w:cs="Arial"/>
        </w:rPr>
        <w:t xml:space="preserve"> But</w:t>
      </w:r>
      <w:r w:rsidR="006540AB" w:rsidRPr="001238F3">
        <w:rPr>
          <w:rFonts w:ascii="Arial" w:hAnsi="Arial" w:cs="Arial"/>
        </w:rPr>
        <w:t>,</w:t>
      </w:r>
      <w:r w:rsidR="00812334" w:rsidRPr="001238F3">
        <w:rPr>
          <w:rFonts w:ascii="Arial" w:hAnsi="Arial" w:cs="Arial"/>
        </w:rPr>
        <w:t xml:space="preserve"> although the effect of a </w:t>
      </w:r>
      <w:r w:rsidR="00812334" w:rsidRPr="001238F3">
        <w:rPr>
          <w:rFonts w:ascii="Arial" w:hAnsi="Arial" w:cs="Arial"/>
          <w:i/>
        </w:rPr>
        <w:t xml:space="preserve">pignus </w:t>
      </w:r>
      <w:proofErr w:type="spellStart"/>
      <w:r w:rsidR="00812334" w:rsidRPr="001238F3">
        <w:rPr>
          <w:rFonts w:ascii="Arial" w:hAnsi="Arial" w:cs="Arial"/>
          <w:i/>
        </w:rPr>
        <w:t>judiciale</w:t>
      </w:r>
      <w:proofErr w:type="spellEnd"/>
      <w:r w:rsidR="00812334" w:rsidRPr="001238F3">
        <w:rPr>
          <w:rFonts w:ascii="Arial" w:hAnsi="Arial" w:cs="Arial"/>
        </w:rPr>
        <w:t xml:space="preserve"> is that the control of the property arrested in execution passes from judgement debtor, and therefore on his insolvency supervening does not come under the administration of the curator of the insolvent estate, the dominium remains in the debtor, who can, up to the last moment before actual sale, redeem his attached property: that is to say, the property subject to the </w:t>
      </w:r>
      <w:r w:rsidR="00812334" w:rsidRPr="001238F3">
        <w:rPr>
          <w:rFonts w:ascii="Arial" w:hAnsi="Arial" w:cs="Arial"/>
          <w:i/>
        </w:rPr>
        <w:t xml:space="preserve">pignus </w:t>
      </w:r>
      <w:proofErr w:type="spellStart"/>
      <w:r w:rsidR="00812334" w:rsidRPr="001238F3">
        <w:rPr>
          <w:rFonts w:ascii="Arial" w:hAnsi="Arial" w:cs="Arial"/>
          <w:i/>
        </w:rPr>
        <w:t>judiciale</w:t>
      </w:r>
      <w:proofErr w:type="spellEnd"/>
      <w:r w:rsidR="00812334" w:rsidRPr="001238F3">
        <w:rPr>
          <w:rFonts w:ascii="Arial" w:hAnsi="Arial" w:cs="Arial"/>
        </w:rPr>
        <w:t>, for while the pignus lasts he remains the owner of the pledge (</w:t>
      </w:r>
      <w:r w:rsidR="00812334" w:rsidRPr="001238F3">
        <w:rPr>
          <w:rFonts w:ascii="Arial" w:hAnsi="Arial" w:cs="Arial"/>
          <w:i/>
        </w:rPr>
        <w:t xml:space="preserve">dominus </w:t>
      </w:r>
      <w:proofErr w:type="spellStart"/>
      <w:r w:rsidR="00812334" w:rsidRPr="001238F3">
        <w:rPr>
          <w:rFonts w:ascii="Arial" w:hAnsi="Arial" w:cs="Arial"/>
          <w:i/>
        </w:rPr>
        <w:t>pign</w:t>
      </w:r>
      <w:r w:rsidR="00B84436" w:rsidRPr="001238F3">
        <w:rPr>
          <w:rFonts w:ascii="Arial" w:hAnsi="Arial" w:cs="Arial"/>
          <w:i/>
        </w:rPr>
        <w:t>oris</w:t>
      </w:r>
      <w:proofErr w:type="spellEnd"/>
      <w:r w:rsidR="00B84436" w:rsidRPr="001238F3">
        <w:rPr>
          <w:rFonts w:ascii="Arial" w:hAnsi="Arial" w:cs="Arial"/>
        </w:rPr>
        <w:t>, Dig 20.5.12: Cod 4.24.9.)</w:t>
      </w:r>
      <w:r w:rsidRPr="001238F3">
        <w:rPr>
          <w:rFonts w:ascii="Arial" w:hAnsi="Arial" w:cs="Arial"/>
        </w:rPr>
        <w:t>.</w:t>
      </w:r>
      <w:r w:rsidR="00B84436" w:rsidRPr="002D339E">
        <w:rPr>
          <w:rFonts w:ascii="Arial" w:hAnsi="Arial" w:cs="Arial"/>
          <w:sz w:val="24"/>
          <w:szCs w:val="24"/>
        </w:rPr>
        <w:t>’</w:t>
      </w:r>
    </w:p>
    <w:p w14:paraId="05A2E5B9" w14:textId="77777777" w:rsidR="00477660" w:rsidRDefault="00477660" w:rsidP="00477660">
      <w:pPr>
        <w:pStyle w:val="ListParagraph"/>
        <w:spacing w:after="0" w:line="360" w:lineRule="auto"/>
        <w:ind w:left="0"/>
        <w:jc w:val="both"/>
        <w:rPr>
          <w:rFonts w:ascii="Arial" w:hAnsi="Arial" w:cs="Arial"/>
          <w:sz w:val="24"/>
          <w:szCs w:val="24"/>
        </w:rPr>
      </w:pPr>
    </w:p>
    <w:p w14:paraId="55538ED9" w14:textId="5F476AB7" w:rsidR="00812334" w:rsidRPr="00DE5A20" w:rsidRDefault="00DE5A20" w:rsidP="00DE5A20">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12334" w:rsidRPr="00DE5A20">
        <w:rPr>
          <w:rFonts w:ascii="Arial" w:hAnsi="Arial" w:cs="Arial"/>
          <w:sz w:val="24"/>
          <w:szCs w:val="24"/>
        </w:rPr>
        <w:t>From the authorities</w:t>
      </w:r>
      <w:r w:rsidR="006540AB" w:rsidRPr="00DE5A20">
        <w:rPr>
          <w:rFonts w:ascii="Arial" w:hAnsi="Arial" w:cs="Arial"/>
          <w:sz w:val="24"/>
          <w:szCs w:val="24"/>
        </w:rPr>
        <w:t>,</w:t>
      </w:r>
      <w:r w:rsidR="00812334" w:rsidRPr="00DE5A20">
        <w:rPr>
          <w:rFonts w:ascii="Arial" w:hAnsi="Arial" w:cs="Arial"/>
          <w:sz w:val="24"/>
          <w:szCs w:val="24"/>
        </w:rPr>
        <w:t xml:space="preserve"> </w:t>
      </w:r>
      <w:proofErr w:type="gramStart"/>
      <w:r w:rsidR="00812334" w:rsidRPr="00DE5A20">
        <w:rPr>
          <w:rFonts w:ascii="Arial" w:hAnsi="Arial" w:cs="Arial"/>
          <w:sz w:val="24"/>
          <w:szCs w:val="24"/>
        </w:rPr>
        <w:t>it is clear that the</w:t>
      </w:r>
      <w:proofErr w:type="gramEnd"/>
      <w:r w:rsidR="00812334" w:rsidRPr="00DE5A20">
        <w:rPr>
          <w:rFonts w:ascii="Arial" w:hAnsi="Arial" w:cs="Arial"/>
          <w:sz w:val="24"/>
          <w:szCs w:val="24"/>
        </w:rPr>
        <w:t xml:space="preserve"> ownership remain vested in the original owner until such time as the transfer to the new purchaser is registered. This position is supported in Namibia by Justice Geier in </w:t>
      </w:r>
      <w:proofErr w:type="spellStart"/>
      <w:r w:rsidR="00812334" w:rsidRPr="00DE5A20">
        <w:rPr>
          <w:rFonts w:ascii="Arial" w:hAnsi="Arial" w:cs="Arial"/>
          <w:i/>
          <w:sz w:val="24"/>
          <w:szCs w:val="24"/>
        </w:rPr>
        <w:t>Katjiuanjo</w:t>
      </w:r>
      <w:proofErr w:type="spellEnd"/>
      <w:r w:rsidR="00812334" w:rsidRPr="00DE5A20">
        <w:rPr>
          <w:rFonts w:ascii="Arial" w:hAnsi="Arial" w:cs="Arial"/>
          <w:i/>
          <w:sz w:val="24"/>
          <w:szCs w:val="24"/>
        </w:rPr>
        <w:t xml:space="preserve"> v Willemse</w:t>
      </w:r>
      <w:r w:rsidR="008C218B">
        <w:rPr>
          <w:rStyle w:val="FootnoteReference"/>
          <w:rFonts w:ascii="Arial" w:hAnsi="Arial" w:cs="Arial"/>
          <w:i/>
          <w:sz w:val="24"/>
          <w:szCs w:val="24"/>
        </w:rPr>
        <w:footnoteReference w:id="5"/>
      </w:r>
      <w:r w:rsidR="00477660" w:rsidRPr="00DE5A20">
        <w:rPr>
          <w:rFonts w:ascii="Arial" w:hAnsi="Arial" w:cs="Arial"/>
          <w:sz w:val="24"/>
          <w:szCs w:val="24"/>
        </w:rPr>
        <w:t>:</w:t>
      </w:r>
    </w:p>
    <w:p w14:paraId="019BEDDB" w14:textId="77777777" w:rsidR="00477660" w:rsidRPr="00477660" w:rsidRDefault="00477660" w:rsidP="00477660">
      <w:pPr>
        <w:pStyle w:val="ListParagraph"/>
        <w:spacing w:after="0" w:line="360" w:lineRule="auto"/>
        <w:ind w:left="0"/>
        <w:jc w:val="both"/>
        <w:rPr>
          <w:rFonts w:ascii="Arial" w:hAnsi="Arial" w:cs="Arial"/>
          <w:sz w:val="24"/>
          <w:szCs w:val="24"/>
        </w:rPr>
      </w:pPr>
    </w:p>
    <w:p w14:paraId="5600A7ED" w14:textId="77777777" w:rsidR="00184C3A" w:rsidRDefault="00812334" w:rsidP="00462E22">
      <w:pPr>
        <w:spacing w:after="0" w:line="360" w:lineRule="auto"/>
        <w:ind w:firstLine="720"/>
        <w:jc w:val="both"/>
        <w:rPr>
          <w:rFonts w:ascii="Arial" w:hAnsi="Arial" w:cs="Arial"/>
        </w:rPr>
      </w:pPr>
      <w:r w:rsidRPr="00812334">
        <w:rPr>
          <w:rFonts w:ascii="Arial" w:hAnsi="Arial" w:cs="Arial"/>
        </w:rPr>
        <w:t>‘[21] In terms of the cited case law, no such direct right is afforded to the purchaser of an immovable property pursuant to a sale in execution prior to transfer. This is not surprising given the underlying legal position – which I have accepted as correct – and which is to the effect that ‘until an immovable property that has been sold in execution has been transferred into the name of the purchaser, the judgment debtor’s ownership therein remains undisturbed as does his or her right, qua owner, to the use thereof. Only the transfer of ownership of such property to the new owner brings about an end to the legal basis of the judgment debtor’s right to the use and ownership thereof - the impact of the transfer on such property will however depend on the identity of the occupant and the legal basis of his or her occupation.’</w:t>
      </w:r>
    </w:p>
    <w:p w14:paraId="7236FFDE" w14:textId="77777777" w:rsidR="00462E22" w:rsidRPr="00812334" w:rsidRDefault="00462E22" w:rsidP="00462E22">
      <w:pPr>
        <w:spacing w:after="0" w:line="360" w:lineRule="auto"/>
        <w:ind w:firstLine="720"/>
        <w:jc w:val="both"/>
        <w:rPr>
          <w:rFonts w:ascii="Arial" w:hAnsi="Arial" w:cs="Arial"/>
        </w:rPr>
      </w:pPr>
    </w:p>
    <w:p w14:paraId="4302EBF9" w14:textId="77777777" w:rsidR="00184C3A" w:rsidRDefault="00580100" w:rsidP="00462E22">
      <w:pPr>
        <w:spacing w:after="0" w:line="360" w:lineRule="auto"/>
        <w:jc w:val="both"/>
        <w:rPr>
          <w:rFonts w:ascii="Arial" w:hAnsi="Arial" w:cs="Arial"/>
          <w:i/>
          <w:sz w:val="24"/>
          <w:szCs w:val="24"/>
        </w:rPr>
      </w:pPr>
      <w:r w:rsidRPr="00580100">
        <w:rPr>
          <w:rFonts w:ascii="Arial" w:hAnsi="Arial" w:cs="Arial"/>
          <w:i/>
          <w:sz w:val="24"/>
          <w:szCs w:val="24"/>
        </w:rPr>
        <w:t>The reviewability of the conduct of the deputy sheriff</w:t>
      </w:r>
    </w:p>
    <w:p w14:paraId="622380E7" w14:textId="77777777" w:rsidR="00462E22" w:rsidRPr="00580100" w:rsidRDefault="00462E22" w:rsidP="00462E22">
      <w:pPr>
        <w:spacing w:after="0" w:line="360" w:lineRule="auto"/>
        <w:jc w:val="both"/>
        <w:rPr>
          <w:rFonts w:ascii="Arial" w:hAnsi="Arial" w:cs="Arial"/>
          <w:i/>
          <w:sz w:val="24"/>
          <w:szCs w:val="24"/>
        </w:rPr>
      </w:pPr>
    </w:p>
    <w:p w14:paraId="071508C5" w14:textId="67831C04" w:rsidR="00462E22" w:rsidRPr="00DE5A20" w:rsidRDefault="00DE5A20" w:rsidP="00DE5A2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580100" w:rsidRPr="00DE5A20">
        <w:rPr>
          <w:rFonts w:ascii="Arial" w:hAnsi="Arial" w:cs="Arial"/>
          <w:sz w:val="24"/>
          <w:szCs w:val="24"/>
        </w:rPr>
        <w:t xml:space="preserve">On the question of the reviewability of the conduct of the deputy sheriff, reference is made to the Supreme Court judgment </w:t>
      </w:r>
      <w:r w:rsidR="00580100" w:rsidRPr="00DE5A20">
        <w:rPr>
          <w:rFonts w:ascii="Arial" w:hAnsi="Arial" w:cs="Arial"/>
          <w:i/>
          <w:sz w:val="24"/>
          <w:szCs w:val="24"/>
        </w:rPr>
        <w:t xml:space="preserve">of </w:t>
      </w:r>
      <w:proofErr w:type="spellStart"/>
      <w:r w:rsidR="00580100" w:rsidRPr="00DE5A20">
        <w:rPr>
          <w:rFonts w:ascii="Arial" w:hAnsi="Arial" w:cs="Arial"/>
          <w:i/>
          <w:sz w:val="24"/>
          <w:szCs w:val="24"/>
        </w:rPr>
        <w:t>Mbanderu</w:t>
      </w:r>
      <w:proofErr w:type="spellEnd"/>
      <w:r w:rsidR="00580100" w:rsidRPr="00DE5A20">
        <w:rPr>
          <w:rFonts w:ascii="Arial" w:hAnsi="Arial" w:cs="Arial"/>
          <w:i/>
          <w:sz w:val="24"/>
          <w:szCs w:val="24"/>
        </w:rPr>
        <w:t xml:space="preserve"> Traditional Authority and Another v </w:t>
      </w:r>
      <w:proofErr w:type="spellStart"/>
      <w:r w:rsidR="00580100" w:rsidRPr="00DE5A20">
        <w:rPr>
          <w:rFonts w:ascii="Arial" w:hAnsi="Arial" w:cs="Arial"/>
          <w:i/>
          <w:sz w:val="24"/>
          <w:szCs w:val="24"/>
        </w:rPr>
        <w:t>Kahuure</w:t>
      </w:r>
      <w:proofErr w:type="spellEnd"/>
      <w:r w:rsidR="00580100">
        <w:rPr>
          <w:rStyle w:val="FootnoteReference"/>
          <w:rFonts w:ascii="Arial" w:hAnsi="Arial" w:cs="Arial"/>
          <w:i/>
          <w:sz w:val="24"/>
          <w:szCs w:val="24"/>
        </w:rPr>
        <w:footnoteReference w:id="6"/>
      </w:r>
      <w:r w:rsidR="00580100" w:rsidRPr="00DE5A20">
        <w:rPr>
          <w:rFonts w:ascii="Arial" w:hAnsi="Arial" w:cs="Arial"/>
          <w:sz w:val="24"/>
          <w:szCs w:val="24"/>
        </w:rPr>
        <w:t xml:space="preserve">, where </w:t>
      </w:r>
      <w:proofErr w:type="spellStart"/>
      <w:r w:rsidR="00580100" w:rsidRPr="00DE5A20">
        <w:rPr>
          <w:rFonts w:ascii="Arial" w:hAnsi="Arial" w:cs="Arial"/>
          <w:sz w:val="24"/>
          <w:szCs w:val="24"/>
        </w:rPr>
        <w:t>Mtambanengwe</w:t>
      </w:r>
      <w:proofErr w:type="spellEnd"/>
      <w:r w:rsidR="00580100" w:rsidRPr="00DE5A20">
        <w:rPr>
          <w:rFonts w:ascii="Arial" w:hAnsi="Arial" w:cs="Arial"/>
          <w:sz w:val="24"/>
          <w:szCs w:val="24"/>
        </w:rPr>
        <w:t xml:space="preserve"> AJA commented as follows: </w:t>
      </w:r>
    </w:p>
    <w:p w14:paraId="4CFE21CA" w14:textId="77777777" w:rsidR="00462E22" w:rsidRPr="00462E22" w:rsidRDefault="00462E22" w:rsidP="00462E22">
      <w:pPr>
        <w:pStyle w:val="ListParagraph"/>
        <w:spacing w:after="0" w:line="360" w:lineRule="auto"/>
        <w:ind w:left="0"/>
        <w:jc w:val="both"/>
        <w:rPr>
          <w:rFonts w:ascii="Arial" w:hAnsi="Arial" w:cs="Arial"/>
          <w:sz w:val="24"/>
          <w:szCs w:val="24"/>
        </w:rPr>
      </w:pPr>
    </w:p>
    <w:p w14:paraId="4C633360" w14:textId="77777777" w:rsidR="00184C3A" w:rsidRPr="0018259F" w:rsidRDefault="00580100" w:rsidP="0018259F">
      <w:pPr>
        <w:spacing w:line="360" w:lineRule="auto"/>
        <w:ind w:firstLine="720"/>
        <w:jc w:val="both"/>
        <w:rPr>
          <w:rFonts w:ascii="Arial" w:hAnsi="Arial" w:cs="Arial"/>
        </w:rPr>
      </w:pPr>
      <w:r w:rsidRPr="00580100">
        <w:rPr>
          <w:rFonts w:ascii="Arial" w:hAnsi="Arial" w:cs="Arial"/>
        </w:rPr>
        <w:lastRenderedPageBreak/>
        <w:t xml:space="preserve">‘The starting point in determining </w:t>
      </w:r>
      <w:proofErr w:type="gramStart"/>
      <w:r w:rsidRPr="00580100">
        <w:rPr>
          <w:rFonts w:ascii="Arial" w:hAnsi="Arial" w:cs="Arial"/>
        </w:rPr>
        <w:t>whether or not</w:t>
      </w:r>
      <w:proofErr w:type="gramEnd"/>
      <w:r w:rsidRPr="00580100">
        <w:rPr>
          <w:rFonts w:ascii="Arial" w:hAnsi="Arial" w:cs="Arial"/>
        </w:rPr>
        <w:t xml:space="preserve"> an action performed by a body is administrative, and, therefore, reviewable, is to identify the body concerned. In most review cases no problem arises in this regard. The South African Constitutional Court in the SARFU matter was correct, however, to caution that 'difficult boundaries may have to be drawn in deciding what should and what should not be </w:t>
      </w:r>
      <w:proofErr w:type="spellStart"/>
      <w:r w:rsidRPr="00580100">
        <w:rPr>
          <w:rFonts w:ascii="Arial" w:hAnsi="Arial" w:cs="Arial"/>
        </w:rPr>
        <w:t>characterised</w:t>
      </w:r>
      <w:proofErr w:type="spellEnd"/>
      <w:r w:rsidRPr="00580100">
        <w:rPr>
          <w:rFonts w:ascii="Arial" w:hAnsi="Arial" w:cs="Arial"/>
        </w:rPr>
        <w:t xml:space="preserve"> as administrative action for the purpose of s 33 of the South African Constitution (art 18 of the Namibian Constitution) and that this can best be done on a </w:t>
      </w:r>
      <w:proofErr w:type="gramStart"/>
      <w:r w:rsidRPr="00580100">
        <w:rPr>
          <w:rFonts w:ascii="Arial" w:hAnsi="Arial" w:cs="Arial"/>
        </w:rPr>
        <w:t>case by case</w:t>
      </w:r>
      <w:proofErr w:type="gramEnd"/>
      <w:r w:rsidRPr="00580100">
        <w:rPr>
          <w:rFonts w:ascii="Arial" w:hAnsi="Arial" w:cs="Arial"/>
        </w:rPr>
        <w:t xml:space="preserve"> basis. In substance, the provisions of art 18 of the Namibian Constitution are </w:t>
      </w:r>
      <w:proofErr w:type="gramStart"/>
      <w:r w:rsidRPr="00580100">
        <w:rPr>
          <w:rFonts w:ascii="Arial" w:hAnsi="Arial" w:cs="Arial"/>
        </w:rPr>
        <w:t>similar to</w:t>
      </w:r>
      <w:proofErr w:type="gramEnd"/>
      <w:r w:rsidRPr="00580100">
        <w:rPr>
          <w:rFonts w:ascii="Arial" w:hAnsi="Arial" w:cs="Arial"/>
        </w:rPr>
        <w:t xml:space="preserve"> those of s 33 of the South African Constitution.’</w:t>
      </w:r>
    </w:p>
    <w:p w14:paraId="14B6C06C" w14:textId="5C2681D9" w:rsidR="00462E22" w:rsidRPr="00DE5A20" w:rsidRDefault="00DE5A20" w:rsidP="00DE5A20">
      <w:pPr>
        <w:spacing w:after="0" w:line="360" w:lineRule="auto"/>
        <w:jc w:val="both"/>
        <w:rPr>
          <w:rFonts w:ascii="Arial" w:hAnsi="Arial" w:cs="Arial"/>
          <w:sz w:val="24"/>
          <w:szCs w:val="24"/>
        </w:rPr>
      </w:pPr>
      <w:r w:rsidRPr="001238F3">
        <w:rPr>
          <w:rFonts w:ascii="Arial" w:hAnsi="Arial" w:cs="Arial"/>
          <w:sz w:val="24"/>
          <w:szCs w:val="24"/>
        </w:rPr>
        <w:t>[24]</w:t>
      </w:r>
      <w:r w:rsidRPr="001238F3">
        <w:rPr>
          <w:rFonts w:ascii="Arial" w:hAnsi="Arial" w:cs="Arial"/>
          <w:sz w:val="24"/>
          <w:szCs w:val="24"/>
        </w:rPr>
        <w:tab/>
      </w:r>
      <w:r w:rsidR="00F75278" w:rsidRPr="00DE5A20">
        <w:rPr>
          <w:rFonts w:ascii="Arial" w:hAnsi="Arial" w:cs="Arial"/>
          <w:sz w:val="24"/>
          <w:szCs w:val="24"/>
        </w:rPr>
        <w:t xml:space="preserve">It was said in the South African Constitutional Court judgment of </w:t>
      </w:r>
      <w:r w:rsidR="00F75278" w:rsidRPr="00DE5A20">
        <w:rPr>
          <w:rFonts w:ascii="Arial" w:hAnsi="Arial" w:cs="Arial"/>
          <w:i/>
          <w:sz w:val="24"/>
          <w:szCs w:val="24"/>
        </w:rPr>
        <w:t xml:space="preserve">President of the Republic of South Africa v South African Rugby Football Union </w:t>
      </w:r>
      <w:r w:rsidR="00F75278">
        <w:rPr>
          <w:rStyle w:val="FootnoteReference"/>
          <w:rFonts w:ascii="Arial" w:hAnsi="Arial" w:cs="Arial"/>
          <w:i/>
          <w:sz w:val="24"/>
          <w:szCs w:val="24"/>
        </w:rPr>
        <w:footnoteReference w:id="7"/>
      </w:r>
      <w:r w:rsidR="00462E22" w:rsidRPr="00DE5A20">
        <w:rPr>
          <w:rFonts w:ascii="Arial" w:hAnsi="Arial" w:cs="Arial"/>
          <w:i/>
          <w:sz w:val="24"/>
          <w:szCs w:val="24"/>
        </w:rPr>
        <w:t>:</w:t>
      </w:r>
    </w:p>
    <w:p w14:paraId="42009AD8" w14:textId="77777777" w:rsidR="001238F3" w:rsidRPr="001238F3" w:rsidRDefault="001238F3" w:rsidP="001238F3">
      <w:pPr>
        <w:pStyle w:val="ListParagraph"/>
        <w:spacing w:after="0" w:line="360" w:lineRule="auto"/>
        <w:ind w:left="0"/>
        <w:jc w:val="both"/>
        <w:rPr>
          <w:rFonts w:ascii="Arial" w:hAnsi="Arial" w:cs="Arial"/>
          <w:sz w:val="24"/>
          <w:szCs w:val="24"/>
        </w:rPr>
      </w:pPr>
    </w:p>
    <w:p w14:paraId="2C411F5F" w14:textId="77777777" w:rsidR="00F75278" w:rsidRDefault="00F75278" w:rsidP="00462E22">
      <w:pPr>
        <w:spacing w:after="0" w:line="360" w:lineRule="auto"/>
        <w:ind w:firstLine="720"/>
        <w:jc w:val="both"/>
        <w:rPr>
          <w:rFonts w:ascii="Arial" w:hAnsi="Arial" w:cs="Arial"/>
        </w:rPr>
      </w:pPr>
      <w:r w:rsidRPr="00462E22">
        <w:rPr>
          <w:rFonts w:ascii="Arial" w:hAnsi="Arial" w:cs="Arial"/>
        </w:rPr>
        <w:t xml:space="preserve">‘[141] In s 33 the adjective ‘administrative’ not ‘executive’ is used to qualify ‘action’. This suggests that the test for determining whether conduct constitutes ‘administrative action’ is not the question whether the action concerned is performed by a member of the executive arm of government. What matters is not so much the functionary as the function. The question is whether the task itself is administrative or not. It may well be, as contemplated in </w:t>
      </w:r>
      <w:proofErr w:type="spellStart"/>
      <w:r w:rsidRPr="00462E22">
        <w:rPr>
          <w:rFonts w:ascii="Arial" w:hAnsi="Arial" w:cs="Arial"/>
        </w:rPr>
        <w:t>Fedsure</w:t>
      </w:r>
      <w:proofErr w:type="spellEnd"/>
      <w:r w:rsidRPr="00462E22">
        <w:rPr>
          <w:rStyle w:val="FootnoteReference"/>
          <w:rFonts w:ascii="Arial" w:hAnsi="Arial" w:cs="Arial"/>
        </w:rPr>
        <w:footnoteReference w:id="8"/>
      </w:r>
      <w:r w:rsidRPr="00462E22">
        <w:rPr>
          <w:rFonts w:ascii="Arial" w:hAnsi="Arial" w:cs="Arial"/>
        </w:rPr>
        <w:t>, that some acts of a legislature may constitute ‘administrative action’. Similarly, judicial officers may, from time to time, carry out administrative tasks. The focus of the enquiry as to whether conduct is ‘administrative action’ is not on the arm of government to which the relevant actor belongs, but on the nature of the power he or she is exercising.</w:t>
      </w:r>
      <w:r w:rsidR="00462E22">
        <w:rPr>
          <w:rFonts w:ascii="Arial" w:hAnsi="Arial" w:cs="Arial"/>
        </w:rPr>
        <w:t>’</w:t>
      </w:r>
    </w:p>
    <w:p w14:paraId="595D3D40" w14:textId="77777777" w:rsidR="00462E22" w:rsidRPr="00462E22" w:rsidRDefault="00462E22" w:rsidP="00462E22">
      <w:pPr>
        <w:spacing w:after="0" w:line="360" w:lineRule="auto"/>
        <w:ind w:firstLine="720"/>
        <w:jc w:val="both"/>
        <w:rPr>
          <w:rFonts w:ascii="Arial" w:hAnsi="Arial" w:cs="Arial"/>
        </w:rPr>
      </w:pPr>
    </w:p>
    <w:p w14:paraId="6903B3DD" w14:textId="18390EF5" w:rsidR="0094178A" w:rsidRPr="00DE5A20" w:rsidRDefault="00DE5A20" w:rsidP="00DE5A20">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64AD1" w:rsidRPr="00DE5A20">
        <w:rPr>
          <w:rFonts w:ascii="Arial" w:hAnsi="Arial" w:cs="Arial"/>
          <w:sz w:val="24"/>
          <w:szCs w:val="24"/>
        </w:rPr>
        <w:t>By virtue of s</w:t>
      </w:r>
      <w:r w:rsidR="0094178A" w:rsidRPr="00DE5A20">
        <w:rPr>
          <w:rFonts w:ascii="Arial" w:hAnsi="Arial" w:cs="Arial"/>
          <w:sz w:val="24"/>
          <w:szCs w:val="24"/>
        </w:rPr>
        <w:t xml:space="preserve"> 32(1) and (4) of the High Court Act</w:t>
      </w:r>
      <w:r w:rsidR="0018259F" w:rsidRPr="00DE5A20">
        <w:rPr>
          <w:rFonts w:ascii="Arial" w:hAnsi="Arial" w:cs="Arial"/>
          <w:sz w:val="24"/>
          <w:szCs w:val="24"/>
        </w:rPr>
        <w:t xml:space="preserve"> certain acts of the </w:t>
      </w:r>
      <w:r w:rsidR="00F64AD1" w:rsidRPr="00DE5A20">
        <w:rPr>
          <w:rFonts w:ascii="Arial" w:hAnsi="Arial" w:cs="Arial"/>
          <w:sz w:val="24"/>
          <w:szCs w:val="24"/>
        </w:rPr>
        <w:t xml:space="preserve">deputy Sheriff are reviewable. </w:t>
      </w:r>
      <w:r w:rsidR="0018259F" w:rsidRPr="00DE5A20">
        <w:rPr>
          <w:rFonts w:ascii="Arial" w:hAnsi="Arial" w:cs="Arial"/>
          <w:sz w:val="24"/>
          <w:szCs w:val="24"/>
        </w:rPr>
        <w:t>Section 32(1) and (4) reads as follows:</w:t>
      </w:r>
    </w:p>
    <w:p w14:paraId="4E18098A" w14:textId="77777777" w:rsidR="00F64AD1" w:rsidRPr="00462E22" w:rsidRDefault="00F64AD1" w:rsidP="00F64AD1">
      <w:pPr>
        <w:pStyle w:val="ListParagraph"/>
        <w:spacing w:after="0" w:line="360" w:lineRule="auto"/>
        <w:ind w:left="0"/>
        <w:jc w:val="both"/>
        <w:rPr>
          <w:rFonts w:ascii="Arial" w:hAnsi="Arial" w:cs="Arial"/>
          <w:sz w:val="24"/>
          <w:szCs w:val="24"/>
        </w:rPr>
      </w:pPr>
    </w:p>
    <w:p w14:paraId="0B32CE53" w14:textId="77777777" w:rsidR="0094178A" w:rsidRPr="0018259F" w:rsidRDefault="0018259F" w:rsidP="0018259F">
      <w:pPr>
        <w:spacing w:line="360" w:lineRule="auto"/>
        <w:ind w:firstLine="720"/>
        <w:jc w:val="both"/>
        <w:rPr>
          <w:rFonts w:ascii="Arial" w:hAnsi="Arial" w:cs="Arial"/>
        </w:rPr>
      </w:pPr>
      <w:r w:rsidRPr="0018259F">
        <w:rPr>
          <w:rFonts w:ascii="Arial" w:hAnsi="Arial" w:cs="Arial"/>
        </w:rPr>
        <w:t>‘</w:t>
      </w:r>
      <w:r w:rsidR="0094178A" w:rsidRPr="0018259F">
        <w:rPr>
          <w:rFonts w:ascii="Arial" w:hAnsi="Arial" w:cs="Arial"/>
        </w:rPr>
        <w:t>(1) The sheriff or the deputy-sheriff concerned or his or her assistant shall execute</w:t>
      </w:r>
      <w:r w:rsidR="00F75278">
        <w:rPr>
          <w:rFonts w:ascii="Arial" w:hAnsi="Arial" w:cs="Arial"/>
        </w:rPr>
        <w:t xml:space="preserve"> </w:t>
      </w:r>
      <w:r w:rsidR="0094178A" w:rsidRPr="0018259F">
        <w:rPr>
          <w:rFonts w:ascii="Arial" w:hAnsi="Arial" w:cs="Arial"/>
        </w:rPr>
        <w:t>all sentences, decrees, judgments, writs, summonses, rules, orders, warrants,</w:t>
      </w:r>
      <w:r w:rsidRPr="0018259F">
        <w:rPr>
          <w:rFonts w:ascii="Arial" w:hAnsi="Arial" w:cs="Arial"/>
        </w:rPr>
        <w:t xml:space="preserve"> </w:t>
      </w:r>
      <w:r w:rsidR="0094178A" w:rsidRPr="0018259F">
        <w:rPr>
          <w:rFonts w:ascii="Arial" w:hAnsi="Arial" w:cs="Arial"/>
        </w:rPr>
        <w:t>commands and processes of the High C</w:t>
      </w:r>
      <w:r w:rsidRPr="0018259F">
        <w:rPr>
          <w:rFonts w:ascii="Arial" w:hAnsi="Arial" w:cs="Arial"/>
        </w:rPr>
        <w:t>ourt directed to the sheriff...’</w:t>
      </w:r>
    </w:p>
    <w:p w14:paraId="3721FBCD" w14:textId="77777777" w:rsidR="001A5B9D" w:rsidRDefault="0018259F" w:rsidP="001A5B9D">
      <w:pPr>
        <w:spacing w:line="360" w:lineRule="auto"/>
        <w:jc w:val="both"/>
        <w:rPr>
          <w:rFonts w:ascii="Arial" w:hAnsi="Arial" w:cs="Arial"/>
          <w:sz w:val="24"/>
          <w:szCs w:val="24"/>
        </w:rPr>
      </w:pPr>
      <w:r w:rsidRPr="0018259F">
        <w:rPr>
          <w:rFonts w:ascii="Arial" w:hAnsi="Arial" w:cs="Arial"/>
          <w:sz w:val="24"/>
          <w:szCs w:val="24"/>
        </w:rPr>
        <w:t>And</w:t>
      </w:r>
    </w:p>
    <w:p w14:paraId="2DC5C369" w14:textId="77777777" w:rsidR="00184C3A" w:rsidRDefault="0018259F" w:rsidP="00F64AD1">
      <w:pPr>
        <w:spacing w:after="0" w:line="360" w:lineRule="auto"/>
        <w:ind w:firstLine="720"/>
        <w:jc w:val="both"/>
        <w:rPr>
          <w:rFonts w:ascii="Arial" w:hAnsi="Arial" w:cs="Arial"/>
        </w:rPr>
      </w:pPr>
      <w:r w:rsidRPr="0018259F">
        <w:rPr>
          <w:rFonts w:ascii="Arial" w:hAnsi="Arial" w:cs="Arial"/>
        </w:rPr>
        <w:t>‘</w:t>
      </w:r>
      <w:r w:rsidR="0094178A" w:rsidRPr="0018259F">
        <w:rPr>
          <w:rFonts w:ascii="Arial" w:hAnsi="Arial" w:cs="Arial"/>
        </w:rPr>
        <w:t>(4) A refusal by such sheriff or any deputy-sher</w:t>
      </w:r>
      <w:r w:rsidRPr="0018259F">
        <w:rPr>
          <w:rFonts w:ascii="Arial" w:hAnsi="Arial" w:cs="Arial"/>
        </w:rPr>
        <w:t xml:space="preserve">iff to perform any act which he </w:t>
      </w:r>
      <w:r w:rsidR="0094178A" w:rsidRPr="0018259F">
        <w:rPr>
          <w:rFonts w:ascii="Arial" w:hAnsi="Arial" w:cs="Arial"/>
        </w:rPr>
        <w:t>or</w:t>
      </w:r>
      <w:r w:rsidRPr="0018259F">
        <w:rPr>
          <w:rFonts w:ascii="Arial" w:hAnsi="Arial" w:cs="Arial"/>
        </w:rPr>
        <w:t xml:space="preserve"> </w:t>
      </w:r>
      <w:r w:rsidR="0094178A" w:rsidRPr="0018259F">
        <w:rPr>
          <w:rFonts w:ascii="Arial" w:hAnsi="Arial" w:cs="Arial"/>
        </w:rPr>
        <w:t>she is by law empowered to perform, shall be subject to review by the High Court on</w:t>
      </w:r>
      <w:r w:rsidRPr="0018259F">
        <w:rPr>
          <w:rFonts w:ascii="Arial" w:hAnsi="Arial" w:cs="Arial"/>
        </w:rPr>
        <w:t xml:space="preserve"> </w:t>
      </w:r>
      <w:r w:rsidR="0094178A" w:rsidRPr="0018259F">
        <w:rPr>
          <w:rFonts w:ascii="Arial" w:hAnsi="Arial" w:cs="Arial"/>
        </w:rPr>
        <w:t xml:space="preserve">application ex </w:t>
      </w:r>
      <w:proofErr w:type="spellStart"/>
      <w:r w:rsidR="0094178A" w:rsidRPr="0018259F">
        <w:rPr>
          <w:rFonts w:ascii="Arial" w:hAnsi="Arial" w:cs="Arial"/>
        </w:rPr>
        <w:t>parte</w:t>
      </w:r>
      <w:proofErr w:type="spellEnd"/>
      <w:r w:rsidR="0094178A" w:rsidRPr="0018259F">
        <w:rPr>
          <w:rFonts w:ascii="Arial" w:hAnsi="Arial" w:cs="Arial"/>
        </w:rPr>
        <w:t xml:space="preserve"> or on notice, as</w:t>
      </w:r>
      <w:r w:rsidRPr="0018259F">
        <w:rPr>
          <w:rFonts w:ascii="Arial" w:hAnsi="Arial" w:cs="Arial"/>
        </w:rPr>
        <w:t xml:space="preserve"> the circumstances may require.’</w:t>
      </w:r>
    </w:p>
    <w:p w14:paraId="16E6681E" w14:textId="77777777" w:rsidR="00F64AD1" w:rsidRPr="001A5B9D" w:rsidRDefault="00F64AD1" w:rsidP="00F64AD1">
      <w:pPr>
        <w:spacing w:after="0" w:line="360" w:lineRule="auto"/>
        <w:ind w:firstLine="720"/>
        <w:jc w:val="both"/>
        <w:rPr>
          <w:rFonts w:ascii="Arial" w:hAnsi="Arial" w:cs="Arial"/>
          <w:sz w:val="24"/>
          <w:szCs w:val="24"/>
        </w:rPr>
      </w:pPr>
    </w:p>
    <w:p w14:paraId="2034F9A1" w14:textId="5ABCAF7D" w:rsidR="00F64AD1" w:rsidRPr="00DE5A20" w:rsidRDefault="00DE5A20" w:rsidP="00DE5A20">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18259F" w:rsidRPr="00DE5A20">
        <w:rPr>
          <w:rFonts w:ascii="Arial" w:hAnsi="Arial" w:cs="Arial"/>
          <w:sz w:val="24"/>
          <w:szCs w:val="24"/>
        </w:rPr>
        <w:t>However</w:t>
      </w:r>
      <w:r w:rsidR="006540AB" w:rsidRPr="00DE5A20">
        <w:rPr>
          <w:rFonts w:ascii="Arial" w:hAnsi="Arial" w:cs="Arial"/>
          <w:sz w:val="24"/>
          <w:szCs w:val="24"/>
        </w:rPr>
        <w:t>,</w:t>
      </w:r>
      <w:r w:rsidR="0018259F" w:rsidRPr="00DE5A20">
        <w:rPr>
          <w:rFonts w:ascii="Arial" w:hAnsi="Arial" w:cs="Arial"/>
          <w:sz w:val="24"/>
          <w:szCs w:val="24"/>
        </w:rPr>
        <w:t xml:space="preserve"> this section is only applicable where the deputy-sheriff refuse to perform any act which he or she is supposed to perform </w:t>
      </w:r>
      <w:r w:rsidR="006540AB" w:rsidRPr="00DE5A20">
        <w:rPr>
          <w:rFonts w:ascii="Arial" w:hAnsi="Arial" w:cs="Arial"/>
          <w:sz w:val="24"/>
          <w:szCs w:val="24"/>
        </w:rPr>
        <w:t xml:space="preserve">as </w:t>
      </w:r>
      <w:r w:rsidR="0018259F" w:rsidRPr="00DE5A20">
        <w:rPr>
          <w:rFonts w:ascii="Arial" w:hAnsi="Arial" w:cs="Arial"/>
          <w:sz w:val="24"/>
          <w:szCs w:val="24"/>
        </w:rPr>
        <w:t>empowered by law.  In this instance</w:t>
      </w:r>
      <w:r w:rsidR="006540AB" w:rsidRPr="00DE5A20">
        <w:rPr>
          <w:rFonts w:ascii="Arial" w:hAnsi="Arial" w:cs="Arial"/>
          <w:sz w:val="24"/>
          <w:szCs w:val="24"/>
        </w:rPr>
        <w:t>,</w:t>
      </w:r>
      <w:r w:rsidR="0018259F" w:rsidRPr="00DE5A20">
        <w:rPr>
          <w:rFonts w:ascii="Arial" w:hAnsi="Arial" w:cs="Arial"/>
          <w:sz w:val="24"/>
          <w:szCs w:val="24"/>
        </w:rPr>
        <w:t xml:space="preserve"> the deputy-sheriff’s conduct cannot be said to amount to a refusal to perform an act</w:t>
      </w:r>
      <w:r w:rsidR="006540AB" w:rsidRPr="00DE5A20">
        <w:rPr>
          <w:rFonts w:ascii="Arial" w:hAnsi="Arial" w:cs="Arial"/>
          <w:sz w:val="24"/>
          <w:szCs w:val="24"/>
        </w:rPr>
        <w:t>,</w:t>
      </w:r>
      <w:r w:rsidR="0018259F" w:rsidRPr="00DE5A20">
        <w:rPr>
          <w:rFonts w:ascii="Arial" w:hAnsi="Arial" w:cs="Arial"/>
          <w:sz w:val="24"/>
          <w:szCs w:val="24"/>
        </w:rPr>
        <w:t xml:space="preserve"> as he merely did not see that the buying party complied with all the conditions of the </w:t>
      </w:r>
      <w:proofErr w:type="gramStart"/>
      <w:r w:rsidR="0018259F" w:rsidRPr="00DE5A20">
        <w:rPr>
          <w:rFonts w:ascii="Arial" w:hAnsi="Arial" w:cs="Arial"/>
          <w:sz w:val="24"/>
          <w:szCs w:val="24"/>
        </w:rPr>
        <w:t>sale</w:t>
      </w:r>
      <w:proofErr w:type="gramEnd"/>
      <w:r w:rsidR="0018259F" w:rsidRPr="00DE5A20">
        <w:rPr>
          <w:rFonts w:ascii="Arial" w:hAnsi="Arial" w:cs="Arial"/>
          <w:sz w:val="24"/>
          <w:szCs w:val="24"/>
        </w:rPr>
        <w:t xml:space="preserve"> and he allowed the transaction to </w:t>
      </w:r>
      <w:r w:rsidR="00F64AD1" w:rsidRPr="00DE5A20">
        <w:rPr>
          <w:rFonts w:ascii="Arial" w:hAnsi="Arial" w:cs="Arial"/>
          <w:sz w:val="24"/>
          <w:szCs w:val="24"/>
        </w:rPr>
        <w:t xml:space="preserve">proceed under such conditions. </w:t>
      </w:r>
    </w:p>
    <w:p w14:paraId="2B5947D7" w14:textId="77777777" w:rsidR="00F64AD1" w:rsidRDefault="00F64AD1" w:rsidP="00F64AD1">
      <w:pPr>
        <w:pStyle w:val="ListParagraph"/>
        <w:spacing w:after="0" w:line="360" w:lineRule="auto"/>
        <w:ind w:left="0"/>
        <w:jc w:val="both"/>
        <w:rPr>
          <w:rFonts w:ascii="Arial" w:hAnsi="Arial" w:cs="Arial"/>
          <w:sz w:val="24"/>
          <w:szCs w:val="24"/>
        </w:rPr>
      </w:pPr>
    </w:p>
    <w:p w14:paraId="1B25DF58" w14:textId="131498BF" w:rsidR="00F64AD1" w:rsidRPr="00DE5A20" w:rsidRDefault="00DE5A20" w:rsidP="00DE5A20">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1A5B9D" w:rsidRPr="00DE5A20">
        <w:rPr>
          <w:rFonts w:ascii="Arial" w:hAnsi="Arial" w:cs="Arial"/>
          <w:sz w:val="24"/>
          <w:szCs w:val="24"/>
        </w:rPr>
        <w:t xml:space="preserve">In </w:t>
      </w:r>
      <w:r w:rsidR="001A5B9D" w:rsidRPr="00DE5A20">
        <w:rPr>
          <w:rFonts w:ascii="Arial" w:hAnsi="Arial" w:cs="Arial"/>
          <w:i/>
          <w:sz w:val="24"/>
          <w:szCs w:val="24"/>
        </w:rPr>
        <w:t>Todd v</w:t>
      </w:r>
      <w:r w:rsidR="00F64AD1" w:rsidRPr="00DE5A20">
        <w:rPr>
          <w:rFonts w:ascii="Arial" w:hAnsi="Arial" w:cs="Arial"/>
          <w:i/>
          <w:sz w:val="24"/>
          <w:szCs w:val="24"/>
        </w:rPr>
        <w:t xml:space="preserve"> First R</w:t>
      </w:r>
      <w:r w:rsidR="005D67ED" w:rsidRPr="00DE5A20">
        <w:rPr>
          <w:rFonts w:ascii="Arial" w:hAnsi="Arial" w:cs="Arial"/>
          <w:i/>
          <w:sz w:val="24"/>
          <w:szCs w:val="24"/>
        </w:rPr>
        <w:t>and Bank Ltd and Others</w:t>
      </w:r>
      <w:r w:rsidR="00F64AD1">
        <w:rPr>
          <w:rStyle w:val="FootnoteReference"/>
          <w:rFonts w:ascii="Arial" w:hAnsi="Arial" w:cs="Arial"/>
          <w:i/>
          <w:sz w:val="24"/>
          <w:szCs w:val="24"/>
        </w:rPr>
        <w:footnoteReference w:id="9"/>
      </w:r>
      <w:r w:rsidR="001A5B9D" w:rsidRPr="00DE5A20">
        <w:rPr>
          <w:rFonts w:ascii="Arial" w:hAnsi="Arial" w:cs="Arial"/>
          <w:i/>
          <w:sz w:val="24"/>
          <w:szCs w:val="24"/>
        </w:rPr>
        <w:t xml:space="preserve"> </w:t>
      </w:r>
      <w:r w:rsidR="001A5B9D" w:rsidRPr="00DE5A20">
        <w:rPr>
          <w:rFonts w:ascii="Arial" w:hAnsi="Arial" w:cs="Arial"/>
          <w:sz w:val="24"/>
          <w:szCs w:val="24"/>
        </w:rPr>
        <w:t xml:space="preserve">Bins-Ward J, </w:t>
      </w:r>
      <w:r w:rsidR="005D67ED" w:rsidRPr="00DE5A20">
        <w:rPr>
          <w:rFonts w:ascii="Arial" w:hAnsi="Arial" w:cs="Arial"/>
          <w:sz w:val="24"/>
          <w:szCs w:val="24"/>
        </w:rPr>
        <w:t xml:space="preserve">said the following </w:t>
      </w:r>
      <w:proofErr w:type="gramStart"/>
      <w:r w:rsidR="005D67ED" w:rsidRPr="00DE5A20">
        <w:rPr>
          <w:rFonts w:ascii="Arial" w:hAnsi="Arial" w:cs="Arial"/>
          <w:sz w:val="24"/>
          <w:szCs w:val="24"/>
        </w:rPr>
        <w:t>with regard to</w:t>
      </w:r>
      <w:proofErr w:type="gramEnd"/>
      <w:r w:rsidR="005D67ED" w:rsidRPr="00DE5A20">
        <w:rPr>
          <w:rFonts w:ascii="Arial" w:hAnsi="Arial" w:cs="Arial"/>
          <w:sz w:val="24"/>
          <w:szCs w:val="24"/>
        </w:rPr>
        <w:t xml:space="preserve"> the nature of the actions of the deputy-sheriff when performing a sale in execution</w:t>
      </w:r>
      <w:r w:rsidR="001A5B9D" w:rsidRPr="00DE5A20">
        <w:rPr>
          <w:rFonts w:ascii="Arial" w:hAnsi="Arial" w:cs="Arial"/>
          <w:sz w:val="24"/>
          <w:szCs w:val="24"/>
        </w:rPr>
        <w:t>:</w:t>
      </w:r>
    </w:p>
    <w:p w14:paraId="16F5FD73" w14:textId="77777777" w:rsidR="001238F3" w:rsidRPr="001238F3" w:rsidRDefault="001238F3" w:rsidP="001238F3">
      <w:pPr>
        <w:pStyle w:val="ListParagraph"/>
        <w:spacing w:after="0" w:line="360" w:lineRule="auto"/>
        <w:ind w:left="0"/>
        <w:jc w:val="both"/>
        <w:rPr>
          <w:rFonts w:ascii="Arial" w:hAnsi="Arial" w:cs="Arial"/>
          <w:sz w:val="24"/>
          <w:szCs w:val="24"/>
        </w:rPr>
      </w:pPr>
    </w:p>
    <w:p w14:paraId="7608ED61" w14:textId="77777777" w:rsidR="001A5B9D" w:rsidRPr="00F64AD1" w:rsidRDefault="001A5B9D" w:rsidP="005D6FB5">
      <w:pPr>
        <w:spacing w:line="360" w:lineRule="auto"/>
        <w:ind w:firstLine="720"/>
        <w:jc w:val="both"/>
        <w:rPr>
          <w:rFonts w:ascii="Arial" w:hAnsi="Arial" w:cs="Arial"/>
        </w:rPr>
      </w:pPr>
      <w:r w:rsidRPr="00F64AD1">
        <w:rPr>
          <w:rFonts w:ascii="Arial" w:hAnsi="Arial" w:cs="Arial"/>
        </w:rPr>
        <w:t>‘[32] A sale in execution is part of the administrative process by which a judgment</w:t>
      </w:r>
      <w:r w:rsidR="005D67ED" w:rsidRPr="00F64AD1">
        <w:rPr>
          <w:rFonts w:ascii="Arial" w:hAnsi="Arial" w:cs="Arial"/>
        </w:rPr>
        <w:t xml:space="preserve"> </w:t>
      </w:r>
      <w:r w:rsidRPr="00F64AD1">
        <w:rPr>
          <w:rFonts w:ascii="Arial" w:hAnsi="Arial" w:cs="Arial"/>
        </w:rPr>
        <w:t xml:space="preserve">creditor can enforce a judgment given in its </w:t>
      </w:r>
      <w:proofErr w:type="spellStart"/>
      <w:r w:rsidRPr="00F64AD1">
        <w:rPr>
          <w:rFonts w:ascii="Arial" w:hAnsi="Arial" w:cs="Arial"/>
        </w:rPr>
        <w:t>favour</w:t>
      </w:r>
      <w:proofErr w:type="spellEnd"/>
      <w:r w:rsidRPr="00F64AD1">
        <w:rPr>
          <w:rFonts w:ascii="Arial" w:hAnsi="Arial" w:cs="Arial"/>
        </w:rPr>
        <w:t xml:space="preserve"> by a court. In</w:t>
      </w:r>
      <w:r w:rsidR="005D6FB5" w:rsidRPr="00F64AD1">
        <w:rPr>
          <w:rFonts w:ascii="Arial" w:hAnsi="Arial" w:cs="Arial"/>
        </w:rPr>
        <w:t xml:space="preserve"> effecting the </w:t>
      </w:r>
      <w:proofErr w:type="gramStart"/>
      <w:r w:rsidR="005D6FB5" w:rsidRPr="00F64AD1">
        <w:rPr>
          <w:rFonts w:ascii="Arial" w:hAnsi="Arial" w:cs="Arial"/>
        </w:rPr>
        <w:t>sale</w:t>
      </w:r>
      <w:proofErr w:type="gramEnd"/>
      <w:r w:rsidR="005D6FB5" w:rsidRPr="00F64AD1">
        <w:rPr>
          <w:rFonts w:ascii="Arial" w:hAnsi="Arial" w:cs="Arial"/>
        </w:rPr>
        <w:t xml:space="preserve"> the Sheriff </w:t>
      </w:r>
      <w:r w:rsidRPr="00F64AD1">
        <w:rPr>
          <w:rFonts w:ascii="Arial" w:hAnsi="Arial" w:cs="Arial"/>
        </w:rPr>
        <w:t>exercises a public function in terms of legislation. In my view a sale in execution purport</w:t>
      </w:r>
      <w:r w:rsidR="005D6FB5" w:rsidRPr="00F64AD1">
        <w:rPr>
          <w:rFonts w:ascii="Arial" w:hAnsi="Arial" w:cs="Arial"/>
        </w:rPr>
        <w:t xml:space="preserve">edly </w:t>
      </w:r>
      <w:r w:rsidRPr="00F64AD1">
        <w:rPr>
          <w:rFonts w:ascii="Arial" w:hAnsi="Arial" w:cs="Arial"/>
        </w:rPr>
        <w:t xml:space="preserve">effected by the Sheriff has factual and legal consequences </w:t>
      </w:r>
      <w:r w:rsidR="005D6FB5" w:rsidRPr="00F64AD1">
        <w:rPr>
          <w:rFonts w:ascii="Arial" w:hAnsi="Arial" w:cs="Arial"/>
        </w:rPr>
        <w:t xml:space="preserve">unless and until set aside by a </w:t>
      </w:r>
      <w:r w:rsidRPr="00F64AD1">
        <w:rPr>
          <w:rFonts w:ascii="Arial" w:hAnsi="Arial" w:cs="Arial"/>
        </w:rPr>
        <w:t xml:space="preserve">competent court; cf. </w:t>
      </w:r>
      <w:proofErr w:type="spellStart"/>
      <w:r w:rsidRPr="00F64AD1">
        <w:rPr>
          <w:rFonts w:ascii="Arial" w:hAnsi="Arial" w:cs="Arial"/>
        </w:rPr>
        <w:t>Oud</w:t>
      </w:r>
      <w:r w:rsidR="005D6FB5" w:rsidRPr="00F64AD1">
        <w:rPr>
          <w:rFonts w:ascii="Arial" w:hAnsi="Arial" w:cs="Arial"/>
        </w:rPr>
        <w:t>ekraal</w:t>
      </w:r>
      <w:proofErr w:type="spellEnd"/>
      <w:r w:rsidR="005D6FB5" w:rsidRPr="00F64AD1">
        <w:rPr>
          <w:rFonts w:ascii="Arial" w:hAnsi="Arial" w:cs="Arial"/>
        </w:rPr>
        <w:t xml:space="preserve"> Estates (Pty) Ltd v City </w:t>
      </w:r>
      <w:r w:rsidRPr="00F64AD1">
        <w:rPr>
          <w:rFonts w:ascii="Arial" w:hAnsi="Arial" w:cs="Arial"/>
        </w:rPr>
        <w:t>of C</w:t>
      </w:r>
      <w:r w:rsidR="005D6FB5" w:rsidRPr="00F64AD1">
        <w:rPr>
          <w:rFonts w:ascii="Arial" w:hAnsi="Arial" w:cs="Arial"/>
        </w:rPr>
        <w:t xml:space="preserve">ape Town and others 2004 (6) </w:t>
      </w:r>
      <w:proofErr w:type="gramStart"/>
      <w:r w:rsidR="005D6FB5" w:rsidRPr="00F64AD1">
        <w:rPr>
          <w:rFonts w:ascii="Arial" w:hAnsi="Arial" w:cs="Arial"/>
        </w:rPr>
        <w:t>SA</w:t>
      </w:r>
      <w:proofErr w:type="gramEnd"/>
    </w:p>
    <w:p w14:paraId="4F87A2D1" w14:textId="77777777" w:rsidR="00184C3A" w:rsidRDefault="001A5B9D" w:rsidP="00F64AD1">
      <w:pPr>
        <w:spacing w:after="0" w:line="360" w:lineRule="auto"/>
        <w:jc w:val="both"/>
        <w:rPr>
          <w:rFonts w:ascii="Arial" w:hAnsi="Arial" w:cs="Arial"/>
        </w:rPr>
      </w:pPr>
      <w:r w:rsidRPr="00F64AD1">
        <w:rPr>
          <w:rFonts w:ascii="Arial" w:hAnsi="Arial" w:cs="Arial"/>
        </w:rPr>
        <w:t xml:space="preserve">[33] Any </w:t>
      </w:r>
      <w:r w:rsidR="005D6FB5" w:rsidRPr="00F64AD1">
        <w:rPr>
          <w:rFonts w:ascii="Arial" w:hAnsi="Arial" w:cs="Arial"/>
        </w:rPr>
        <w:t>impugnment of a so-called judicial sale</w:t>
      </w:r>
      <w:r w:rsidRPr="00F64AD1">
        <w:rPr>
          <w:rFonts w:ascii="Arial" w:hAnsi="Arial" w:cs="Arial"/>
        </w:rPr>
        <w:t xml:space="preserve"> on grounds</w:t>
      </w:r>
      <w:r w:rsidR="005D6FB5" w:rsidRPr="00F64AD1">
        <w:rPr>
          <w:rFonts w:ascii="Arial" w:hAnsi="Arial" w:cs="Arial"/>
        </w:rPr>
        <w:t xml:space="preserve"> that the Sheriff has failed to </w:t>
      </w:r>
      <w:r w:rsidRPr="00F64AD1">
        <w:rPr>
          <w:rFonts w:ascii="Arial" w:hAnsi="Arial" w:cs="Arial"/>
        </w:rPr>
        <w:t>comply with the applicable legislation is thus essentially a revie</w:t>
      </w:r>
      <w:r w:rsidR="005D6FB5" w:rsidRPr="00F64AD1">
        <w:rPr>
          <w:rFonts w:ascii="Arial" w:hAnsi="Arial" w:cs="Arial"/>
        </w:rPr>
        <w:t xml:space="preserve">w of administrative action, and amenable to the </w:t>
      </w:r>
      <w:proofErr w:type="gramStart"/>
      <w:r w:rsidR="005D6FB5" w:rsidRPr="00F64AD1">
        <w:rPr>
          <w:rFonts w:ascii="Arial" w:hAnsi="Arial" w:cs="Arial"/>
        </w:rPr>
        <w:t>courts</w:t>
      </w:r>
      <w:proofErr w:type="gramEnd"/>
      <w:r w:rsidRPr="00F64AD1">
        <w:rPr>
          <w:rFonts w:ascii="Arial" w:hAnsi="Arial" w:cs="Arial"/>
        </w:rPr>
        <w:t xml:space="preserve"> wide discretion in such matters. That ap</w:t>
      </w:r>
      <w:r w:rsidR="005D6FB5" w:rsidRPr="00F64AD1">
        <w:rPr>
          <w:rFonts w:ascii="Arial" w:hAnsi="Arial" w:cs="Arial"/>
        </w:rPr>
        <w:t xml:space="preserve">plications in this type of case </w:t>
      </w:r>
      <w:r w:rsidRPr="00F64AD1">
        <w:rPr>
          <w:rFonts w:ascii="Arial" w:hAnsi="Arial" w:cs="Arial"/>
        </w:rPr>
        <w:t>are more often than not framed as applications for declaratory orde</w:t>
      </w:r>
      <w:r w:rsidR="005D6FB5" w:rsidRPr="00F64AD1">
        <w:rPr>
          <w:rFonts w:ascii="Arial" w:hAnsi="Arial" w:cs="Arial"/>
        </w:rPr>
        <w:t xml:space="preserve">rs assisted by ancillary relief </w:t>
      </w:r>
      <w:r w:rsidRPr="00F64AD1">
        <w:rPr>
          <w:rFonts w:ascii="Arial" w:hAnsi="Arial" w:cs="Arial"/>
        </w:rPr>
        <w:t xml:space="preserve">(cf. e.g. </w:t>
      </w:r>
      <w:proofErr w:type="spellStart"/>
      <w:r w:rsidRPr="00F64AD1">
        <w:rPr>
          <w:rFonts w:ascii="Arial" w:hAnsi="Arial" w:cs="Arial"/>
        </w:rPr>
        <w:t>Menqa</w:t>
      </w:r>
      <w:proofErr w:type="spellEnd"/>
      <w:r w:rsidRPr="00F64AD1">
        <w:rPr>
          <w:rFonts w:ascii="Arial" w:hAnsi="Arial" w:cs="Arial"/>
        </w:rPr>
        <w:t xml:space="preserve"> and another v </w:t>
      </w:r>
      <w:proofErr w:type="spellStart"/>
      <w:r w:rsidRPr="00F64AD1">
        <w:rPr>
          <w:rFonts w:ascii="Arial" w:hAnsi="Arial" w:cs="Arial"/>
        </w:rPr>
        <w:t>Markom</w:t>
      </w:r>
      <w:proofErr w:type="spellEnd"/>
      <w:r w:rsidRPr="00F64AD1">
        <w:rPr>
          <w:rFonts w:ascii="Arial" w:hAnsi="Arial" w:cs="Arial"/>
        </w:rPr>
        <w:t xml:space="preserve"> and others 2008 (2) S</w:t>
      </w:r>
      <w:r w:rsidR="005D6FB5" w:rsidRPr="00F64AD1">
        <w:rPr>
          <w:rFonts w:ascii="Arial" w:hAnsi="Arial" w:cs="Arial"/>
        </w:rPr>
        <w:t xml:space="preserve">A 120 (SCA)), and not in a form </w:t>
      </w:r>
      <w:r w:rsidRPr="00F64AD1">
        <w:rPr>
          <w:rFonts w:ascii="Arial" w:hAnsi="Arial" w:cs="Arial"/>
        </w:rPr>
        <w:t>consonant with the procedure in terms of rule 53, does not det</w:t>
      </w:r>
      <w:r w:rsidR="005D6FB5" w:rsidRPr="00F64AD1">
        <w:rPr>
          <w:rFonts w:ascii="Arial" w:hAnsi="Arial" w:cs="Arial"/>
        </w:rPr>
        <w:t xml:space="preserve">ract from this characterization </w:t>
      </w:r>
      <w:r w:rsidRPr="00F64AD1">
        <w:rPr>
          <w:rFonts w:ascii="Arial" w:hAnsi="Arial" w:cs="Arial"/>
        </w:rPr>
        <w:t>(see Jockey Club of SA v Forbes 1993 (1) SA 649 (A)).</w:t>
      </w:r>
      <w:r w:rsidR="00F64AD1" w:rsidRPr="00F64AD1">
        <w:rPr>
          <w:rFonts w:ascii="Arial" w:hAnsi="Arial" w:cs="Arial"/>
        </w:rPr>
        <w:t>’</w:t>
      </w:r>
    </w:p>
    <w:p w14:paraId="217DFA14" w14:textId="77777777" w:rsidR="00F64AD1" w:rsidRPr="00F64AD1" w:rsidRDefault="00F64AD1" w:rsidP="00F64AD1">
      <w:pPr>
        <w:spacing w:after="0" w:line="360" w:lineRule="auto"/>
        <w:jc w:val="both"/>
        <w:rPr>
          <w:rFonts w:ascii="Arial" w:hAnsi="Arial" w:cs="Arial"/>
        </w:rPr>
      </w:pPr>
    </w:p>
    <w:p w14:paraId="78EF960C" w14:textId="3B9C0FA3" w:rsidR="005D6FB5" w:rsidRPr="00DE5A20" w:rsidRDefault="00DE5A20" w:rsidP="00DE5A20">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D6FB5" w:rsidRPr="00DE5A20">
        <w:rPr>
          <w:rFonts w:ascii="Arial" w:hAnsi="Arial" w:cs="Arial"/>
          <w:sz w:val="24"/>
          <w:szCs w:val="24"/>
        </w:rPr>
        <w:t xml:space="preserve">Prinsloo J in her judgement in </w:t>
      </w:r>
      <w:r w:rsidR="005D6FB5" w:rsidRPr="00DE5A20">
        <w:rPr>
          <w:rFonts w:ascii="Arial" w:hAnsi="Arial" w:cs="Arial"/>
          <w:i/>
          <w:sz w:val="24"/>
          <w:szCs w:val="24"/>
        </w:rPr>
        <w:t>Hanus Properties and Consultants CC v The Deputy Sheriff for the District of Swakopmund</w:t>
      </w:r>
      <w:r w:rsidR="005D6FB5">
        <w:rPr>
          <w:rStyle w:val="FootnoteReference"/>
          <w:rFonts w:ascii="Arial" w:hAnsi="Arial" w:cs="Arial"/>
          <w:sz w:val="24"/>
          <w:szCs w:val="24"/>
        </w:rPr>
        <w:footnoteReference w:id="10"/>
      </w:r>
      <w:r w:rsidR="00B84436" w:rsidRPr="00DE5A20">
        <w:rPr>
          <w:rFonts w:ascii="Arial" w:hAnsi="Arial" w:cs="Arial"/>
          <w:i/>
          <w:sz w:val="24"/>
          <w:szCs w:val="24"/>
        </w:rPr>
        <w:t xml:space="preserve"> </w:t>
      </w:r>
      <w:r w:rsidR="005D6FB5" w:rsidRPr="00DE5A20">
        <w:rPr>
          <w:rFonts w:ascii="Arial" w:hAnsi="Arial" w:cs="Arial"/>
          <w:sz w:val="24"/>
          <w:szCs w:val="24"/>
        </w:rPr>
        <w:t>then pointed out that the above matter went on appeal and the appeal court said the following:</w:t>
      </w:r>
    </w:p>
    <w:p w14:paraId="1A5C40D3" w14:textId="77777777" w:rsidR="00F64AD1" w:rsidRPr="0041008A" w:rsidRDefault="00F64AD1" w:rsidP="00F64AD1">
      <w:pPr>
        <w:pStyle w:val="ListParagraph"/>
        <w:spacing w:after="0" w:line="360" w:lineRule="auto"/>
        <w:ind w:left="0"/>
        <w:jc w:val="both"/>
        <w:rPr>
          <w:rFonts w:ascii="Arial" w:hAnsi="Arial" w:cs="Arial"/>
        </w:rPr>
      </w:pPr>
    </w:p>
    <w:p w14:paraId="602F98DF" w14:textId="77777777" w:rsidR="00184C3A" w:rsidRPr="0041008A" w:rsidRDefault="005D6FB5" w:rsidP="0041008A">
      <w:pPr>
        <w:spacing w:line="360" w:lineRule="auto"/>
        <w:ind w:firstLine="720"/>
        <w:jc w:val="both"/>
        <w:rPr>
          <w:rFonts w:ascii="Arial" w:hAnsi="Arial" w:cs="Arial"/>
        </w:rPr>
      </w:pPr>
      <w:r w:rsidRPr="0041008A">
        <w:rPr>
          <w:rFonts w:ascii="Arial" w:hAnsi="Arial" w:cs="Arial"/>
        </w:rPr>
        <w:t xml:space="preserve">‘[23] There is one final matter that requires mention. The high court </w:t>
      </w:r>
      <w:proofErr w:type="spellStart"/>
      <w:r w:rsidRPr="0041008A">
        <w:rPr>
          <w:rFonts w:ascii="Arial" w:hAnsi="Arial" w:cs="Arial"/>
        </w:rPr>
        <w:t>characterised</w:t>
      </w:r>
      <w:proofErr w:type="spellEnd"/>
      <w:r w:rsidRPr="0041008A">
        <w:rPr>
          <w:rFonts w:ascii="Arial" w:hAnsi="Arial" w:cs="Arial"/>
        </w:rPr>
        <w:t xml:space="preserve"> the Deputy Sheriff’s action as administrative in nature and said that the rules for judicial review were pertinent. That is not so. A sale in execution is a procedure executed by an official of the court in terms of the Uniform Rules of Court. It is not an administrative action and is not subject to review as such. If the official fails to comply with the rules, and the non-compliance does go to the root of the matter, the sale in execution (or any other court process similarly affected) </w:t>
      </w:r>
      <w:r w:rsidRPr="0041008A">
        <w:rPr>
          <w:rFonts w:ascii="Arial" w:hAnsi="Arial" w:cs="Arial"/>
        </w:rPr>
        <w:lastRenderedPageBreak/>
        <w:t>will be invalid. Review proceedings are not required to set it aside. So too, the invalid act does not stand and have legal consequences until it is set aside.’</w:t>
      </w:r>
    </w:p>
    <w:p w14:paraId="1D088206" w14:textId="5DF5ED7F"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84436" w:rsidRPr="00DE5A20">
        <w:rPr>
          <w:rFonts w:ascii="Arial" w:hAnsi="Arial" w:cs="Arial"/>
          <w:sz w:val="24"/>
          <w:szCs w:val="24"/>
        </w:rPr>
        <w:t xml:space="preserve">As a result </w:t>
      </w:r>
      <w:proofErr w:type="gramStart"/>
      <w:r w:rsidR="00B84436" w:rsidRPr="00DE5A20">
        <w:rPr>
          <w:rFonts w:ascii="Arial" w:hAnsi="Arial" w:cs="Arial"/>
          <w:sz w:val="24"/>
          <w:szCs w:val="24"/>
        </w:rPr>
        <w:t>it is clear that the</w:t>
      </w:r>
      <w:proofErr w:type="gramEnd"/>
      <w:r w:rsidR="00B84436" w:rsidRPr="00DE5A20">
        <w:rPr>
          <w:rFonts w:ascii="Arial" w:hAnsi="Arial" w:cs="Arial"/>
          <w:sz w:val="24"/>
          <w:szCs w:val="24"/>
        </w:rPr>
        <w:t xml:space="preserve"> conduct of the deputy-sheriff in this matter is not reviewable under rule 76(1) of the Court rules as it is not an administrative action.</w:t>
      </w:r>
    </w:p>
    <w:p w14:paraId="6A70DFF1" w14:textId="77777777" w:rsidR="0041008A" w:rsidRPr="0041008A" w:rsidRDefault="0041008A" w:rsidP="0041008A">
      <w:pPr>
        <w:pStyle w:val="ListParagraph"/>
        <w:spacing w:after="0" w:line="360" w:lineRule="auto"/>
        <w:ind w:left="0"/>
        <w:jc w:val="both"/>
        <w:rPr>
          <w:rFonts w:ascii="Arial" w:hAnsi="Arial" w:cs="Arial"/>
          <w:sz w:val="24"/>
          <w:szCs w:val="24"/>
        </w:rPr>
      </w:pPr>
    </w:p>
    <w:p w14:paraId="074C107F" w14:textId="77777777" w:rsidR="00184C3A" w:rsidRPr="00B84436" w:rsidRDefault="00B84436" w:rsidP="00184C3A">
      <w:pPr>
        <w:spacing w:line="360" w:lineRule="auto"/>
        <w:jc w:val="both"/>
        <w:rPr>
          <w:rFonts w:ascii="Arial" w:hAnsi="Arial" w:cs="Arial"/>
          <w:sz w:val="24"/>
          <w:szCs w:val="24"/>
          <w:u w:val="single"/>
        </w:rPr>
      </w:pPr>
      <w:r w:rsidRPr="00B84436">
        <w:rPr>
          <w:rFonts w:ascii="Arial" w:hAnsi="Arial" w:cs="Arial"/>
          <w:sz w:val="24"/>
          <w:szCs w:val="24"/>
          <w:u w:val="single"/>
        </w:rPr>
        <w:t>Remarks on the main part of the application</w:t>
      </w:r>
    </w:p>
    <w:p w14:paraId="0C2199DA" w14:textId="7554CCA2"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B84436" w:rsidRPr="00DE5A20">
        <w:rPr>
          <w:rFonts w:ascii="Arial" w:hAnsi="Arial" w:cs="Arial"/>
          <w:sz w:val="24"/>
          <w:szCs w:val="24"/>
        </w:rPr>
        <w:t>For clarity’s sake, I would like to shortly deal with the crux of the complaint against the deputy-sheriff</w:t>
      </w:r>
      <w:r w:rsidR="00FF6E3C" w:rsidRPr="00DE5A20">
        <w:rPr>
          <w:rFonts w:ascii="Arial" w:hAnsi="Arial" w:cs="Arial"/>
          <w:sz w:val="24"/>
          <w:szCs w:val="24"/>
        </w:rPr>
        <w:t>,</w:t>
      </w:r>
      <w:r w:rsidR="00B84436" w:rsidRPr="00DE5A20">
        <w:rPr>
          <w:rFonts w:ascii="Arial" w:hAnsi="Arial" w:cs="Arial"/>
          <w:sz w:val="24"/>
          <w:szCs w:val="24"/>
        </w:rPr>
        <w:t xml:space="preserve"> in that he did not cancel the sale after the non-compliance to the conditions of sal</w:t>
      </w:r>
      <w:r w:rsidR="00216AB1" w:rsidRPr="00DE5A20">
        <w:rPr>
          <w:rFonts w:ascii="Arial" w:hAnsi="Arial" w:cs="Arial"/>
          <w:sz w:val="24"/>
          <w:szCs w:val="24"/>
        </w:rPr>
        <w:t xml:space="preserve">e which was published </w:t>
      </w:r>
      <w:proofErr w:type="gramStart"/>
      <w:r w:rsidR="00216AB1" w:rsidRPr="00DE5A20">
        <w:rPr>
          <w:rFonts w:ascii="Arial" w:hAnsi="Arial" w:cs="Arial"/>
          <w:sz w:val="24"/>
          <w:szCs w:val="24"/>
        </w:rPr>
        <w:t>with regard to</w:t>
      </w:r>
      <w:proofErr w:type="gramEnd"/>
      <w:r w:rsidR="00216AB1" w:rsidRPr="00DE5A20">
        <w:rPr>
          <w:rFonts w:ascii="Arial" w:hAnsi="Arial" w:cs="Arial"/>
          <w:sz w:val="24"/>
          <w:szCs w:val="24"/>
        </w:rPr>
        <w:t xml:space="preserve"> this sale.  </w:t>
      </w:r>
      <w:r w:rsidR="000A5600" w:rsidRPr="00DE5A20">
        <w:rPr>
          <w:rFonts w:ascii="Arial" w:hAnsi="Arial" w:cs="Arial"/>
          <w:sz w:val="24"/>
          <w:szCs w:val="24"/>
        </w:rPr>
        <w:t xml:space="preserve">I wish to repeat what was said in </w:t>
      </w:r>
      <w:r w:rsidR="000A5600" w:rsidRPr="00DE5A20">
        <w:rPr>
          <w:rFonts w:ascii="Arial" w:hAnsi="Arial" w:cs="Arial"/>
          <w:i/>
          <w:sz w:val="24"/>
          <w:szCs w:val="24"/>
        </w:rPr>
        <w:t>Bell Rae v Sheriff of the High Court Kempton Park South</w:t>
      </w:r>
      <w:r w:rsidR="000A5600">
        <w:rPr>
          <w:rStyle w:val="FootnoteReference"/>
          <w:rFonts w:ascii="Arial" w:hAnsi="Arial" w:cs="Arial"/>
          <w:sz w:val="24"/>
          <w:szCs w:val="24"/>
        </w:rPr>
        <w:footnoteReference w:id="11"/>
      </w:r>
      <w:r w:rsidR="000A5600" w:rsidRPr="00DE5A20">
        <w:rPr>
          <w:rFonts w:ascii="Arial" w:hAnsi="Arial" w:cs="Arial"/>
          <w:sz w:val="24"/>
          <w:szCs w:val="24"/>
        </w:rPr>
        <w:t>:</w:t>
      </w:r>
    </w:p>
    <w:p w14:paraId="0017FF24" w14:textId="77777777" w:rsidR="0041008A" w:rsidRPr="0041008A" w:rsidRDefault="0041008A" w:rsidP="0041008A">
      <w:pPr>
        <w:pStyle w:val="ListParagraph"/>
        <w:spacing w:after="0" w:line="360" w:lineRule="auto"/>
        <w:ind w:left="0"/>
        <w:jc w:val="both"/>
        <w:rPr>
          <w:rFonts w:ascii="Arial" w:hAnsi="Arial" w:cs="Arial"/>
          <w:sz w:val="24"/>
          <w:szCs w:val="24"/>
        </w:rPr>
      </w:pPr>
    </w:p>
    <w:p w14:paraId="33A3AB5F" w14:textId="77777777" w:rsidR="000A5600" w:rsidRPr="004B756E" w:rsidRDefault="000A5600" w:rsidP="000A5600">
      <w:pPr>
        <w:spacing w:line="360" w:lineRule="auto"/>
        <w:jc w:val="both"/>
        <w:rPr>
          <w:rFonts w:ascii="Arial" w:hAnsi="Arial" w:cs="Arial"/>
        </w:rPr>
      </w:pPr>
      <w:r>
        <w:rPr>
          <w:rFonts w:ascii="Arial" w:hAnsi="Arial" w:cs="Arial"/>
          <w:sz w:val="24"/>
          <w:szCs w:val="24"/>
        </w:rPr>
        <w:tab/>
        <w:t>‘</w:t>
      </w:r>
      <w:r w:rsidRPr="004B756E">
        <w:rPr>
          <w:rFonts w:ascii="Arial" w:hAnsi="Arial" w:cs="Arial"/>
        </w:rPr>
        <w:t xml:space="preserve">The applicant has a number of obstacles in his path in succeeding in his </w:t>
      </w:r>
      <w:proofErr w:type="gramStart"/>
      <w:r w:rsidRPr="004B756E">
        <w:rPr>
          <w:rFonts w:ascii="Arial" w:hAnsi="Arial" w:cs="Arial"/>
        </w:rPr>
        <w:t>review:-</w:t>
      </w:r>
      <w:proofErr w:type="gramEnd"/>
    </w:p>
    <w:p w14:paraId="28F22432" w14:textId="77777777" w:rsidR="000A5600" w:rsidRPr="004B756E" w:rsidRDefault="000A5600" w:rsidP="000A5600">
      <w:pPr>
        <w:spacing w:line="360" w:lineRule="auto"/>
        <w:jc w:val="both"/>
        <w:rPr>
          <w:rFonts w:ascii="Arial" w:hAnsi="Arial" w:cs="Arial"/>
        </w:rPr>
      </w:pPr>
      <w:r w:rsidRPr="004B756E">
        <w:rPr>
          <w:rFonts w:ascii="Arial" w:hAnsi="Arial" w:cs="Arial"/>
        </w:rPr>
        <w:t xml:space="preserve">12.1 The prejudice which he claims to have suffered </w:t>
      </w:r>
      <w:proofErr w:type="gramStart"/>
      <w:r w:rsidRPr="004B756E">
        <w:rPr>
          <w:rFonts w:ascii="Arial" w:hAnsi="Arial" w:cs="Arial"/>
        </w:rPr>
        <w:t>as a result of</w:t>
      </w:r>
      <w:proofErr w:type="gramEnd"/>
      <w:r w:rsidRPr="004B756E">
        <w:rPr>
          <w:rFonts w:ascii="Arial" w:hAnsi="Arial" w:cs="Arial"/>
        </w:rPr>
        <w:t xml:space="preserve"> the Sheriff’s failure to insist on proper compliance with the conditions of sale is that this potentially precludes him from achieving a better price for the property in accordance with the sale agreement concluded with </w:t>
      </w:r>
      <w:proofErr w:type="spellStart"/>
      <w:r w:rsidRPr="004B756E">
        <w:rPr>
          <w:rFonts w:ascii="Arial" w:hAnsi="Arial" w:cs="Arial"/>
        </w:rPr>
        <w:t>Mr</w:t>
      </w:r>
      <w:proofErr w:type="spellEnd"/>
      <w:r w:rsidRPr="004B756E">
        <w:rPr>
          <w:rFonts w:ascii="Arial" w:hAnsi="Arial" w:cs="Arial"/>
        </w:rPr>
        <w:t xml:space="preserve"> </w:t>
      </w:r>
      <w:proofErr w:type="spellStart"/>
      <w:r w:rsidRPr="004B756E">
        <w:rPr>
          <w:rFonts w:ascii="Arial" w:hAnsi="Arial" w:cs="Arial"/>
        </w:rPr>
        <w:t>Tshilongwane</w:t>
      </w:r>
      <w:proofErr w:type="spellEnd"/>
      <w:r w:rsidRPr="004B756E">
        <w:rPr>
          <w:rFonts w:ascii="Arial" w:hAnsi="Arial" w:cs="Arial"/>
        </w:rPr>
        <w:t xml:space="preserve"> and </w:t>
      </w:r>
      <w:proofErr w:type="spellStart"/>
      <w:r w:rsidRPr="004B756E">
        <w:rPr>
          <w:rFonts w:ascii="Arial" w:hAnsi="Arial" w:cs="Arial"/>
        </w:rPr>
        <w:t>Ms</w:t>
      </w:r>
      <w:proofErr w:type="spellEnd"/>
      <w:r w:rsidRPr="004B756E">
        <w:rPr>
          <w:rFonts w:ascii="Arial" w:hAnsi="Arial" w:cs="Arial"/>
        </w:rPr>
        <w:t xml:space="preserve"> </w:t>
      </w:r>
      <w:proofErr w:type="spellStart"/>
      <w:r w:rsidRPr="004B756E">
        <w:rPr>
          <w:rFonts w:ascii="Arial" w:hAnsi="Arial" w:cs="Arial"/>
        </w:rPr>
        <w:t>Tholo</w:t>
      </w:r>
      <w:proofErr w:type="spellEnd"/>
      <w:r w:rsidRPr="004B756E">
        <w:rPr>
          <w:rFonts w:ascii="Arial" w:hAnsi="Arial" w:cs="Arial"/>
        </w:rPr>
        <w:t xml:space="preserve">. For this he relies upon the Help U Save provision in the Memorandum of Agreement which he signed on 1 October 2011. But even if I could find that an agreement had been concluded (which I am unable to do) the very terms of this agreement are destructive of his contention of prejudice. The agreement provides that the applicant is required to continue paying a specified amount towards his monthly mortgage loan repayment (which there is no evidence that he did) and that he grants ABSA a power of attorney to sell the property if he has not fully complied with the provisions of that agreement. In other words, no expectation, express or implied, is created in this document that the applicant is himself entitled </w:t>
      </w:r>
      <w:r w:rsidR="0041008A">
        <w:rPr>
          <w:rFonts w:ascii="Arial" w:hAnsi="Arial" w:cs="Arial"/>
        </w:rPr>
        <w:t>to market and sell the property.</w:t>
      </w:r>
    </w:p>
    <w:p w14:paraId="6C635A9E" w14:textId="77777777" w:rsidR="000A5600" w:rsidRPr="004B756E" w:rsidRDefault="000A5600" w:rsidP="000A5600">
      <w:pPr>
        <w:spacing w:line="360" w:lineRule="auto"/>
        <w:jc w:val="both"/>
        <w:rPr>
          <w:rFonts w:ascii="Arial" w:hAnsi="Arial" w:cs="Arial"/>
        </w:rPr>
      </w:pPr>
      <w:r w:rsidRPr="004B756E">
        <w:rPr>
          <w:rFonts w:ascii="Arial" w:hAnsi="Arial" w:cs="Arial"/>
        </w:rPr>
        <w:t>12.2 Insofar as a delay in the payment of the balance of the purchase price may have occurred which in turn could lead to the delay in transfer of the property, then clause 5.1(b) of the conditions of sale adequately protects the applicant by making the purchaser liable for interest at the rate applicable in the mortgage bond, thereby effectively freezing and securing the judgment debtor’s financial posit</w:t>
      </w:r>
      <w:r w:rsidR="0041008A">
        <w:rPr>
          <w:rFonts w:ascii="Arial" w:hAnsi="Arial" w:cs="Arial"/>
        </w:rPr>
        <w:t>ion to prevent prejudice to him.</w:t>
      </w:r>
    </w:p>
    <w:p w14:paraId="3A98520A" w14:textId="77777777" w:rsidR="000A5600" w:rsidRPr="004B756E" w:rsidRDefault="000A5600" w:rsidP="000A5600">
      <w:pPr>
        <w:spacing w:line="360" w:lineRule="auto"/>
        <w:jc w:val="both"/>
        <w:rPr>
          <w:rFonts w:ascii="Arial" w:hAnsi="Arial" w:cs="Arial"/>
        </w:rPr>
      </w:pPr>
      <w:r w:rsidRPr="004B756E">
        <w:rPr>
          <w:rFonts w:ascii="Arial" w:hAnsi="Arial" w:cs="Arial"/>
        </w:rPr>
        <w:t xml:space="preserve">12.3 Neither Rule 46(11) nor clause 10.1 of the conditions of sale obliges the Sheriff to cancel the sale in the event of non-compliance with any conditions; both the Rule and the condition are expressed permissively, and I can find no injunction requiring the Sheriff to cancel. In </w:t>
      </w:r>
      <w:r w:rsidRPr="004B756E">
        <w:rPr>
          <w:rFonts w:ascii="Arial" w:hAnsi="Arial" w:cs="Arial"/>
          <w:i/>
        </w:rPr>
        <w:lastRenderedPageBreak/>
        <w:t>Standard Bank of South Africa v Ndlovu</w:t>
      </w:r>
      <w:r w:rsidRPr="004B756E">
        <w:rPr>
          <w:rStyle w:val="FootnoteReference"/>
          <w:rFonts w:ascii="Arial" w:hAnsi="Arial" w:cs="Arial"/>
          <w:i/>
        </w:rPr>
        <w:footnoteReference w:id="12"/>
      </w:r>
      <w:r w:rsidRPr="004B756E">
        <w:rPr>
          <w:rFonts w:ascii="Arial" w:hAnsi="Arial" w:cs="Arial"/>
        </w:rPr>
        <w:t xml:space="preserve"> Sutherland J dealt with an election by the Sheriff to effect a cancellation in terms of an identical clause 5.1 as </w:t>
      </w:r>
      <w:proofErr w:type="gramStart"/>
      <w:r w:rsidRPr="004B756E">
        <w:rPr>
          <w:rFonts w:ascii="Arial" w:hAnsi="Arial" w:cs="Arial"/>
        </w:rPr>
        <w:t>follows:-</w:t>
      </w:r>
      <w:proofErr w:type="gramEnd"/>
    </w:p>
    <w:p w14:paraId="0090202E" w14:textId="77777777" w:rsidR="000A5600" w:rsidRPr="004B756E" w:rsidRDefault="000A5600" w:rsidP="000A5600">
      <w:pPr>
        <w:spacing w:line="360" w:lineRule="auto"/>
        <w:jc w:val="both"/>
        <w:rPr>
          <w:rFonts w:ascii="Arial" w:hAnsi="Arial" w:cs="Arial"/>
        </w:rPr>
      </w:pPr>
      <w:r w:rsidRPr="004B756E">
        <w:rPr>
          <w:rFonts w:ascii="Arial" w:hAnsi="Arial" w:cs="Arial"/>
        </w:rPr>
        <w:t xml:space="preserve">“A purchaser only has those rights that are to be found within the four corners of the sale agreement. If the guarantees are late, even though the purchaser may be blameless, there is no juridical basis on which to challenge the right of election vested in the sheriff in clause 5.1 of the sale agreement to </w:t>
      </w:r>
      <w:proofErr w:type="gramStart"/>
      <w:r w:rsidRPr="004B756E">
        <w:rPr>
          <w:rFonts w:ascii="Arial" w:hAnsi="Arial" w:cs="Arial"/>
        </w:rPr>
        <w:t>effect</w:t>
      </w:r>
      <w:proofErr w:type="gramEnd"/>
      <w:r w:rsidRPr="004B756E">
        <w:rPr>
          <w:rFonts w:ascii="Arial" w:hAnsi="Arial" w:cs="Arial"/>
        </w:rPr>
        <w:t xml:space="preserve"> a cancellation. In an ordinary contract a provision vesting a right to cancel upon the happening or no-happening of a specified event by a stipulated date is not susceptible to challenge. The election is not a breach of contract. The mantle of judicial supervision over a sale in execution and its cancellation does not create more or better rights for the defaulting purchaser.”  </w:t>
      </w:r>
    </w:p>
    <w:p w14:paraId="342F3052" w14:textId="77777777" w:rsidR="00184C3A" w:rsidRDefault="000A5600" w:rsidP="0041008A">
      <w:pPr>
        <w:spacing w:after="0" w:line="360" w:lineRule="auto"/>
        <w:jc w:val="both"/>
        <w:rPr>
          <w:rFonts w:ascii="Arial" w:hAnsi="Arial" w:cs="Arial"/>
        </w:rPr>
      </w:pPr>
      <w:r w:rsidRPr="004B756E">
        <w:rPr>
          <w:rFonts w:ascii="Arial" w:hAnsi="Arial" w:cs="Arial"/>
        </w:rPr>
        <w:t>In my view the converse also applies; if the Sheriff has a right to condone non-compliance with conditions of sale, which I am satisfied he has, then his discretion is not open to challenge. Much less so by an execution debtor such as the applicant, who on the authority of Sithole (supra), has only a passive role in the execution process.</w:t>
      </w:r>
      <w:r w:rsidR="0041008A">
        <w:rPr>
          <w:rFonts w:ascii="Arial" w:hAnsi="Arial" w:cs="Arial"/>
        </w:rPr>
        <w:t>’</w:t>
      </w:r>
    </w:p>
    <w:p w14:paraId="115D88B1" w14:textId="77777777" w:rsidR="0041008A" w:rsidRPr="004B756E" w:rsidRDefault="0041008A" w:rsidP="0041008A">
      <w:pPr>
        <w:spacing w:after="0" w:line="360" w:lineRule="auto"/>
        <w:jc w:val="both"/>
        <w:rPr>
          <w:rFonts w:ascii="Arial" w:hAnsi="Arial" w:cs="Arial"/>
        </w:rPr>
      </w:pPr>
    </w:p>
    <w:p w14:paraId="4C51B78B" w14:textId="3BB1BC1D" w:rsidR="002F7438" w:rsidRPr="00DE5A20" w:rsidRDefault="00DE5A20" w:rsidP="00DE5A20">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B756E" w:rsidRPr="00DE5A20">
        <w:rPr>
          <w:rFonts w:ascii="Arial" w:hAnsi="Arial" w:cs="Arial"/>
          <w:sz w:val="24"/>
          <w:szCs w:val="24"/>
        </w:rPr>
        <w:t>It is the view of the court that although the court found the conduct of the deputy-sher</w:t>
      </w:r>
      <w:r w:rsidR="0041008A" w:rsidRPr="00DE5A20">
        <w:rPr>
          <w:rFonts w:ascii="Arial" w:hAnsi="Arial" w:cs="Arial"/>
          <w:sz w:val="24"/>
          <w:szCs w:val="24"/>
        </w:rPr>
        <w:t>iff not reviewable under s</w:t>
      </w:r>
      <w:r w:rsidR="004B756E" w:rsidRPr="00DE5A20">
        <w:rPr>
          <w:rFonts w:ascii="Arial" w:hAnsi="Arial" w:cs="Arial"/>
          <w:sz w:val="24"/>
          <w:szCs w:val="24"/>
        </w:rPr>
        <w:t xml:space="preserve"> 76(1) of the rules of court, the applicant will find herself in a similar position as set out in the </w:t>
      </w:r>
      <w:r w:rsidR="004B756E" w:rsidRPr="00DE5A20">
        <w:rPr>
          <w:rFonts w:ascii="Arial" w:hAnsi="Arial" w:cs="Arial"/>
          <w:i/>
          <w:sz w:val="24"/>
          <w:szCs w:val="24"/>
        </w:rPr>
        <w:t>Bell Rae</w:t>
      </w:r>
      <w:r w:rsidR="008D6776" w:rsidRPr="00DE5A20">
        <w:rPr>
          <w:rFonts w:ascii="Arial" w:hAnsi="Arial" w:cs="Arial"/>
          <w:sz w:val="24"/>
          <w:szCs w:val="24"/>
        </w:rPr>
        <w:t xml:space="preserve"> matter</w:t>
      </w:r>
      <w:r w:rsidR="001238F3" w:rsidRPr="00DE5A20">
        <w:rPr>
          <w:rFonts w:ascii="Arial" w:hAnsi="Arial" w:cs="Arial"/>
          <w:sz w:val="24"/>
          <w:szCs w:val="24"/>
        </w:rPr>
        <w:t xml:space="preserve"> should she wish to peruse this matter further</w:t>
      </w:r>
      <w:r w:rsidR="0041008A" w:rsidRPr="00DE5A20">
        <w:rPr>
          <w:rFonts w:ascii="Arial" w:hAnsi="Arial" w:cs="Arial"/>
          <w:sz w:val="24"/>
          <w:szCs w:val="24"/>
        </w:rPr>
        <w:t>.</w:t>
      </w:r>
    </w:p>
    <w:p w14:paraId="75FB2B65" w14:textId="77777777" w:rsidR="002F7438" w:rsidRDefault="002F7438" w:rsidP="002F7438">
      <w:pPr>
        <w:pStyle w:val="ListParagraph"/>
        <w:spacing w:after="0" w:line="360" w:lineRule="auto"/>
        <w:ind w:left="0"/>
        <w:jc w:val="both"/>
        <w:rPr>
          <w:rFonts w:ascii="Arial" w:hAnsi="Arial" w:cs="Arial"/>
          <w:sz w:val="24"/>
          <w:szCs w:val="24"/>
        </w:rPr>
      </w:pPr>
    </w:p>
    <w:p w14:paraId="3FBCA665" w14:textId="1F040F48" w:rsidR="00184C3A" w:rsidRPr="00DE5A20" w:rsidRDefault="00DE5A20" w:rsidP="00DE5A2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84C3A" w:rsidRPr="00DE5A20">
        <w:rPr>
          <w:rFonts w:ascii="Arial" w:hAnsi="Arial" w:cs="Arial"/>
          <w:sz w:val="24"/>
          <w:szCs w:val="24"/>
        </w:rPr>
        <w:t>In the result, I make the following order:</w:t>
      </w:r>
    </w:p>
    <w:p w14:paraId="43484F53" w14:textId="77777777" w:rsidR="002F7438" w:rsidRPr="002F7438" w:rsidRDefault="002F7438" w:rsidP="002F7438">
      <w:pPr>
        <w:pStyle w:val="ListParagraph"/>
        <w:spacing w:after="0" w:line="360" w:lineRule="auto"/>
        <w:ind w:left="0"/>
        <w:jc w:val="both"/>
        <w:rPr>
          <w:rFonts w:ascii="Arial" w:hAnsi="Arial" w:cs="Arial"/>
          <w:sz w:val="24"/>
          <w:szCs w:val="24"/>
        </w:rPr>
      </w:pPr>
    </w:p>
    <w:p w14:paraId="48180CCD" w14:textId="77777777" w:rsidR="004B756E" w:rsidRPr="00D9070C" w:rsidRDefault="004B756E" w:rsidP="004A1B5A">
      <w:pPr>
        <w:spacing w:line="360" w:lineRule="auto"/>
        <w:ind w:left="720"/>
        <w:jc w:val="both"/>
        <w:rPr>
          <w:rFonts w:ascii="Arial" w:hAnsi="Arial" w:cs="Arial"/>
          <w:sz w:val="24"/>
          <w:szCs w:val="24"/>
        </w:rPr>
      </w:pPr>
      <w:r>
        <w:rPr>
          <w:rFonts w:ascii="Arial" w:hAnsi="Arial" w:cs="Arial"/>
          <w:sz w:val="24"/>
          <w:szCs w:val="24"/>
        </w:rPr>
        <w:t xml:space="preserve">The point </w:t>
      </w:r>
      <w:r w:rsidRPr="001238F3">
        <w:rPr>
          <w:rFonts w:ascii="Arial" w:hAnsi="Arial" w:cs="Arial"/>
          <w:i/>
          <w:sz w:val="24"/>
          <w:szCs w:val="24"/>
        </w:rPr>
        <w:t xml:space="preserve">in </w:t>
      </w:r>
      <w:proofErr w:type="spellStart"/>
      <w:r w:rsidRPr="001238F3">
        <w:rPr>
          <w:rFonts w:ascii="Arial" w:hAnsi="Arial" w:cs="Arial"/>
          <w:i/>
          <w:sz w:val="24"/>
          <w:szCs w:val="24"/>
        </w:rPr>
        <w:t>limine</w:t>
      </w:r>
      <w:proofErr w:type="spellEnd"/>
      <w:r>
        <w:rPr>
          <w:rFonts w:ascii="Arial" w:hAnsi="Arial" w:cs="Arial"/>
          <w:sz w:val="24"/>
          <w:szCs w:val="24"/>
        </w:rPr>
        <w:t xml:space="preserve"> raised regarding the reviewability of the conduct of the deputy-sheriff under rule 76(1) is upheld with costs, </w:t>
      </w:r>
      <w:r w:rsidR="006540AB">
        <w:rPr>
          <w:rFonts w:ascii="Arial" w:hAnsi="Arial" w:cs="Arial"/>
          <w:sz w:val="24"/>
          <w:szCs w:val="24"/>
        </w:rPr>
        <w:t xml:space="preserve">such costs </w:t>
      </w:r>
      <w:r>
        <w:rPr>
          <w:rFonts w:ascii="Arial" w:hAnsi="Arial" w:cs="Arial"/>
          <w:sz w:val="24"/>
          <w:szCs w:val="24"/>
        </w:rPr>
        <w:t>to include the costs of one instructing and one instructed counsel.</w:t>
      </w:r>
    </w:p>
    <w:p w14:paraId="5DAFF2A8" w14:textId="77777777" w:rsidR="00184C3A" w:rsidRDefault="00184C3A" w:rsidP="00184C3A">
      <w:pPr>
        <w:spacing w:after="0" w:line="360" w:lineRule="auto"/>
        <w:jc w:val="right"/>
        <w:rPr>
          <w:rFonts w:ascii="Arial" w:hAnsi="Arial" w:cs="Arial"/>
          <w:sz w:val="24"/>
          <w:szCs w:val="24"/>
        </w:rPr>
      </w:pPr>
    </w:p>
    <w:p w14:paraId="41FCFD3C" w14:textId="77777777" w:rsidR="00184C3A" w:rsidRDefault="00184C3A" w:rsidP="00184C3A">
      <w:pPr>
        <w:spacing w:after="0" w:line="360" w:lineRule="auto"/>
        <w:jc w:val="right"/>
        <w:rPr>
          <w:rFonts w:ascii="Arial" w:hAnsi="Arial" w:cs="Arial"/>
          <w:sz w:val="24"/>
          <w:szCs w:val="24"/>
        </w:rPr>
      </w:pPr>
    </w:p>
    <w:p w14:paraId="218BB759" w14:textId="77777777" w:rsidR="00184C3A" w:rsidRPr="00D9070C" w:rsidRDefault="00184C3A" w:rsidP="00184C3A">
      <w:pPr>
        <w:spacing w:after="0" w:line="360" w:lineRule="auto"/>
        <w:jc w:val="right"/>
        <w:rPr>
          <w:rFonts w:ascii="Arial" w:hAnsi="Arial" w:cs="Arial"/>
          <w:sz w:val="24"/>
          <w:szCs w:val="24"/>
        </w:rPr>
      </w:pPr>
    </w:p>
    <w:p w14:paraId="08058EED"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14:paraId="5848D969" w14:textId="77777777" w:rsidR="00184C3A" w:rsidRPr="00D9070C" w:rsidRDefault="009758C6" w:rsidP="00184C3A">
      <w:pPr>
        <w:spacing w:after="0" w:line="360" w:lineRule="auto"/>
        <w:jc w:val="right"/>
        <w:rPr>
          <w:rFonts w:ascii="Arial" w:hAnsi="Arial" w:cs="Arial"/>
          <w:sz w:val="24"/>
          <w:szCs w:val="24"/>
        </w:rPr>
      </w:pPr>
      <w:proofErr w:type="gramStart"/>
      <w:r>
        <w:rPr>
          <w:rFonts w:ascii="Arial" w:hAnsi="Arial" w:cs="Arial"/>
          <w:sz w:val="24"/>
          <w:szCs w:val="24"/>
        </w:rPr>
        <w:t>E  RAKOW</w:t>
      </w:r>
      <w:proofErr w:type="gramEnd"/>
    </w:p>
    <w:p w14:paraId="7DC97DA3" w14:textId="77777777"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Judge</w:t>
      </w:r>
    </w:p>
    <w:p w14:paraId="35E5D704" w14:textId="77777777" w:rsidR="00184C3A" w:rsidRDefault="00184C3A" w:rsidP="00184C3A">
      <w:pPr>
        <w:autoSpaceDE w:val="0"/>
        <w:autoSpaceDN w:val="0"/>
        <w:adjustRightInd w:val="0"/>
        <w:spacing w:after="0" w:line="360" w:lineRule="auto"/>
        <w:jc w:val="both"/>
        <w:rPr>
          <w:rFonts w:ascii="Arial" w:eastAsia="Times New Roman" w:hAnsi="Arial" w:cs="Arial"/>
          <w:sz w:val="24"/>
          <w:szCs w:val="24"/>
          <w:lang w:val="en-GB"/>
        </w:rPr>
      </w:pPr>
    </w:p>
    <w:p w14:paraId="4D769795" w14:textId="77777777" w:rsidR="004B756E" w:rsidRDefault="004B756E" w:rsidP="00184C3A">
      <w:pPr>
        <w:autoSpaceDE w:val="0"/>
        <w:autoSpaceDN w:val="0"/>
        <w:adjustRightInd w:val="0"/>
        <w:spacing w:after="0" w:line="360" w:lineRule="auto"/>
        <w:jc w:val="both"/>
        <w:rPr>
          <w:rFonts w:ascii="Arial" w:eastAsia="Times New Roman" w:hAnsi="Arial" w:cs="Arial"/>
          <w:sz w:val="24"/>
          <w:szCs w:val="24"/>
          <w:lang w:val="en-GB"/>
        </w:rPr>
      </w:pPr>
    </w:p>
    <w:p w14:paraId="59A214E1" w14:textId="77777777" w:rsidR="004B756E" w:rsidRDefault="004B756E" w:rsidP="00184C3A">
      <w:pPr>
        <w:autoSpaceDE w:val="0"/>
        <w:autoSpaceDN w:val="0"/>
        <w:adjustRightInd w:val="0"/>
        <w:spacing w:after="0" w:line="360" w:lineRule="auto"/>
        <w:jc w:val="both"/>
        <w:rPr>
          <w:rFonts w:ascii="Arial" w:eastAsia="Times New Roman" w:hAnsi="Arial" w:cs="Arial"/>
          <w:sz w:val="24"/>
          <w:szCs w:val="24"/>
          <w:lang w:val="en-GB"/>
        </w:rPr>
      </w:pPr>
    </w:p>
    <w:p w14:paraId="3A07EF34" w14:textId="77777777" w:rsidR="004A1B5A" w:rsidRDefault="004A1B5A" w:rsidP="00184C3A">
      <w:pPr>
        <w:autoSpaceDE w:val="0"/>
        <w:autoSpaceDN w:val="0"/>
        <w:adjustRightInd w:val="0"/>
        <w:spacing w:after="0" w:line="360" w:lineRule="auto"/>
        <w:jc w:val="both"/>
        <w:rPr>
          <w:rFonts w:ascii="Arial" w:eastAsia="Times New Roman" w:hAnsi="Arial" w:cs="Arial"/>
          <w:sz w:val="24"/>
          <w:szCs w:val="24"/>
          <w:lang w:val="en-GB"/>
        </w:rPr>
      </w:pPr>
    </w:p>
    <w:p w14:paraId="5D707435" w14:textId="77777777" w:rsidR="004A1B5A" w:rsidRDefault="004A1B5A" w:rsidP="00184C3A">
      <w:pPr>
        <w:autoSpaceDE w:val="0"/>
        <w:autoSpaceDN w:val="0"/>
        <w:adjustRightInd w:val="0"/>
        <w:spacing w:after="0" w:line="360" w:lineRule="auto"/>
        <w:jc w:val="both"/>
        <w:rPr>
          <w:rFonts w:ascii="Arial" w:eastAsia="Times New Roman" w:hAnsi="Arial" w:cs="Arial"/>
          <w:sz w:val="24"/>
          <w:szCs w:val="24"/>
          <w:lang w:val="en-GB"/>
        </w:rPr>
      </w:pPr>
    </w:p>
    <w:p w14:paraId="3E26F8AF" w14:textId="77777777" w:rsidR="004A1B5A" w:rsidRDefault="004A1B5A" w:rsidP="00184C3A">
      <w:pPr>
        <w:autoSpaceDE w:val="0"/>
        <w:autoSpaceDN w:val="0"/>
        <w:adjustRightInd w:val="0"/>
        <w:spacing w:after="0" w:line="360" w:lineRule="auto"/>
        <w:jc w:val="both"/>
        <w:rPr>
          <w:rFonts w:ascii="Arial" w:eastAsia="Times New Roman" w:hAnsi="Arial" w:cs="Arial"/>
          <w:sz w:val="24"/>
          <w:szCs w:val="24"/>
          <w:lang w:val="en-GB"/>
        </w:rPr>
      </w:pPr>
    </w:p>
    <w:p w14:paraId="781F2CD5" w14:textId="77777777" w:rsidR="004A1B5A" w:rsidRDefault="004A1B5A" w:rsidP="00184C3A">
      <w:pPr>
        <w:autoSpaceDE w:val="0"/>
        <w:autoSpaceDN w:val="0"/>
        <w:adjustRightInd w:val="0"/>
        <w:spacing w:after="0" w:line="360" w:lineRule="auto"/>
        <w:jc w:val="both"/>
        <w:rPr>
          <w:rFonts w:ascii="Arial" w:eastAsia="Times New Roman" w:hAnsi="Arial" w:cs="Arial"/>
          <w:sz w:val="24"/>
          <w:szCs w:val="24"/>
          <w:lang w:val="en-GB"/>
        </w:rPr>
      </w:pPr>
    </w:p>
    <w:p w14:paraId="5F07F0B9" w14:textId="77777777" w:rsidR="004A1B5A" w:rsidRPr="001E192C" w:rsidRDefault="004A1B5A" w:rsidP="00184C3A">
      <w:pPr>
        <w:autoSpaceDE w:val="0"/>
        <w:autoSpaceDN w:val="0"/>
        <w:adjustRightInd w:val="0"/>
        <w:spacing w:after="0" w:line="360" w:lineRule="auto"/>
        <w:jc w:val="both"/>
        <w:rPr>
          <w:rFonts w:ascii="Arial" w:eastAsia="Times New Roman" w:hAnsi="Arial" w:cs="Arial"/>
          <w:sz w:val="24"/>
          <w:szCs w:val="24"/>
          <w:lang w:val="en-GB"/>
        </w:rPr>
      </w:pPr>
    </w:p>
    <w:p w14:paraId="4EAAC119" w14:textId="77777777" w:rsidR="006540AB" w:rsidRDefault="006540AB" w:rsidP="00184C3A">
      <w:pPr>
        <w:autoSpaceDE w:val="0"/>
        <w:autoSpaceDN w:val="0"/>
        <w:adjustRightInd w:val="0"/>
        <w:spacing w:after="0" w:line="360" w:lineRule="auto"/>
        <w:jc w:val="both"/>
        <w:rPr>
          <w:rFonts w:ascii="Arial" w:eastAsia="Times New Roman" w:hAnsi="Arial" w:cs="Arial"/>
          <w:sz w:val="24"/>
          <w:szCs w:val="24"/>
          <w:lang w:val="en-GB"/>
        </w:rPr>
      </w:pPr>
    </w:p>
    <w:p w14:paraId="07BEB866" w14:textId="77777777" w:rsidR="00184C3A" w:rsidRPr="001E192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sidRPr="001E192C">
        <w:rPr>
          <w:rFonts w:ascii="Arial" w:eastAsia="Times New Roman" w:hAnsi="Arial" w:cs="Arial"/>
          <w:sz w:val="24"/>
          <w:szCs w:val="24"/>
          <w:lang w:val="en-GB"/>
        </w:rPr>
        <w:t>APPEARANCES</w:t>
      </w:r>
    </w:p>
    <w:p w14:paraId="3AB4CC24" w14:textId="77777777" w:rsidR="00184C3A" w:rsidRPr="001E192C" w:rsidRDefault="00184C3A" w:rsidP="00184C3A">
      <w:pPr>
        <w:tabs>
          <w:tab w:val="left" w:pos="1394"/>
          <w:tab w:val="left" w:pos="2528"/>
          <w:tab w:val="left" w:pos="3780"/>
        </w:tabs>
        <w:spacing w:after="0" w:line="360" w:lineRule="auto"/>
        <w:jc w:val="both"/>
        <w:rPr>
          <w:rFonts w:ascii="Arial" w:hAnsi="Arial" w:cs="Arial"/>
          <w:sz w:val="24"/>
          <w:szCs w:val="24"/>
        </w:rPr>
      </w:pPr>
    </w:p>
    <w:p w14:paraId="45084590" w14:textId="77777777" w:rsidR="00A612E9" w:rsidRPr="001E192C" w:rsidRDefault="001238F3" w:rsidP="00A612E9">
      <w:pPr>
        <w:autoSpaceDE w:val="0"/>
        <w:autoSpaceDN w:val="0"/>
        <w:adjustRightInd w:val="0"/>
        <w:spacing w:after="0" w:line="360" w:lineRule="auto"/>
        <w:ind w:hanging="11"/>
        <w:jc w:val="both"/>
        <w:rPr>
          <w:rFonts w:ascii="Arial" w:hAnsi="Arial" w:cs="Arial"/>
          <w:sz w:val="24"/>
          <w:szCs w:val="24"/>
        </w:rPr>
      </w:pPr>
      <w:r w:rsidRPr="001E192C">
        <w:rPr>
          <w:rFonts w:ascii="Arial" w:hAnsi="Arial" w:cs="Arial"/>
          <w:sz w:val="24"/>
          <w:szCs w:val="24"/>
        </w:rPr>
        <w:t xml:space="preserve">APPLICANT: </w:t>
      </w:r>
      <w:r w:rsidR="00184C3A" w:rsidRPr="001E192C">
        <w:rPr>
          <w:rFonts w:ascii="Arial" w:hAnsi="Arial" w:cs="Arial"/>
          <w:sz w:val="24"/>
          <w:szCs w:val="24"/>
        </w:rPr>
        <w:tab/>
      </w:r>
      <w:r w:rsidR="00A612E9" w:rsidRPr="001E192C">
        <w:rPr>
          <w:rFonts w:ascii="Arial" w:hAnsi="Arial" w:cs="Arial"/>
          <w:sz w:val="24"/>
          <w:szCs w:val="24"/>
        </w:rPr>
        <w:tab/>
        <w:t xml:space="preserve">N </w:t>
      </w:r>
      <w:proofErr w:type="spellStart"/>
      <w:r w:rsidR="00A612E9" w:rsidRPr="001E192C">
        <w:rPr>
          <w:rFonts w:ascii="Arial" w:hAnsi="Arial" w:cs="Arial"/>
          <w:sz w:val="24"/>
          <w:szCs w:val="24"/>
        </w:rPr>
        <w:t>Tjombe</w:t>
      </w:r>
      <w:proofErr w:type="spellEnd"/>
    </w:p>
    <w:p w14:paraId="69617FE6" w14:textId="77777777" w:rsidR="00F348BE" w:rsidRPr="001E192C" w:rsidRDefault="00A612E9" w:rsidP="00A612E9">
      <w:pPr>
        <w:autoSpaceDE w:val="0"/>
        <w:autoSpaceDN w:val="0"/>
        <w:adjustRightInd w:val="0"/>
        <w:spacing w:after="0" w:line="360" w:lineRule="auto"/>
        <w:ind w:hanging="11"/>
        <w:jc w:val="both"/>
        <w:rPr>
          <w:rFonts w:ascii="Arial" w:hAnsi="Arial" w:cs="Arial"/>
          <w:sz w:val="24"/>
          <w:szCs w:val="24"/>
        </w:rPr>
      </w:pPr>
      <w:r w:rsidRPr="001E192C">
        <w:rPr>
          <w:rFonts w:ascii="Arial" w:hAnsi="Arial" w:cs="Arial"/>
          <w:sz w:val="24"/>
          <w:szCs w:val="24"/>
        </w:rPr>
        <w:tab/>
      </w:r>
      <w:r w:rsidRPr="001E192C">
        <w:rPr>
          <w:rFonts w:ascii="Arial" w:hAnsi="Arial" w:cs="Arial"/>
          <w:sz w:val="24"/>
          <w:szCs w:val="24"/>
        </w:rPr>
        <w:tab/>
      </w:r>
      <w:r w:rsidRPr="001E192C">
        <w:rPr>
          <w:rFonts w:ascii="Arial" w:hAnsi="Arial" w:cs="Arial"/>
          <w:sz w:val="24"/>
          <w:szCs w:val="24"/>
        </w:rPr>
        <w:tab/>
      </w:r>
      <w:r w:rsidRPr="001E192C">
        <w:rPr>
          <w:rFonts w:ascii="Arial" w:hAnsi="Arial" w:cs="Arial"/>
          <w:sz w:val="24"/>
          <w:szCs w:val="24"/>
        </w:rPr>
        <w:tab/>
      </w:r>
      <w:r w:rsidR="006540AB">
        <w:rPr>
          <w:rFonts w:ascii="Arial" w:hAnsi="Arial" w:cs="Arial"/>
          <w:sz w:val="24"/>
          <w:szCs w:val="24"/>
        </w:rPr>
        <w:tab/>
        <w:t xml:space="preserve">Of </w:t>
      </w:r>
      <w:proofErr w:type="spellStart"/>
      <w:r w:rsidRPr="001E192C">
        <w:rPr>
          <w:rFonts w:ascii="Arial" w:hAnsi="Arial" w:cs="Arial"/>
          <w:sz w:val="24"/>
          <w:szCs w:val="24"/>
        </w:rPr>
        <w:t>Tjombe</w:t>
      </w:r>
      <w:proofErr w:type="spellEnd"/>
      <w:r w:rsidRPr="001E192C">
        <w:rPr>
          <w:rFonts w:ascii="Arial" w:hAnsi="Arial" w:cs="Arial"/>
          <w:sz w:val="24"/>
          <w:szCs w:val="24"/>
        </w:rPr>
        <w:t>–</w:t>
      </w:r>
      <w:proofErr w:type="spellStart"/>
      <w:r w:rsidRPr="001E192C">
        <w:rPr>
          <w:rFonts w:ascii="Arial" w:hAnsi="Arial" w:cs="Arial"/>
          <w:sz w:val="24"/>
          <w:szCs w:val="24"/>
        </w:rPr>
        <w:t>Elago</w:t>
      </w:r>
      <w:proofErr w:type="spellEnd"/>
      <w:r w:rsidRPr="001E192C">
        <w:rPr>
          <w:rFonts w:ascii="Arial" w:hAnsi="Arial" w:cs="Arial"/>
          <w:sz w:val="24"/>
          <w:szCs w:val="24"/>
        </w:rPr>
        <w:t xml:space="preserve"> Inc</w:t>
      </w:r>
      <w:r w:rsidR="00B92DA4" w:rsidRPr="001E192C">
        <w:rPr>
          <w:rFonts w:ascii="Arial" w:hAnsi="Arial" w:cs="Arial"/>
          <w:sz w:val="24"/>
          <w:szCs w:val="24"/>
        </w:rPr>
        <w:t>, Windhoek</w:t>
      </w:r>
    </w:p>
    <w:p w14:paraId="5C748B8C" w14:textId="77777777" w:rsidR="00A612E9" w:rsidRPr="001E192C" w:rsidRDefault="00A612E9" w:rsidP="00A612E9">
      <w:pPr>
        <w:autoSpaceDE w:val="0"/>
        <w:autoSpaceDN w:val="0"/>
        <w:adjustRightInd w:val="0"/>
        <w:spacing w:after="0" w:line="360" w:lineRule="auto"/>
        <w:ind w:hanging="11"/>
        <w:jc w:val="both"/>
        <w:rPr>
          <w:rFonts w:ascii="Arial" w:hAnsi="Arial" w:cs="Arial"/>
          <w:sz w:val="24"/>
          <w:szCs w:val="24"/>
        </w:rPr>
      </w:pPr>
    </w:p>
    <w:p w14:paraId="7E1A5066" w14:textId="77777777" w:rsidR="00A612E9" w:rsidRPr="00BF3321" w:rsidRDefault="001238F3" w:rsidP="00A612E9">
      <w:pPr>
        <w:spacing w:after="160" w:line="259" w:lineRule="auto"/>
        <w:rPr>
          <w:rFonts w:ascii="Arial" w:hAnsi="Arial" w:cs="Arial"/>
          <w:sz w:val="24"/>
          <w:szCs w:val="24"/>
          <w:lang w:val="en-ZA"/>
        </w:rPr>
      </w:pPr>
      <w:r w:rsidRPr="001E192C">
        <w:rPr>
          <w:rFonts w:ascii="Arial" w:hAnsi="Arial" w:cs="Arial"/>
          <w:sz w:val="24"/>
          <w:szCs w:val="24"/>
        </w:rPr>
        <w:t>FIRST RESPONDENT</w:t>
      </w:r>
      <w:r w:rsidR="00184C3A" w:rsidRPr="001E192C">
        <w:rPr>
          <w:rFonts w:ascii="Arial" w:hAnsi="Arial" w:cs="Arial"/>
          <w:sz w:val="24"/>
          <w:szCs w:val="24"/>
        </w:rPr>
        <w:t>:</w:t>
      </w:r>
      <w:r w:rsidR="00BC0826" w:rsidRPr="001E192C">
        <w:rPr>
          <w:rFonts w:ascii="Arial" w:hAnsi="Arial" w:cs="Arial"/>
          <w:sz w:val="24"/>
          <w:szCs w:val="24"/>
        </w:rPr>
        <w:tab/>
      </w:r>
      <w:r w:rsidR="003178ED" w:rsidRPr="001E192C">
        <w:rPr>
          <w:rFonts w:ascii="Arial" w:hAnsi="Arial" w:cs="Arial"/>
          <w:sz w:val="24"/>
          <w:szCs w:val="24"/>
          <w:lang w:val="en-ZA"/>
        </w:rPr>
        <w:t>Y</w:t>
      </w:r>
      <w:r w:rsidR="00A612E9" w:rsidRPr="00BF3321">
        <w:rPr>
          <w:rFonts w:ascii="Arial" w:hAnsi="Arial" w:cs="Arial"/>
          <w:sz w:val="24"/>
          <w:szCs w:val="24"/>
          <w:lang w:val="en-ZA"/>
        </w:rPr>
        <w:t xml:space="preserve"> Campbell (with E </w:t>
      </w:r>
      <w:proofErr w:type="spellStart"/>
      <w:r w:rsidR="00A612E9" w:rsidRPr="00BF3321">
        <w:rPr>
          <w:rFonts w:ascii="Arial" w:hAnsi="Arial" w:cs="Arial"/>
          <w:sz w:val="24"/>
          <w:szCs w:val="24"/>
          <w:lang w:val="en-ZA"/>
        </w:rPr>
        <w:t>Yssel</w:t>
      </w:r>
      <w:proofErr w:type="spellEnd"/>
      <w:r w:rsidR="00A612E9" w:rsidRPr="00BF3321">
        <w:rPr>
          <w:rFonts w:ascii="Arial" w:hAnsi="Arial" w:cs="Arial"/>
          <w:sz w:val="24"/>
          <w:szCs w:val="24"/>
          <w:lang w:val="en-ZA"/>
        </w:rPr>
        <w:t>)</w:t>
      </w:r>
    </w:p>
    <w:p w14:paraId="528B5164" w14:textId="77777777" w:rsidR="006C3AF0" w:rsidRPr="001E192C" w:rsidRDefault="00A612E9" w:rsidP="00A612E9">
      <w:pPr>
        <w:spacing w:after="160" w:line="259" w:lineRule="auto"/>
        <w:rPr>
          <w:rFonts w:ascii="Arial" w:hAnsi="Arial" w:cs="Arial"/>
          <w:sz w:val="24"/>
          <w:szCs w:val="24"/>
          <w:lang w:val="en-ZA"/>
        </w:rPr>
      </w:pPr>
      <w:r w:rsidRPr="001E192C">
        <w:rPr>
          <w:rFonts w:ascii="Arial" w:hAnsi="Arial" w:cs="Arial"/>
          <w:sz w:val="24"/>
          <w:szCs w:val="24"/>
          <w:lang w:val="en-ZA"/>
        </w:rPr>
        <w:tab/>
      </w:r>
      <w:r w:rsidRPr="001E192C">
        <w:rPr>
          <w:rFonts w:ascii="Arial" w:hAnsi="Arial" w:cs="Arial"/>
          <w:sz w:val="24"/>
          <w:szCs w:val="24"/>
          <w:lang w:val="en-ZA"/>
        </w:rPr>
        <w:tab/>
      </w:r>
      <w:r w:rsidRPr="001E192C">
        <w:rPr>
          <w:rFonts w:ascii="Arial" w:hAnsi="Arial" w:cs="Arial"/>
          <w:sz w:val="24"/>
          <w:szCs w:val="24"/>
          <w:lang w:val="en-ZA"/>
        </w:rPr>
        <w:tab/>
      </w:r>
      <w:r w:rsidR="006540AB">
        <w:rPr>
          <w:rFonts w:ascii="Arial" w:hAnsi="Arial" w:cs="Arial"/>
          <w:sz w:val="24"/>
          <w:szCs w:val="24"/>
          <w:lang w:val="en-ZA"/>
        </w:rPr>
        <w:tab/>
        <w:t xml:space="preserve">Instructed by </w:t>
      </w:r>
      <w:r w:rsidRPr="00BF3321">
        <w:rPr>
          <w:rFonts w:ascii="Arial" w:hAnsi="Arial" w:cs="Arial"/>
          <w:sz w:val="24"/>
          <w:szCs w:val="24"/>
          <w:lang w:val="en-ZA"/>
        </w:rPr>
        <w:t xml:space="preserve">Engling, </w:t>
      </w:r>
      <w:proofErr w:type="spellStart"/>
      <w:r w:rsidRPr="00BF3321">
        <w:rPr>
          <w:rFonts w:ascii="Arial" w:hAnsi="Arial" w:cs="Arial"/>
          <w:sz w:val="24"/>
          <w:szCs w:val="24"/>
          <w:lang w:val="en-ZA"/>
        </w:rPr>
        <w:t>Stritter</w:t>
      </w:r>
      <w:proofErr w:type="spellEnd"/>
      <w:r w:rsidRPr="00BF3321">
        <w:rPr>
          <w:rFonts w:ascii="Arial" w:hAnsi="Arial" w:cs="Arial"/>
          <w:sz w:val="24"/>
          <w:szCs w:val="24"/>
          <w:lang w:val="en-ZA"/>
        </w:rPr>
        <w:t xml:space="preserve"> &amp; Partners</w:t>
      </w:r>
      <w:r w:rsidR="00B92DA4" w:rsidRPr="001E192C">
        <w:rPr>
          <w:rFonts w:ascii="Arial" w:hAnsi="Arial" w:cs="Arial"/>
          <w:sz w:val="24"/>
          <w:szCs w:val="24"/>
        </w:rPr>
        <w:t>, Windhoek</w:t>
      </w:r>
    </w:p>
    <w:p w14:paraId="45BE3861" w14:textId="77777777" w:rsidR="00A612E9" w:rsidRPr="00BF3321" w:rsidRDefault="00A612E9" w:rsidP="00A612E9">
      <w:pPr>
        <w:spacing w:after="160" w:line="259" w:lineRule="auto"/>
        <w:rPr>
          <w:rFonts w:ascii="Arial" w:hAnsi="Arial" w:cs="Arial"/>
          <w:lang w:val="en-ZA"/>
        </w:rPr>
      </w:pPr>
    </w:p>
    <w:sectPr w:rsidR="00A612E9" w:rsidRPr="00BF3321" w:rsidSect="002F21C5">
      <w:headerReference w:type="default" r:id="rId12"/>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581E" w14:textId="77777777" w:rsidR="00E855DC" w:rsidRDefault="00E855DC" w:rsidP="00CD474E">
      <w:pPr>
        <w:spacing w:after="0" w:line="240" w:lineRule="auto"/>
      </w:pPr>
      <w:r>
        <w:separator/>
      </w:r>
    </w:p>
  </w:endnote>
  <w:endnote w:type="continuationSeparator" w:id="0">
    <w:p w14:paraId="3A34FA57" w14:textId="77777777" w:rsidR="00E855DC" w:rsidRDefault="00E855DC"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28B1" w14:textId="77777777" w:rsidR="00E855DC" w:rsidRDefault="00E855DC" w:rsidP="00CD474E">
      <w:pPr>
        <w:spacing w:after="0" w:line="240" w:lineRule="auto"/>
      </w:pPr>
      <w:r>
        <w:separator/>
      </w:r>
    </w:p>
  </w:footnote>
  <w:footnote w:type="continuationSeparator" w:id="0">
    <w:p w14:paraId="22FCF0BA" w14:textId="77777777" w:rsidR="00E855DC" w:rsidRDefault="00E855DC" w:rsidP="00CD474E">
      <w:pPr>
        <w:spacing w:after="0" w:line="240" w:lineRule="auto"/>
      </w:pPr>
      <w:r>
        <w:continuationSeparator/>
      </w:r>
    </w:p>
  </w:footnote>
  <w:footnote w:id="1">
    <w:p w14:paraId="48C73EBE" w14:textId="77777777" w:rsidR="00AA2344" w:rsidRPr="002D339E" w:rsidRDefault="00AA2344" w:rsidP="002D339E">
      <w:pPr>
        <w:pStyle w:val="FootnoteText"/>
        <w:jc w:val="both"/>
        <w:rPr>
          <w:rFonts w:ascii="Arial" w:hAnsi="Arial" w:cs="Arial"/>
        </w:rPr>
      </w:pPr>
      <w:r w:rsidRPr="002D339E">
        <w:rPr>
          <w:rStyle w:val="FootnoteReference"/>
          <w:rFonts w:ascii="Arial" w:hAnsi="Arial" w:cs="Arial"/>
        </w:rPr>
        <w:footnoteRef/>
      </w:r>
      <w:r w:rsidRPr="002D339E">
        <w:rPr>
          <w:rFonts w:ascii="Arial" w:hAnsi="Arial" w:cs="Arial"/>
        </w:rPr>
        <w:t xml:space="preserve"> </w:t>
      </w:r>
      <w:r w:rsidRPr="002D339E">
        <w:rPr>
          <w:rFonts w:ascii="Arial" w:hAnsi="Arial" w:cs="Arial"/>
          <w:i/>
        </w:rPr>
        <w:t>Namibian Marine Phosphate (Pty) Ltd v Minister of Environment and Tourism &amp; Others</w:t>
      </w:r>
      <w:r w:rsidR="002D339E">
        <w:rPr>
          <w:rFonts w:ascii="Arial" w:hAnsi="Arial" w:cs="Arial"/>
        </w:rPr>
        <w:t xml:space="preserve"> 2019 (1) NR 90 (HC).</w:t>
      </w:r>
    </w:p>
  </w:footnote>
  <w:footnote w:id="2">
    <w:p w14:paraId="1EBEC948" w14:textId="77777777" w:rsidR="0000653C" w:rsidRPr="002D339E" w:rsidRDefault="0000653C" w:rsidP="0000653C">
      <w:pPr>
        <w:pStyle w:val="FootnoteText"/>
        <w:rPr>
          <w:rFonts w:ascii="Arial" w:hAnsi="Arial" w:cs="Arial"/>
        </w:rPr>
      </w:pPr>
      <w:r w:rsidRPr="002D339E">
        <w:rPr>
          <w:rStyle w:val="FootnoteReference"/>
          <w:rFonts w:ascii="Arial" w:hAnsi="Arial" w:cs="Arial"/>
        </w:rPr>
        <w:footnoteRef/>
      </w:r>
      <w:r w:rsidRPr="002D339E">
        <w:rPr>
          <w:rFonts w:ascii="Arial" w:hAnsi="Arial" w:cs="Arial"/>
        </w:rPr>
        <w:t xml:space="preserve"> </w:t>
      </w:r>
      <w:r w:rsidRPr="002D339E">
        <w:rPr>
          <w:rFonts w:ascii="Arial" w:hAnsi="Arial" w:cs="Arial"/>
          <w:i/>
        </w:rPr>
        <w:t xml:space="preserve">New Era Investments (Pty) Ltd v Roads Authority and Others </w:t>
      </w:r>
      <w:r w:rsidRPr="002D339E">
        <w:rPr>
          <w:rFonts w:ascii="Arial" w:hAnsi="Arial" w:cs="Arial"/>
        </w:rPr>
        <w:t>2014 (2) NR 596 (HC)</w:t>
      </w:r>
      <w:r w:rsidR="002D339E">
        <w:rPr>
          <w:rFonts w:ascii="Arial" w:hAnsi="Arial" w:cs="Arial"/>
        </w:rPr>
        <w:t>.</w:t>
      </w:r>
    </w:p>
    <w:p w14:paraId="183C82DC" w14:textId="77777777" w:rsidR="0000653C" w:rsidRDefault="0000653C">
      <w:pPr>
        <w:pStyle w:val="FootnoteText"/>
      </w:pPr>
    </w:p>
  </w:footnote>
  <w:footnote w:id="3">
    <w:p w14:paraId="6474F222" w14:textId="77777777" w:rsidR="0091717D" w:rsidRPr="00A435AF" w:rsidRDefault="0091717D">
      <w:pPr>
        <w:pStyle w:val="FootnoteText"/>
        <w:rPr>
          <w:rFonts w:ascii="Arial" w:hAnsi="Arial" w:cs="Arial"/>
        </w:rPr>
      </w:pPr>
      <w:r>
        <w:rPr>
          <w:rStyle w:val="FootnoteReference"/>
        </w:rPr>
        <w:footnoteRef/>
      </w:r>
      <w:r>
        <w:t xml:space="preserve"> </w:t>
      </w:r>
      <w:r w:rsidRPr="00A435AF">
        <w:rPr>
          <w:rFonts w:ascii="Arial" w:hAnsi="Arial" w:cs="Arial"/>
          <w:i/>
        </w:rPr>
        <w:t>Jaftha v Schoeman &amp; others; Van Rooyen v Stoltz &amp; others</w:t>
      </w:r>
      <w:r w:rsidRPr="00A435AF">
        <w:rPr>
          <w:rFonts w:ascii="Arial" w:hAnsi="Arial" w:cs="Arial"/>
        </w:rPr>
        <w:t xml:space="preserve"> [2003] 3 ALL SA 690</w:t>
      </w:r>
      <w:r w:rsidR="00A435AF">
        <w:rPr>
          <w:rFonts w:ascii="Arial" w:hAnsi="Arial" w:cs="Arial"/>
        </w:rPr>
        <w:t>.</w:t>
      </w:r>
    </w:p>
  </w:footnote>
  <w:footnote w:id="4">
    <w:p w14:paraId="7579F5BD" w14:textId="77777777" w:rsidR="00A435AF" w:rsidRDefault="00A435AF">
      <w:pPr>
        <w:pStyle w:val="FootnoteText"/>
      </w:pPr>
      <w:r w:rsidRPr="00A435AF">
        <w:rPr>
          <w:rStyle w:val="FootnoteReference"/>
          <w:rFonts w:ascii="Arial" w:hAnsi="Arial" w:cs="Arial"/>
        </w:rPr>
        <w:footnoteRef/>
      </w:r>
      <w:r w:rsidRPr="00A435AF">
        <w:rPr>
          <w:rFonts w:ascii="Arial" w:hAnsi="Arial" w:cs="Arial"/>
        </w:rPr>
        <w:t xml:space="preserve"> </w:t>
      </w:r>
      <w:r w:rsidRPr="00A435AF">
        <w:rPr>
          <w:rFonts w:ascii="Arial" w:hAnsi="Arial" w:cs="Arial"/>
          <w:i/>
        </w:rPr>
        <w:t>Syfrets Bank Ltd and Others v Sheriff of the Supreme Court 1997</w:t>
      </w:r>
      <w:r w:rsidR="00477660">
        <w:rPr>
          <w:rFonts w:ascii="Arial" w:hAnsi="Arial" w:cs="Arial"/>
        </w:rPr>
        <w:t xml:space="preserve"> (1) SA 764 (D).</w:t>
      </w:r>
    </w:p>
  </w:footnote>
  <w:footnote w:id="5">
    <w:p w14:paraId="62D5495F" w14:textId="77777777" w:rsidR="008C218B" w:rsidRPr="00462E22" w:rsidRDefault="008C218B">
      <w:pPr>
        <w:pStyle w:val="FootnoteText"/>
        <w:rPr>
          <w:rFonts w:ascii="Arial" w:hAnsi="Arial" w:cs="Arial"/>
        </w:rPr>
      </w:pPr>
      <w:r>
        <w:rPr>
          <w:rStyle w:val="FootnoteReference"/>
        </w:rPr>
        <w:footnoteRef/>
      </w:r>
      <w:r>
        <w:t xml:space="preserve"> </w:t>
      </w:r>
      <w:r w:rsidRPr="00462E22">
        <w:rPr>
          <w:rFonts w:ascii="Arial" w:hAnsi="Arial" w:cs="Arial"/>
          <w:i/>
        </w:rPr>
        <w:t>Katjiuanjo v Willemse</w:t>
      </w:r>
      <w:r w:rsidRPr="00462E22">
        <w:rPr>
          <w:rFonts w:ascii="Arial" w:hAnsi="Arial" w:cs="Arial"/>
        </w:rPr>
        <w:t xml:space="preserve"> (I 3464/2011) [2012] NAHCMD 5 (26 September 2012)</w:t>
      </w:r>
      <w:r w:rsidR="00462E22">
        <w:rPr>
          <w:rFonts w:ascii="Arial" w:hAnsi="Arial" w:cs="Arial"/>
        </w:rPr>
        <w:t>.</w:t>
      </w:r>
    </w:p>
  </w:footnote>
  <w:footnote w:id="6">
    <w:p w14:paraId="2B6CA924" w14:textId="77777777" w:rsidR="00580100" w:rsidRPr="00462E22" w:rsidRDefault="00580100">
      <w:pPr>
        <w:pStyle w:val="FootnoteText"/>
        <w:rPr>
          <w:rFonts w:ascii="Arial" w:hAnsi="Arial" w:cs="Arial"/>
        </w:rPr>
      </w:pPr>
      <w:r w:rsidRPr="00462E22">
        <w:rPr>
          <w:rStyle w:val="FootnoteReference"/>
          <w:rFonts w:ascii="Arial" w:hAnsi="Arial" w:cs="Arial"/>
        </w:rPr>
        <w:footnoteRef/>
      </w:r>
      <w:r w:rsidRPr="00462E22">
        <w:rPr>
          <w:rFonts w:ascii="Arial" w:hAnsi="Arial" w:cs="Arial"/>
        </w:rPr>
        <w:t xml:space="preserve"> </w:t>
      </w:r>
      <w:r w:rsidRPr="00462E22">
        <w:rPr>
          <w:rFonts w:ascii="Arial" w:hAnsi="Arial" w:cs="Arial"/>
          <w:i/>
        </w:rPr>
        <w:t>Mbanderu Traditional Authority and Another v Kahuure and Others</w:t>
      </w:r>
      <w:r w:rsidRPr="00462E22">
        <w:rPr>
          <w:rFonts w:ascii="Arial" w:hAnsi="Arial" w:cs="Arial"/>
        </w:rPr>
        <w:t xml:space="preserve"> 2008 (1) NR 55 (SC)</w:t>
      </w:r>
      <w:r w:rsidR="00462E22">
        <w:rPr>
          <w:rFonts w:ascii="Arial" w:hAnsi="Arial" w:cs="Arial"/>
        </w:rPr>
        <w:t>.</w:t>
      </w:r>
    </w:p>
  </w:footnote>
  <w:footnote w:id="7">
    <w:p w14:paraId="02A18593" w14:textId="77777777" w:rsidR="00F75278" w:rsidRPr="00462E22" w:rsidRDefault="00F75278" w:rsidP="00462E22">
      <w:pPr>
        <w:pStyle w:val="FootnoteText"/>
        <w:jc w:val="both"/>
        <w:rPr>
          <w:rFonts w:ascii="Arial" w:hAnsi="Arial" w:cs="Arial"/>
        </w:rPr>
      </w:pPr>
      <w:r w:rsidRPr="00462E22">
        <w:rPr>
          <w:rStyle w:val="FootnoteReference"/>
          <w:rFonts w:ascii="Arial" w:hAnsi="Arial" w:cs="Arial"/>
        </w:rPr>
        <w:footnoteRef/>
      </w:r>
      <w:r w:rsidRPr="00462E22">
        <w:rPr>
          <w:rFonts w:ascii="Arial" w:hAnsi="Arial" w:cs="Arial"/>
        </w:rPr>
        <w:t xml:space="preserve"> </w:t>
      </w:r>
      <w:r w:rsidRPr="00462E22">
        <w:rPr>
          <w:rFonts w:ascii="Arial" w:hAnsi="Arial" w:cs="Arial"/>
          <w:i/>
        </w:rPr>
        <w:t>President of the Republic of South Africa and Others v South African Rugby Football Union and Others</w:t>
      </w:r>
      <w:r w:rsidRPr="00462E22">
        <w:rPr>
          <w:rFonts w:ascii="Arial" w:hAnsi="Arial" w:cs="Arial"/>
        </w:rPr>
        <w:t xml:space="preserve"> (CCT16/98) [1999] ZACC 11; 2000 (1) SA 1; 1999 (10) BCLR 1059 (10 September 1999)</w:t>
      </w:r>
      <w:r w:rsidR="00462E22">
        <w:rPr>
          <w:rFonts w:ascii="Arial" w:hAnsi="Arial" w:cs="Arial"/>
        </w:rPr>
        <w:t>.</w:t>
      </w:r>
    </w:p>
  </w:footnote>
  <w:footnote w:id="8">
    <w:p w14:paraId="098E146C" w14:textId="77777777" w:rsidR="00F75278" w:rsidRPr="00F64AD1" w:rsidRDefault="00F75278" w:rsidP="00F64AD1">
      <w:pPr>
        <w:pStyle w:val="FootnoteText"/>
        <w:jc w:val="both"/>
        <w:rPr>
          <w:rFonts w:ascii="Arial" w:hAnsi="Arial" w:cs="Arial"/>
        </w:rPr>
      </w:pPr>
      <w:r>
        <w:rPr>
          <w:rStyle w:val="FootnoteReference"/>
        </w:rPr>
        <w:footnoteRef/>
      </w:r>
      <w:r>
        <w:t xml:space="preserve"> </w:t>
      </w:r>
      <w:r w:rsidRPr="00F64AD1">
        <w:rPr>
          <w:rFonts w:ascii="Arial" w:hAnsi="Arial" w:cs="Arial"/>
          <w:i/>
        </w:rPr>
        <w:t>Fedsure Life Assurance Ltd and Others v Greater Johannesburg Transitional Metropolitan Council and Others </w:t>
      </w:r>
      <w:r w:rsidRPr="00F64AD1">
        <w:rPr>
          <w:rFonts w:ascii="Arial" w:hAnsi="Arial" w:cs="Arial"/>
        </w:rPr>
        <w:t>1999 (1) SA 374 (CC) (1998 (12) BCLR 1458)</w:t>
      </w:r>
      <w:r w:rsidR="00F64AD1">
        <w:rPr>
          <w:rFonts w:ascii="Arial" w:hAnsi="Arial" w:cs="Arial"/>
        </w:rPr>
        <w:t>.</w:t>
      </w:r>
    </w:p>
  </w:footnote>
  <w:footnote w:id="9">
    <w:p w14:paraId="2AB239AC" w14:textId="77777777" w:rsidR="00F64AD1" w:rsidRPr="00F64AD1" w:rsidRDefault="00F64AD1">
      <w:pPr>
        <w:pStyle w:val="FootnoteText"/>
        <w:rPr>
          <w:rFonts w:ascii="Arial" w:hAnsi="Arial" w:cs="Arial"/>
        </w:rPr>
      </w:pPr>
      <w:r>
        <w:rPr>
          <w:rStyle w:val="FootnoteReference"/>
        </w:rPr>
        <w:footnoteRef/>
      </w:r>
      <w:r>
        <w:t xml:space="preserve"> </w:t>
      </w:r>
      <w:r w:rsidRPr="00F64AD1">
        <w:rPr>
          <w:rFonts w:ascii="Arial" w:hAnsi="Arial" w:cs="Arial"/>
          <w:i/>
        </w:rPr>
        <w:t>Todd v First Rand Bank</w:t>
      </w:r>
      <w:r w:rsidRPr="00F64AD1">
        <w:rPr>
          <w:rFonts w:ascii="Arial" w:hAnsi="Arial" w:cs="Arial"/>
        </w:rPr>
        <w:t xml:space="preserve"> </w:t>
      </w:r>
      <w:r>
        <w:rPr>
          <w:rFonts w:ascii="Arial" w:hAnsi="Arial" w:cs="Arial"/>
          <w:i/>
        </w:rPr>
        <w:t>Ltd</w:t>
      </w:r>
      <w:r>
        <w:rPr>
          <w:rFonts w:ascii="Arial" w:hAnsi="Arial" w:cs="Arial"/>
        </w:rPr>
        <w:t xml:space="preserve"> </w:t>
      </w:r>
      <w:r w:rsidRPr="00F64AD1">
        <w:rPr>
          <w:rFonts w:ascii="Arial" w:hAnsi="Arial" w:cs="Arial"/>
        </w:rPr>
        <w:t>(497/11) [2013] ZASCA 61(14 May 2013)</w:t>
      </w:r>
      <w:r>
        <w:rPr>
          <w:rFonts w:ascii="Arial" w:hAnsi="Arial" w:cs="Arial"/>
        </w:rPr>
        <w:t>.</w:t>
      </w:r>
    </w:p>
  </w:footnote>
  <w:footnote w:id="10">
    <w:p w14:paraId="125B3C11" w14:textId="77777777" w:rsidR="005D6FB5" w:rsidRPr="0041008A" w:rsidRDefault="005D6FB5" w:rsidP="005D6FB5">
      <w:pPr>
        <w:pStyle w:val="FootnoteText"/>
        <w:rPr>
          <w:rFonts w:ascii="Arial" w:hAnsi="Arial" w:cs="Arial"/>
        </w:rPr>
      </w:pPr>
      <w:r w:rsidRPr="0041008A">
        <w:rPr>
          <w:rStyle w:val="FootnoteReference"/>
          <w:rFonts w:ascii="Arial" w:hAnsi="Arial" w:cs="Arial"/>
        </w:rPr>
        <w:footnoteRef/>
      </w:r>
      <w:r w:rsidRPr="0041008A">
        <w:rPr>
          <w:rFonts w:ascii="Arial" w:hAnsi="Arial" w:cs="Arial"/>
        </w:rPr>
        <w:t xml:space="preserve"> </w:t>
      </w:r>
      <w:r w:rsidRPr="0041008A">
        <w:rPr>
          <w:rFonts w:ascii="Arial" w:hAnsi="Arial" w:cs="Arial"/>
          <w:i/>
        </w:rPr>
        <w:t>Hanus Properties and Consultants CC v The Deputy Sheriff for the District of Swakopmund</w:t>
      </w:r>
      <w:r w:rsidRPr="0041008A">
        <w:rPr>
          <w:rFonts w:ascii="Arial" w:hAnsi="Arial" w:cs="Arial"/>
        </w:rPr>
        <w:t xml:space="preserve"> (HC-MD-CIV-MOT-REV-2022/00359) [2023] 646 (13 October 2023)</w:t>
      </w:r>
      <w:r w:rsidR="0041008A">
        <w:rPr>
          <w:rFonts w:ascii="Arial" w:hAnsi="Arial" w:cs="Arial"/>
        </w:rPr>
        <w:t>.</w:t>
      </w:r>
    </w:p>
  </w:footnote>
  <w:footnote w:id="11">
    <w:p w14:paraId="511C126F" w14:textId="77777777" w:rsidR="000A5600" w:rsidRPr="0041008A" w:rsidRDefault="000A5600">
      <w:pPr>
        <w:pStyle w:val="FootnoteText"/>
        <w:rPr>
          <w:rFonts w:ascii="Arial" w:hAnsi="Arial" w:cs="Arial"/>
        </w:rPr>
      </w:pPr>
      <w:r>
        <w:rPr>
          <w:rStyle w:val="FootnoteReference"/>
        </w:rPr>
        <w:footnoteRef/>
      </w:r>
      <w:r>
        <w:t xml:space="preserve"> </w:t>
      </w:r>
      <w:r w:rsidRPr="0041008A">
        <w:rPr>
          <w:rFonts w:ascii="Arial" w:hAnsi="Arial" w:cs="Arial"/>
          <w:i/>
        </w:rPr>
        <w:t xml:space="preserve">Bell Rae v Sheriff of the High Court Kempton Park South </w:t>
      </w:r>
      <w:r w:rsidRPr="0041008A">
        <w:rPr>
          <w:rFonts w:ascii="Arial" w:hAnsi="Arial" w:cs="Arial"/>
        </w:rPr>
        <w:t>2014 JDR 1607 (GJ)</w:t>
      </w:r>
      <w:r w:rsidR="0041008A">
        <w:rPr>
          <w:rFonts w:ascii="Arial" w:hAnsi="Arial" w:cs="Arial"/>
        </w:rPr>
        <w:t>.</w:t>
      </w:r>
    </w:p>
  </w:footnote>
  <w:footnote w:id="12">
    <w:p w14:paraId="3CFBFBA3" w14:textId="77777777" w:rsidR="000A5600" w:rsidRPr="0041008A" w:rsidRDefault="000A5600">
      <w:pPr>
        <w:pStyle w:val="FootnoteText"/>
        <w:rPr>
          <w:rFonts w:ascii="Arial" w:hAnsi="Arial" w:cs="Arial"/>
        </w:rPr>
      </w:pPr>
      <w:r w:rsidRPr="0041008A">
        <w:rPr>
          <w:rStyle w:val="FootnoteReference"/>
          <w:rFonts w:ascii="Arial" w:hAnsi="Arial" w:cs="Arial"/>
        </w:rPr>
        <w:footnoteRef/>
      </w:r>
      <w:r w:rsidR="0041008A">
        <w:rPr>
          <w:rFonts w:ascii="Arial" w:hAnsi="Arial" w:cs="Arial"/>
          <w:i/>
        </w:rPr>
        <w:t xml:space="preserve"> </w:t>
      </w:r>
      <w:r w:rsidRPr="0041008A">
        <w:rPr>
          <w:rFonts w:ascii="Arial" w:hAnsi="Arial" w:cs="Arial"/>
          <w:i/>
        </w:rPr>
        <w:t>Standard Bank of South Africa v Ndlovu</w:t>
      </w:r>
      <w:r w:rsidRPr="0041008A">
        <w:rPr>
          <w:rFonts w:ascii="Arial" w:hAnsi="Arial" w:cs="Arial"/>
        </w:rPr>
        <w:t xml:space="preserve"> 2012 JDR 0525</w:t>
      </w:r>
      <w:r w:rsidR="0041008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1F25397F" w14:textId="77777777" w:rsidR="00DE7D62" w:rsidRDefault="00DE7D62">
        <w:pPr>
          <w:pStyle w:val="Header"/>
          <w:jc w:val="right"/>
        </w:pPr>
        <w:r>
          <w:fldChar w:fldCharType="begin"/>
        </w:r>
        <w:r>
          <w:instrText xml:space="preserve"> PAGE   \* MERGEFORMAT </w:instrText>
        </w:r>
        <w:r>
          <w:fldChar w:fldCharType="separate"/>
        </w:r>
        <w:r w:rsidR="003F4083">
          <w:rPr>
            <w:noProof/>
          </w:rPr>
          <w:t>2</w:t>
        </w:r>
        <w:r>
          <w:rPr>
            <w:noProof/>
          </w:rPr>
          <w:fldChar w:fldCharType="end"/>
        </w:r>
      </w:p>
    </w:sdtContent>
  </w:sdt>
  <w:p w14:paraId="721B9134" w14:textId="77777777" w:rsidR="00DE7D62" w:rsidRDefault="00DE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2928BA"/>
    <w:multiLevelType w:val="hybridMultilevel"/>
    <w:tmpl w:val="9286C668"/>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95189">
    <w:abstractNumId w:val="9"/>
  </w:num>
  <w:num w:numId="2" w16cid:durableId="2109890448">
    <w:abstractNumId w:val="2"/>
  </w:num>
  <w:num w:numId="3" w16cid:durableId="989093800">
    <w:abstractNumId w:val="10"/>
  </w:num>
  <w:num w:numId="4" w16cid:durableId="901525486">
    <w:abstractNumId w:val="11"/>
  </w:num>
  <w:num w:numId="5" w16cid:durableId="223681354">
    <w:abstractNumId w:val="8"/>
  </w:num>
  <w:num w:numId="6" w16cid:durableId="412707104">
    <w:abstractNumId w:val="4"/>
  </w:num>
  <w:num w:numId="7" w16cid:durableId="1152402390">
    <w:abstractNumId w:val="6"/>
  </w:num>
  <w:num w:numId="8" w16cid:durableId="1680423531">
    <w:abstractNumId w:val="5"/>
  </w:num>
  <w:num w:numId="9" w16cid:durableId="1251086872">
    <w:abstractNumId w:val="3"/>
  </w:num>
  <w:num w:numId="10" w16cid:durableId="1294630793">
    <w:abstractNumId w:val="0"/>
  </w:num>
  <w:num w:numId="11" w16cid:durableId="781726260">
    <w:abstractNumId w:val="1"/>
  </w:num>
  <w:num w:numId="12" w16cid:durableId="1155758751">
    <w:abstractNumId w:val="7"/>
  </w:num>
  <w:num w:numId="13" w16cid:durableId="1056971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0653C"/>
    <w:rsid w:val="0001086F"/>
    <w:rsid w:val="000125C7"/>
    <w:rsid w:val="00017F25"/>
    <w:rsid w:val="00020136"/>
    <w:rsid w:val="000230D9"/>
    <w:rsid w:val="00026E26"/>
    <w:rsid w:val="000271C3"/>
    <w:rsid w:val="00027AF8"/>
    <w:rsid w:val="00027C5A"/>
    <w:rsid w:val="000364A7"/>
    <w:rsid w:val="00037749"/>
    <w:rsid w:val="00040752"/>
    <w:rsid w:val="00041A8D"/>
    <w:rsid w:val="00042759"/>
    <w:rsid w:val="000430DF"/>
    <w:rsid w:val="00044C4A"/>
    <w:rsid w:val="000504E0"/>
    <w:rsid w:val="0005091A"/>
    <w:rsid w:val="00051AC7"/>
    <w:rsid w:val="00051D63"/>
    <w:rsid w:val="000539D9"/>
    <w:rsid w:val="000566B3"/>
    <w:rsid w:val="00057E62"/>
    <w:rsid w:val="00062D26"/>
    <w:rsid w:val="000640D6"/>
    <w:rsid w:val="00067647"/>
    <w:rsid w:val="000730F9"/>
    <w:rsid w:val="00073BDD"/>
    <w:rsid w:val="0007516A"/>
    <w:rsid w:val="00076FFC"/>
    <w:rsid w:val="00077FC7"/>
    <w:rsid w:val="00080AAD"/>
    <w:rsid w:val="000829E6"/>
    <w:rsid w:val="0008438C"/>
    <w:rsid w:val="00084927"/>
    <w:rsid w:val="000864BE"/>
    <w:rsid w:val="00090634"/>
    <w:rsid w:val="0009122E"/>
    <w:rsid w:val="00093484"/>
    <w:rsid w:val="00094098"/>
    <w:rsid w:val="0009477A"/>
    <w:rsid w:val="00094CBB"/>
    <w:rsid w:val="000A5600"/>
    <w:rsid w:val="000A5654"/>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5D13"/>
    <w:rsid w:val="000F65B5"/>
    <w:rsid w:val="000F7167"/>
    <w:rsid w:val="001038C5"/>
    <w:rsid w:val="00106C01"/>
    <w:rsid w:val="00106EA4"/>
    <w:rsid w:val="00115F45"/>
    <w:rsid w:val="001226C5"/>
    <w:rsid w:val="001238F3"/>
    <w:rsid w:val="00134231"/>
    <w:rsid w:val="0013560F"/>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241D"/>
    <w:rsid w:val="00175331"/>
    <w:rsid w:val="00175599"/>
    <w:rsid w:val="00180C2C"/>
    <w:rsid w:val="001810D4"/>
    <w:rsid w:val="0018246D"/>
    <w:rsid w:val="0018259F"/>
    <w:rsid w:val="00184C3A"/>
    <w:rsid w:val="00185A59"/>
    <w:rsid w:val="0018757E"/>
    <w:rsid w:val="00192DE9"/>
    <w:rsid w:val="00195EE7"/>
    <w:rsid w:val="001A0050"/>
    <w:rsid w:val="001A0799"/>
    <w:rsid w:val="001A1D27"/>
    <w:rsid w:val="001A2D88"/>
    <w:rsid w:val="001A366F"/>
    <w:rsid w:val="001A4079"/>
    <w:rsid w:val="001A5B9D"/>
    <w:rsid w:val="001B0557"/>
    <w:rsid w:val="001B0A90"/>
    <w:rsid w:val="001B0FBE"/>
    <w:rsid w:val="001B67D7"/>
    <w:rsid w:val="001C017E"/>
    <w:rsid w:val="001C0892"/>
    <w:rsid w:val="001C1034"/>
    <w:rsid w:val="001C3FAD"/>
    <w:rsid w:val="001C6012"/>
    <w:rsid w:val="001D4286"/>
    <w:rsid w:val="001D6B7D"/>
    <w:rsid w:val="001D6EAC"/>
    <w:rsid w:val="001E192C"/>
    <w:rsid w:val="001E2990"/>
    <w:rsid w:val="001F3A95"/>
    <w:rsid w:val="001F5DDF"/>
    <w:rsid w:val="001F6E75"/>
    <w:rsid w:val="00202517"/>
    <w:rsid w:val="0020668F"/>
    <w:rsid w:val="00207016"/>
    <w:rsid w:val="002072D1"/>
    <w:rsid w:val="00211474"/>
    <w:rsid w:val="002162EA"/>
    <w:rsid w:val="00216AB1"/>
    <w:rsid w:val="0022166E"/>
    <w:rsid w:val="00223CF7"/>
    <w:rsid w:val="00227E6A"/>
    <w:rsid w:val="002309AF"/>
    <w:rsid w:val="002309F0"/>
    <w:rsid w:val="002312EA"/>
    <w:rsid w:val="00235E7A"/>
    <w:rsid w:val="0024172A"/>
    <w:rsid w:val="00243A93"/>
    <w:rsid w:val="00244380"/>
    <w:rsid w:val="00246403"/>
    <w:rsid w:val="002514FD"/>
    <w:rsid w:val="00251886"/>
    <w:rsid w:val="00252626"/>
    <w:rsid w:val="0025270F"/>
    <w:rsid w:val="00252DD7"/>
    <w:rsid w:val="002558E5"/>
    <w:rsid w:val="00260C79"/>
    <w:rsid w:val="00261D8D"/>
    <w:rsid w:val="00264C12"/>
    <w:rsid w:val="00265600"/>
    <w:rsid w:val="0026643E"/>
    <w:rsid w:val="002679F6"/>
    <w:rsid w:val="00267A53"/>
    <w:rsid w:val="00280BCD"/>
    <w:rsid w:val="00280F03"/>
    <w:rsid w:val="00282EF6"/>
    <w:rsid w:val="00282F10"/>
    <w:rsid w:val="002922E4"/>
    <w:rsid w:val="00294C05"/>
    <w:rsid w:val="002A2B49"/>
    <w:rsid w:val="002A3EC6"/>
    <w:rsid w:val="002A70C6"/>
    <w:rsid w:val="002A7BFA"/>
    <w:rsid w:val="002B4389"/>
    <w:rsid w:val="002B464C"/>
    <w:rsid w:val="002B6439"/>
    <w:rsid w:val="002B75D6"/>
    <w:rsid w:val="002C02CB"/>
    <w:rsid w:val="002C60F8"/>
    <w:rsid w:val="002D2090"/>
    <w:rsid w:val="002D2F15"/>
    <w:rsid w:val="002D339E"/>
    <w:rsid w:val="002D34BB"/>
    <w:rsid w:val="002D5E15"/>
    <w:rsid w:val="002D738E"/>
    <w:rsid w:val="002D78F5"/>
    <w:rsid w:val="002E1863"/>
    <w:rsid w:val="002E2B32"/>
    <w:rsid w:val="002E47DA"/>
    <w:rsid w:val="002F1C1B"/>
    <w:rsid w:val="002F21C5"/>
    <w:rsid w:val="002F2776"/>
    <w:rsid w:val="002F7438"/>
    <w:rsid w:val="00301B6C"/>
    <w:rsid w:val="0030371C"/>
    <w:rsid w:val="00303EB0"/>
    <w:rsid w:val="00312549"/>
    <w:rsid w:val="003178ED"/>
    <w:rsid w:val="00320CCC"/>
    <w:rsid w:val="0032364D"/>
    <w:rsid w:val="003242E5"/>
    <w:rsid w:val="003253D7"/>
    <w:rsid w:val="003324E1"/>
    <w:rsid w:val="00333349"/>
    <w:rsid w:val="003337B6"/>
    <w:rsid w:val="00334C43"/>
    <w:rsid w:val="00335211"/>
    <w:rsid w:val="003412D7"/>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656"/>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D230E"/>
    <w:rsid w:val="003D49BD"/>
    <w:rsid w:val="003D51A8"/>
    <w:rsid w:val="003D65F2"/>
    <w:rsid w:val="003E62ED"/>
    <w:rsid w:val="003F05C4"/>
    <w:rsid w:val="003F1C7F"/>
    <w:rsid w:val="003F27B7"/>
    <w:rsid w:val="003F4083"/>
    <w:rsid w:val="003F432F"/>
    <w:rsid w:val="003F5EBC"/>
    <w:rsid w:val="00403E7C"/>
    <w:rsid w:val="004052A4"/>
    <w:rsid w:val="0041008A"/>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1AEC"/>
    <w:rsid w:val="00445687"/>
    <w:rsid w:val="004469C6"/>
    <w:rsid w:val="00446F9A"/>
    <w:rsid w:val="004523AF"/>
    <w:rsid w:val="00455D5A"/>
    <w:rsid w:val="00456103"/>
    <w:rsid w:val="0046144F"/>
    <w:rsid w:val="00462E22"/>
    <w:rsid w:val="00463839"/>
    <w:rsid w:val="00463FBA"/>
    <w:rsid w:val="00465EC9"/>
    <w:rsid w:val="004660D5"/>
    <w:rsid w:val="00477660"/>
    <w:rsid w:val="00477DA7"/>
    <w:rsid w:val="00477DD8"/>
    <w:rsid w:val="0048580C"/>
    <w:rsid w:val="00486121"/>
    <w:rsid w:val="00486A66"/>
    <w:rsid w:val="004909C8"/>
    <w:rsid w:val="00497FC2"/>
    <w:rsid w:val="004A1B5A"/>
    <w:rsid w:val="004A2078"/>
    <w:rsid w:val="004A32E3"/>
    <w:rsid w:val="004A4D8C"/>
    <w:rsid w:val="004A7549"/>
    <w:rsid w:val="004B1F20"/>
    <w:rsid w:val="004B6C6A"/>
    <w:rsid w:val="004B756E"/>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4295"/>
    <w:rsid w:val="00526DEF"/>
    <w:rsid w:val="00532DB7"/>
    <w:rsid w:val="005350FE"/>
    <w:rsid w:val="00535A18"/>
    <w:rsid w:val="0054063C"/>
    <w:rsid w:val="00541ACB"/>
    <w:rsid w:val="005503C1"/>
    <w:rsid w:val="00554F7B"/>
    <w:rsid w:val="005557E2"/>
    <w:rsid w:val="00560429"/>
    <w:rsid w:val="00561DAF"/>
    <w:rsid w:val="0056343E"/>
    <w:rsid w:val="00563589"/>
    <w:rsid w:val="00564515"/>
    <w:rsid w:val="00565866"/>
    <w:rsid w:val="00567E36"/>
    <w:rsid w:val="00572466"/>
    <w:rsid w:val="00575748"/>
    <w:rsid w:val="00576861"/>
    <w:rsid w:val="00576CEB"/>
    <w:rsid w:val="00580100"/>
    <w:rsid w:val="00583520"/>
    <w:rsid w:val="00586D20"/>
    <w:rsid w:val="0059020E"/>
    <w:rsid w:val="0059026D"/>
    <w:rsid w:val="005946C7"/>
    <w:rsid w:val="00594D79"/>
    <w:rsid w:val="005A10E0"/>
    <w:rsid w:val="005A326C"/>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D67ED"/>
    <w:rsid w:val="005D6FB5"/>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0AB"/>
    <w:rsid w:val="0065423A"/>
    <w:rsid w:val="0065571C"/>
    <w:rsid w:val="0065792A"/>
    <w:rsid w:val="00657F07"/>
    <w:rsid w:val="006616D2"/>
    <w:rsid w:val="00663FA9"/>
    <w:rsid w:val="00665134"/>
    <w:rsid w:val="00666088"/>
    <w:rsid w:val="00666E35"/>
    <w:rsid w:val="00670BCB"/>
    <w:rsid w:val="00671C84"/>
    <w:rsid w:val="00684F18"/>
    <w:rsid w:val="00687B2E"/>
    <w:rsid w:val="006914C3"/>
    <w:rsid w:val="006932BC"/>
    <w:rsid w:val="006939B3"/>
    <w:rsid w:val="00695A86"/>
    <w:rsid w:val="006B10B3"/>
    <w:rsid w:val="006B140E"/>
    <w:rsid w:val="006B2DC3"/>
    <w:rsid w:val="006B60E4"/>
    <w:rsid w:val="006C05FC"/>
    <w:rsid w:val="006C17DA"/>
    <w:rsid w:val="006C32E5"/>
    <w:rsid w:val="006C3AF0"/>
    <w:rsid w:val="006D0316"/>
    <w:rsid w:val="006D32EE"/>
    <w:rsid w:val="006D5427"/>
    <w:rsid w:val="006E06DB"/>
    <w:rsid w:val="006E1713"/>
    <w:rsid w:val="006E2B3B"/>
    <w:rsid w:val="006E47A6"/>
    <w:rsid w:val="006F0621"/>
    <w:rsid w:val="006F5052"/>
    <w:rsid w:val="00701607"/>
    <w:rsid w:val="00701D83"/>
    <w:rsid w:val="00701FAE"/>
    <w:rsid w:val="007073B8"/>
    <w:rsid w:val="00710FFC"/>
    <w:rsid w:val="007162CE"/>
    <w:rsid w:val="00717746"/>
    <w:rsid w:val="00720245"/>
    <w:rsid w:val="00720D1F"/>
    <w:rsid w:val="00723003"/>
    <w:rsid w:val="00726BBE"/>
    <w:rsid w:val="0073157E"/>
    <w:rsid w:val="0073667A"/>
    <w:rsid w:val="0073790D"/>
    <w:rsid w:val="00737C71"/>
    <w:rsid w:val="00746204"/>
    <w:rsid w:val="00750068"/>
    <w:rsid w:val="00750D03"/>
    <w:rsid w:val="007516A1"/>
    <w:rsid w:val="00754616"/>
    <w:rsid w:val="007560A3"/>
    <w:rsid w:val="0076120C"/>
    <w:rsid w:val="00763421"/>
    <w:rsid w:val="00763E27"/>
    <w:rsid w:val="00770FFB"/>
    <w:rsid w:val="00772134"/>
    <w:rsid w:val="007740E4"/>
    <w:rsid w:val="00777131"/>
    <w:rsid w:val="00777F42"/>
    <w:rsid w:val="00781BAD"/>
    <w:rsid w:val="007828A8"/>
    <w:rsid w:val="00784CF0"/>
    <w:rsid w:val="00787862"/>
    <w:rsid w:val="00793AF6"/>
    <w:rsid w:val="00793D20"/>
    <w:rsid w:val="007964B2"/>
    <w:rsid w:val="0079712A"/>
    <w:rsid w:val="007A49ED"/>
    <w:rsid w:val="007A682A"/>
    <w:rsid w:val="007B1A22"/>
    <w:rsid w:val="007B1C3D"/>
    <w:rsid w:val="007B2322"/>
    <w:rsid w:val="007B76ED"/>
    <w:rsid w:val="007C644F"/>
    <w:rsid w:val="007C66B0"/>
    <w:rsid w:val="007C7D4F"/>
    <w:rsid w:val="007D0125"/>
    <w:rsid w:val="007D09B8"/>
    <w:rsid w:val="007D1DC4"/>
    <w:rsid w:val="007D2574"/>
    <w:rsid w:val="007D2BD3"/>
    <w:rsid w:val="007D4F5E"/>
    <w:rsid w:val="007D528F"/>
    <w:rsid w:val="007D669D"/>
    <w:rsid w:val="007E0033"/>
    <w:rsid w:val="007E270B"/>
    <w:rsid w:val="007E3471"/>
    <w:rsid w:val="007E4960"/>
    <w:rsid w:val="007E6FF4"/>
    <w:rsid w:val="007F1EC7"/>
    <w:rsid w:val="007F245F"/>
    <w:rsid w:val="007F2766"/>
    <w:rsid w:val="007F44ED"/>
    <w:rsid w:val="007F61DD"/>
    <w:rsid w:val="00800474"/>
    <w:rsid w:val="008010D5"/>
    <w:rsid w:val="00807F6D"/>
    <w:rsid w:val="00812334"/>
    <w:rsid w:val="00812415"/>
    <w:rsid w:val="00814A34"/>
    <w:rsid w:val="00821E90"/>
    <w:rsid w:val="00822534"/>
    <w:rsid w:val="008242CC"/>
    <w:rsid w:val="00826384"/>
    <w:rsid w:val="00830D3A"/>
    <w:rsid w:val="008310FF"/>
    <w:rsid w:val="00833CDE"/>
    <w:rsid w:val="00834F4C"/>
    <w:rsid w:val="00835F89"/>
    <w:rsid w:val="0083669E"/>
    <w:rsid w:val="00841BBE"/>
    <w:rsid w:val="00842CF8"/>
    <w:rsid w:val="008510A0"/>
    <w:rsid w:val="008511B5"/>
    <w:rsid w:val="00856D89"/>
    <w:rsid w:val="00860596"/>
    <w:rsid w:val="00863E60"/>
    <w:rsid w:val="008670E7"/>
    <w:rsid w:val="0086714C"/>
    <w:rsid w:val="00872C49"/>
    <w:rsid w:val="00874288"/>
    <w:rsid w:val="008803AA"/>
    <w:rsid w:val="00880F3A"/>
    <w:rsid w:val="008818C9"/>
    <w:rsid w:val="00886605"/>
    <w:rsid w:val="00890B32"/>
    <w:rsid w:val="008925F5"/>
    <w:rsid w:val="00897E20"/>
    <w:rsid w:val="008A1F6A"/>
    <w:rsid w:val="008A6D39"/>
    <w:rsid w:val="008A7B47"/>
    <w:rsid w:val="008B2D7D"/>
    <w:rsid w:val="008B6D75"/>
    <w:rsid w:val="008C08B0"/>
    <w:rsid w:val="008C218B"/>
    <w:rsid w:val="008D1008"/>
    <w:rsid w:val="008D1B5B"/>
    <w:rsid w:val="008D1D2E"/>
    <w:rsid w:val="008D2974"/>
    <w:rsid w:val="008D6776"/>
    <w:rsid w:val="008D69ED"/>
    <w:rsid w:val="008E2FF2"/>
    <w:rsid w:val="008F5486"/>
    <w:rsid w:val="008F694B"/>
    <w:rsid w:val="00903EE7"/>
    <w:rsid w:val="009111AB"/>
    <w:rsid w:val="0091323C"/>
    <w:rsid w:val="0091640E"/>
    <w:rsid w:val="0091717D"/>
    <w:rsid w:val="0092176D"/>
    <w:rsid w:val="0092180D"/>
    <w:rsid w:val="00925103"/>
    <w:rsid w:val="0092544A"/>
    <w:rsid w:val="009314B4"/>
    <w:rsid w:val="0093169B"/>
    <w:rsid w:val="00935EE8"/>
    <w:rsid w:val="00937BFB"/>
    <w:rsid w:val="0094178A"/>
    <w:rsid w:val="00943510"/>
    <w:rsid w:val="009435FA"/>
    <w:rsid w:val="00943FE9"/>
    <w:rsid w:val="00944FBE"/>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590E"/>
    <w:rsid w:val="00A36A77"/>
    <w:rsid w:val="00A4129B"/>
    <w:rsid w:val="00A420BE"/>
    <w:rsid w:val="00A435AF"/>
    <w:rsid w:val="00A46DD1"/>
    <w:rsid w:val="00A52A5A"/>
    <w:rsid w:val="00A5356C"/>
    <w:rsid w:val="00A53804"/>
    <w:rsid w:val="00A540BF"/>
    <w:rsid w:val="00A57A18"/>
    <w:rsid w:val="00A612E9"/>
    <w:rsid w:val="00A6594C"/>
    <w:rsid w:val="00A70CE0"/>
    <w:rsid w:val="00A72396"/>
    <w:rsid w:val="00A73205"/>
    <w:rsid w:val="00A74006"/>
    <w:rsid w:val="00A763E1"/>
    <w:rsid w:val="00A8091C"/>
    <w:rsid w:val="00A848F5"/>
    <w:rsid w:val="00A866DB"/>
    <w:rsid w:val="00A94A15"/>
    <w:rsid w:val="00A958CD"/>
    <w:rsid w:val="00A97F14"/>
    <w:rsid w:val="00AA2344"/>
    <w:rsid w:val="00AA3815"/>
    <w:rsid w:val="00AA52C0"/>
    <w:rsid w:val="00AA6129"/>
    <w:rsid w:val="00AB0D34"/>
    <w:rsid w:val="00AB652B"/>
    <w:rsid w:val="00AB7F6B"/>
    <w:rsid w:val="00AC1813"/>
    <w:rsid w:val="00AC20B2"/>
    <w:rsid w:val="00AC2920"/>
    <w:rsid w:val="00AC4777"/>
    <w:rsid w:val="00AC5C6B"/>
    <w:rsid w:val="00AD0247"/>
    <w:rsid w:val="00AD0E81"/>
    <w:rsid w:val="00AD18DB"/>
    <w:rsid w:val="00AD253A"/>
    <w:rsid w:val="00AD5020"/>
    <w:rsid w:val="00AE0683"/>
    <w:rsid w:val="00AE1313"/>
    <w:rsid w:val="00AE35CC"/>
    <w:rsid w:val="00AE4C16"/>
    <w:rsid w:val="00AE504D"/>
    <w:rsid w:val="00AE76A7"/>
    <w:rsid w:val="00AF042E"/>
    <w:rsid w:val="00AF5236"/>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47F9D"/>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4436"/>
    <w:rsid w:val="00B85B1D"/>
    <w:rsid w:val="00B87906"/>
    <w:rsid w:val="00B879CC"/>
    <w:rsid w:val="00B91399"/>
    <w:rsid w:val="00B918D3"/>
    <w:rsid w:val="00B91B42"/>
    <w:rsid w:val="00B920AB"/>
    <w:rsid w:val="00B92DA4"/>
    <w:rsid w:val="00B943B1"/>
    <w:rsid w:val="00BA0313"/>
    <w:rsid w:val="00BA6382"/>
    <w:rsid w:val="00BC0826"/>
    <w:rsid w:val="00BC14A4"/>
    <w:rsid w:val="00BC53D5"/>
    <w:rsid w:val="00BC7AE8"/>
    <w:rsid w:val="00BD08AF"/>
    <w:rsid w:val="00BD5576"/>
    <w:rsid w:val="00BD59C0"/>
    <w:rsid w:val="00BE3543"/>
    <w:rsid w:val="00BE4BAF"/>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47FC7"/>
    <w:rsid w:val="00C63118"/>
    <w:rsid w:val="00C632F1"/>
    <w:rsid w:val="00C67500"/>
    <w:rsid w:val="00C71033"/>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5AF3"/>
    <w:rsid w:val="00D1262D"/>
    <w:rsid w:val="00D2044B"/>
    <w:rsid w:val="00D219D0"/>
    <w:rsid w:val="00D227D6"/>
    <w:rsid w:val="00D33324"/>
    <w:rsid w:val="00D3334E"/>
    <w:rsid w:val="00D4359F"/>
    <w:rsid w:val="00D47D03"/>
    <w:rsid w:val="00D52A87"/>
    <w:rsid w:val="00D53B94"/>
    <w:rsid w:val="00D61A42"/>
    <w:rsid w:val="00D61F0B"/>
    <w:rsid w:val="00D63079"/>
    <w:rsid w:val="00D669B8"/>
    <w:rsid w:val="00D70A69"/>
    <w:rsid w:val="00D70C41"/>
    <w:rsid w:val="00D724DD"/>
    <w:rsid w:val="00D749AB"/>
    <w:rsid w:val="00D7583D"/>
    <w:rsid w:val="00D761CB"/>
    <w:rsid w:val="00D763A2"/>
    <w:rsid w:val="00D82D2D"/>
    <w:rsid w:val="00D84111"/>
    <w:rsid w:val="00D9070C"/>
    <w:rsid w:val="00D92E64"/>
    <w:rsid w:val="00D94678"/>
    <w:rsid w:val="00D95ED1"/>
    <w:rsid w:val="00DA34F2"/>
    <w:rsid w:val="00DA5340"/>
    <w:rsid w:val="00DB4462"/>
    <w:rsid w:val="00DB6FB0"/>
    <w:rsid w:val="00DB7DEB"/>
    <w:rsid w:val="00DC069C"/>
    <w:rsid w:val="00DC178D"/>
    <w:rsid w:val="00DC2B60"/>
    <w:rsid w:val="00DC2F51"/>
    <w:rsid w:val="00DC708E"/>
    <w:rsid w:val="00DC7F52"/>
    <w:rsid w:val="00DD4052"/>
    <w:rsid w:val="00DD58CC"/>
    <w:rsid w:val="00DD663E"/>
    <w:rsid w:val="00DE0094"/>
    <w:rsid w:val="00DE18FE"/>
    <w:rsid w:val="00DE2BB1"/>
    <w:rsid w:val="00DE4C6B"/>
    <w:rsid w:val="00DE5A20"/>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50364"/>
    <w:rsid w:val="00E50F79"/>
    <w:rsid w:val="00E602DB"/>
    <w:rsid w:val="00E60474"/>
    <w:rsid w:val="00E60E71"/>
    <w:rsid w:val="00E610C9"/>
    <w:rsid w:val="00E70C43"/>
    <w:rsid w:val="00E73D8A"/>
    <w:rsid w:val="00E74400"/>
    <w:rsid w:val="00E74C68"/>
    <w:rsid w:val="00E7577A"/>
    <w:rsid w:val="00E75F4A"/>
    <w:rsid w:val="00E76269"/>
    <w:rsid w:val="00E76862"/>
    <w:rsid w:val="00E83788"/>
    <w:rsid w:val="00E855DC"/>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F2C98"/>
    <w:rsid w:val="00EF5601"/>
    <w:rsid w:val="00F065EF"/>
    <w:rsid w:val="00F14E7B"/>
    <w:rsid w:val="00F15485"/>
    <w:rsid w:val="00F1732B"/>
    <w:rsid w:val="00F177DE"/>
    <w:rsid w:val="00F1791F"/>
    <w:rsid w:val="00F237F2"/>
    <w:rsid w:val="00F23A45"/>
    <w:rsid w:val="00F24E87"/>
    <w:rsid w:val="00F305DA"/>
    <w:rsid w:val="00F308C1"/>
    <w:rsid w:val="00F330BD"/>
    <w:rsid w:val="00F33AF9"/>
    <w:rsid w:val="00F348BE"/>
    <w:rsid w:val="00F3639A"/>
    <w:rsid w:val="00F36DDB"/>
    <w:rsid w:val="00F40CD6"/>
    <w:rsid w:val="00F45705"/>
    <w:rsid w:val="00F561C4"/>
    <w:rsid w:val="00F57FB4"/>
    <w:rsid w:val="00F60052"/>
    <w:rsid w:val="00F60281"/>
    <w:rsid w:val="00F61CE9"/>
    <w:rsid w:val="00F625E9"/>
    <w:rsid w:val="00F626CA"/>
    <w:rsid w:val="00F64AD1"/>
    <w:rsid w:val="00F653E8"/>
    <w:rsid w:val="00F75278"/>
    <w:rsid w:val="00F76E0D"/>
    <w:rsid w:val="00F7721B"/>
    <w:rsid w:val="00F80D38"/>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6E3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E1A"/>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4A"/>
    <w:rPr>
      <w:lang w:val="en-US"/>
    </w:rPr>
  </w:style>
  <w:style w:type="paragraph" w:styleId="Heading2">
    <w:name w:val="heading 2"/>
    <w:basedOn w:val="Normal"/>
    <w:next w:val="Normal"/>
    <w:link w:val="Heading2Char"/>
    <w:uiPriority w:val="9"/>
    <w:semiHidden/>
    <w:unhideWhenUsed/>
    <w:qFormat/>
    <w:rsid w:val="00F752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2Char">
    <w:name w:val="Heading 2 Char"/>
    <w:basedOn w:val="DefaultParagraphFont"/>
    <w:link w:val="Heading2"/>
    <w:uiPriority w:val="9"/>
    <w:semiHidden/>
    <w:rsid w:val="00F75278"/>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semiHidden/>
    <w:unhideWhenUsed/>
    <w:rsid w:val="000A5600"/>
    <w:rPr>
      <w:rFonts w:ascii="Times New Roman" w:hAnsi="Times New Roman" w:cs="Times New Roman"/>
      <w:sz w:val="24"/>
      <w:szCs w:val="24"/>
    </w:rPr>
  </w:style>
  <w:style w:type="character" w:styleId="Hyperlink">
    <w:name w:val="Hyperlink"/>
    <w:basedOn w:val="DefaultParagraphFont"/>
    <w:uiPriority w:val="99"/>
    <w:unhideWhenUsed/>
    <w:rsid w:val="000A5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1245">
      <w:bodyDiv w:val="1"/>
      <w:marLeft w:val="0"/>
      <w:marRight w:val="0"/>
      <w:marTop w:val="0"/>
      <w:marBottom w:val="0"/>
      <w:divBdr>
        <w:top w:val="none" w:sz="0" w:space="0" w:color="auto"/>
        <w:left w:val="none" w:sz="0" w:space="0" w:color="auto"/>
        <w:bottom w:val="none" w:sz="0" w:space="0" w:color="auto"/>
        <w:right w:val="none" w:sz="0" w:space="0" w:color="auto"/>
      </w:divBdr>
    </w:div>
    <w:div w:id="9925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2023-10-18T18:30:00+00:00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1A1C2756-FA39-462C-8B17-022968B8EF57}">
  <ds:schemaRefs>
    <ds:schemaRef ds:uri="http://schemas.openxmlformats.org/officeDocument/2006/bibliography"/>
  </ds:schemaRefs>
</ds:datastoreItem>
</file>

<file path=customXml/itemProps4.xml><?xml version="1.0" encoding="utf-8"?>
<ds:datastoreItem xmlns:ds="http://schemas.openxmlformats.org/officeDocument/2006/customXml" ds:itemID="{F645F711-F22D-4D28-9318-B25B8DB1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Sililo v Standard Bank Namibia Limited (HC-MD-CIV-MOT-REV-2022-00062) [2023] NAHCMD 667 (19 October 2023)</dc:title>
  <dc:creator>drisuro</dc:creator>
  <cp:lastModifiedBy>Mariana Anguelov</cp:lastModifiedBy>
  <cp:revision>3</cp:revision>
  <cp:lastPrinted>2023-10-19T07:17:00Z</cp:lastPrinted>
  <dcterms:created xsi:type="dcterms:W3CDTF">2023-10-20T12:01:00Z</dcterms:created>
  <dcterms:modified xsi:type="dcterms:W3CDTF">2023-10-24T17:44:00Z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