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2266950</wp:posOffset>
            </wp:positionH>
            <wp:positionV relativeFrom="paragraph">
              <wp:posOffset>80010</wp:posOffset>
            </wp:positionV>
            <wp:extent cx="1282065" cy="1333500"/>
            <wp:effectExtent l="0" t="0" r="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06B05" w:rsidRPr="00346B7A" w:rsidRDefault="002E1151" w:rsidP="00206B05">
      <w:pPr>
        <w:spacing w:after="0" w:line="360" w:lineRule="auto"/>
        <w:jc w:val="center"/>
        <w:rPr>
          <w:rFonts w:ascii="Arial" w:hAnsi="Arial" w:cs="Arial"/>
          <w:b/>
          <w:sz w:val="24"/>
          <w:szCs w:val="24"/>
        </w:rPr>
      </w:pPr>
      <w:r>
        <w:rPr>
          <w:rFonts w:ascii="Arial" w:hAnsi="Arial" w:cs="Arial"/>
          <w:b/>
          <w:sz w:val="24"/>
          <w:szCs w:val="24"/>
          <w:lang w:val="en-US"/>
        </w:rPr>
        <w:t xml:space="preserve">RULING </w:t>
      </w:r>
    </w:p>
    <w:p w:rsidR="00705A2C" w:rsidRPr="00705A2C" w:rsidRDefault="00705A2C" w:rsidP="00B40844">
      <w:pPr>
        <w:spacing w:after="0" w:line="360" w:lineRule="auto"/>
        <w:jc w:val="center"/>
        <w:rPr>
          <w:rFonts w:ascii="Arial" w:hAnsi="Arial" w:cs="Arial"/>
          <w:sz w:val="24"/>
          <w:szCs w:val="24"/>
        </w:rPr>
      </w:pPr>
      <w:r w:rsidRPr="00705A2C">
        <w:rPr>
          <w:rFonts w:ascii="Arial" w:hAnsi="Arial" w:cs="Arial"/>
          <w:sz w:val="24"/>
          <w:szCs w:val="24"/>
        </w:rPr>
        <w:t>PRACTICE DIRECTION 61</w:t>
      </w:r>
    </w:p>
    <w:p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596"/>
        <w:gridCol w:w="3827"/>
      </w:tblGrid>
      <w:tr w:rsidR="00CA7995" w:rsidRPr="00CA7995" w:rsidTr="00C504FC">
        <w:trPr>
          <w:trHeight w:val="1978"/>
        </w:trPr>
        <w:tc>
          <w:tcPr>
            <w:tcW w:w="6805"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206B05" w:rsidRPr="002A5C0F" w:rsidRDefault="00206B05" w:rsidP="00206B05">
            <w:pPr>
              <w:jc w:val="both"/>
              <w:rPr>
                <w:rFonts w:ascii="Arial" w:hAnsi="Arial" w:cs="Arial"/>
                <w:sz w:val="24"/>
                <w:szCs w:val="24"/>
                <w:shd w:val="clear" w:color="auto" w:fill="FFFFFF"/>
              </w:rPr>
            </w:pPr>
          </w:p>
          <w:p w:rsidR="003B0F1E" w:rsidRPr="002A5C0F" w:rsidRDefault="00C71A4D" w:rsidP="003B0F1E">
            <w:pPr>
              <w:spacing w:line="360" w:lineRule="auto"/>
              <w:jc w:val="both"/>
              <w:rPr>
                <w:rFonts w:ascii="Arial" w:hAnsi="Arial" w:cs="Arial"/>
                <w:sz w:val="24"/>
                <w:szCs w:val="24"/>
                <w:shd w:val="clear" w:color="auto" w:fill="FFFFFF"/>
              </w:rPr>
            </w:pPr>
            <w:r w:rsidRPr="002A5C0F">
              <w:rPr>
                <w:rFonts w:ascii="Arial" w:hAnsi="Arial" w:cs="Arial"/>
                <w:sz w:val="24"/>
                <w:szCs w:val="24"/>
              </w:rPr>
              <w:t>R K INVESTMENT CC</w:t>
            </w:r>
            <w:r w:rsidR="00E31721">
              <w:rPr>
                <w:rFonts w:ascii="Arial" w:hAnsi="Arial" w:cs="Arial"/>
                <w:sz w:val="24"/>
                <w:szCs w:val="24"/>
              </w:rPr>
              <w:t xml:space="preserve">                </w:t>
            </w:r>
            <w:r w:rsidR="002A5C0F" w:rsidRPr="002A5C0F">
              <w:rPr>
                <w:rFonts w:ascii="Arial" w:hAnsi="Arial" w:cs="Arial"/>
                <w:sz w:val="24"/>
                <w:szCs w:val="24"/>
              </w:rPr>
              <w:t xml:space="preserve">FIRST </w:t>
            </w:r>
            <w:r w:rsidRPr="002A5C0F">
              <w:rPr>
                <w:rFonts w:ascii="Arial" w:hAnsi="Arial" w:cs="Arial"/>
                <w:sz w:val="24"/>
                <w:szCs w:val="24"/>
              </w:rPr>
              <w:t>PLAINTIFF</w:t>
            </w:r>
            <w:r w:rsidR="00E31721">
              <w:rPr>
                <w:rFonts w:ascii="Arial" w:hAnsi="Arial" w:cs="Arial"/>
                <w:sz w:val="24"/>
                <w:szCs w:val="24"/>
              </w:rPr>
              <w:t>/APPLICANT</w:t>
            </w:r>
          </w:p>
          <w:p w:rsidR="00206B05" w:rsidRPr="002A5C0F" w:rsidRDefault="00E31721" w:rsidP="003B0F1E">
            <w:pPr>
              <w:spacing w:line="360" w:lineRule="auto"/>
              <w:jc w:val="both"/>
              <w:rPr>
                <w:rFonts w:ascii="Arial" w:hAnsi="Arial" w:cs="Arial"/>
                <w:sz w:val="24"/>
                <w:szCs w:val="24"/>
                <w:shd w:val="clear" w:color="auto" w:fill="FFFFFF"/>
              </w:rPr>
            </w:pPr>
            <w:r>
              <w:rPr>
                <w:rFonts w:ascii="Arial" w:hAnsi="Arial" w:cs="Arial"/>
                <w:sz w:val="24"/>
                <w:szCs w:val="24"/>
              </w:rPr>
              <w:t xml:space="preserve">CEDRICK KAMWII             </w:t>
            </w:r>
            <w:r w:rsidR="002A5C0F" w:rsidRPr="002A5C0F">
              <w:rPr>
                <w:rFonts w:ascii="Arial" w:hAnsi="Arial" w:cs="Arial"/>
                <w:sz w:val="24"/>
                <w:szCs w:val="24"/>
              </w:rPr>
              <w:t>SECOND PLAINTIFF</w:t>
            </w:r>
            <w:r>
              <w:rPr>
                <w:rFonts w:ascii="Arial" w:hAnsi="Arial" w:cs="Arial"/>
                <w:sz w:val="24"/>
                <w:szCs w:val="24"/>
              </w:rPr>
              <w:t>/APPLICANT</w:t>
            </w:r>
          </w:p>
          <w:p w:rsidR="002A5C0F" w:rsidRPr="002A5C0F" w:rsidRDefault="002A5C0F" w:rsidP="003B0F1E">
            <w:pPr>
              <w:spacing w:line="360" w:lineRule="auto"/>
              <w:jc w:val="both"/>
              <w:rPr>
                <w:rFonts w:ascii="Arial" w:hAnsi="Arial" w:cs="Arial"/>
                <w:sz w:val="24"/>
                <w:szCs w:val="24"/>
                <w:shd w:val="clear" w:color="auto" w:fill="FFFFFF"/>
              </w:rPr>
            </w:pPr>
          </w:p>
          <w:p w:rsidR="00206B05" w:rsidRPr="00C71A4D" w:rsidRDefault="00206B05" w:rsidP="003B0F1E">
            <w:pPr>
              <w:spacing w:line="360" w:lineRule="auto"/>
              <w:jc w:val="both"/>
              <w:rPr>
                <w:rFonts w:ascii="Arial" w:hAnsi="Arial" w:cs="Arial"/>
                <w:sz w:val="24"/>
                <w:szCs w:val="24"/>
                <w:shd w:val="clear" w:color="auto" w:fill="FFFFFF"/>
              </w:rPr>
            </w:pPr>
            <w:r w:rsidRPr="00C71A4D">
              <w:rPr>
                <w:rFonts w:ascii="Arial" w:hAnsi="Arial" w:cs="Arial"/>
                <w:sz w:val="24"/>
                <w:szCs w:val="24"/>
                <w:shd w:val="clear" w:color="auto" w:fill="FFFFFF"/>
              </w:rPr>
              <w:t>and</w:t>
            </w:r>
          </w:p>
          <w:p w:rsidR="00206B05" w:rsidRPr="002A5C0F" w:rsidRDefault="00206B05" w:rsidP="003B0F1E">
            <w:pPr>
              <w:spacing w:line="360" w:lineRule="auto"/>
              <w:jc w:val="both"/>
              <w:rPr>
                <w:rFonts w:ascii="Arial" w:hAnsi="Arial" w:cs="Arial"/>
                <w:sz w:val="24"/>
                <w:szCs w:val="24"/>
                <w:shd w:val="clear" w:color="auto" w:fill="FFFFFF"/>
              </w:rPr>
            </w:pPr>
          </w:p>
          <w:p w:rsidR="00E31721" w:rsidRDefault="00C71A4D" w:rsidP="003B0F1E">
            <w:pPr>
              <w:spacing w:line="360" w:lineRule="auto"/>
              <w:jc w:val="both"/>
              <w:rPr>
                <w:rFonts w:ascii="Arial" w:hAnsi="Arial" w:cs="Arial"/>
                <w:sz w:val="24"/>
                <w:szCs w:val="24"/>
              </w:rPr>
            </w:pPr>
            <w:r w:rsidRPr="002A5C0F">
              <w:rPr>
                <w:rFonts w:ascii="Arial" w:hAnsi="Arial" w:cs="Arial"/>
                <w:sz w:val="24"/>
                <w:szCs w:val="24"/>
              </w:rPr>
              <w:t>UNION TILES WINDHOEK</w:t>
            </w:r>
          </w:p>
          <w:p w:rsidR="003B0F1E" w:rsidRPr="002A5C0F" w:rsidRDefault="00C71A4D" w:rsidP="003B0F1E">
            <w:pPr>
              <w:spacing w:line="360" w:lineRule="auto"/>
              <w:jc w:val="both"/>
              <w:rPr>
                <w:rFonts w:ascii="Arial" w:hAnsi="Arial" w:cs="Arial"/>
                <w:sz w:val="24"/>
                <w:szCs w:val="24"/>
              </w:rPr>
            </w:pPr>
            <w:r w:rsidRPr="002A5C0F">
              <w:rPr>
                <w:rFonts w:ascii="Arial" w:hAnsi="Arial" w:cs="Arial"/>
                <w:sz w:val="24"/>
                <w:szCs w:val="24"/>
              </w:rPr>
              <w:t>(PTY) LTD</w:t>
            </w:r>
            <w:r w:rsidR="00E31721">
              <w:rPr>
                <w:rFonts w:ascii="Arial" w:hAnsi="Arial" w:cs="Arial"/>
                <w:sz w:val="24"/>
                <w:szCs w:val="24"/>
              </w:rPr>
              <w:t xml:space="preserve">                       </w:t>
            </w:r>
            <w:r w:rsidR="002A5C0F" w:rsidRPr="002A5C0F">
              <w:rPr>
                <w:rFonts w:ascii="Arial" w:hAnsi="Arial" w:cs="Arial"/>
                <w:sz w:val="24"/>
                <w:szCs w:val="24"/>
              </w:rPr>
              <w:t>FIRST DEFENDANT</w:t>
            </w:r>
            <w:r w:rsidR="00E31721">
              <w:rPr>
                <w:rFonts w:ascii="Arial" w:hAnsi="Arial" w:cs="Arial"/>
                <w:sz w:val="24"/>
                <w:szCs w:val="24"/>
              </w:rPr>
              <w:t>/RESPONDENT</w:t>
            </w:r>
          </w:p>
          <w:p w:rsidR="002A5C0F" w:rsidRPr="002A5C0F" w:rsidRDefault="002A5C0F" w:rsidP="003B0F1E">
            <w:pPr>
              <w:spacing w:line="360" w:lineRule="auto"/>
              <w:jc w:val="both"/>
              <w:rPr>
                <w:rFonts w:ascii="Arial" w:hAnsi="Arial" w:cs="Arial"/>
                <w:sz w:val="24"/>
                <w:szCs w:val="24"/>
                <w:shd w:val="clear" w:color="auto" w:fill="FFFFFF"/>
              </w:rPr>
            </w:pPr>
            <w:r w:rsidRPr="002A5C0F">
              <w:rPr>
                <w:rFonts w:ascii="Arial" w:hAnsi="Arial" w:cs="Arial"/>
                <w:sz w:val="24"/>
                <w:szCs w:val="24"/>
              </w:rPr>
              <w:t>MALLS TILES</w:t>
            </w:r>
            <w:r w:rsidRPr="002A5C0F">
              <w:rPr>
                <w:rFonts w:ascii="Arial" w:hAnsi="Arial" w:cs="Arial"/>
                <w:sz w:val="24"/>
                <w:szCs w:val="24"/>
              </w:rPr>
              <w:tab/>
            </w:r>
            <w:r>
              <w:rPr>
                <w:rFonts w:ascii="Arial" w:hAnsi="Arial" w:cs="Arial"/>
                <w:sz w:val="24"/>
                <w:szCs w:val="24"/>
              </w:rPr>
              <w:t xml:space="preserve">  </w:t>
            </w:r>
            <w:r w:rsidRPr="002A5C0F">
              <w:rPr>
                <w:rFonts w:ascii="Arial" w:hAnsi="Arial" w:cs="Arial"/>
                <w:sz w:val="24"/>
                <w:szCs w:val="24"/>
              </w:rPr>
              <w:t>SECOND DEFENDANT</w:t>
            </w:r>
            <w:r w:rsidR="00E31721">
              <w:rPr>
                <w:rFonts w:ascii="Arial" w:hAnsi="Arial" w:cs="Arial"/>
                <w:sz w:val="24"/>
                <w:szCs w:val="24"/>
              </w:rPr>
              <w:t>/RESPONDENT</w:t>
            </w:r>
          </w:p>
          <w:p w:rsidR="00206B05" w:rsidRPr="00C504FC" w:rsidRDefault="00206B05" w:rsidP="00206B05">
            <w:pPr>
              <w:jc w:val="both"/>
              <w:rPr>
                <w:rFonts w:ascii="Arial" w:hAnsi="Arial" w:cs="Arial"/>
                <w:sz w:val="20"/>
                <w:szCs w:val="20"/>
              </w:rPr>
            </w:pPr>
          </w:p>
        </w:tc>
        <w:tc>
          <w:tcPr>
            <w:tcW w:w="3827" w:type="dxa"/>
          </w:tcPr>
          <w:p w:rsidR="00B40844" w:rsidRPr="00C97B0A" w:rsidRDefault="00B40844" w:rsidP="00937C89">
            <w:pPr>
              <w:spacing w:line="360" w:lineRule="auto"/>
              <w:jc w:val="both"/>
              <w:rPr>
                <w:rFonts w:ascii="Arial" w:hAnsi="Arial" w:cs="Arial"/>
                <w:b/>
                <w:sz w:val="24"/>
                <w:szCs w:val="24"/>
              </w:rPr>
            </w:pPr>
            <w:r w:rsidRPr="00C97B0A">
              <w:rPr>
                <w:rFonts w:ascii="Arial" w:hAnsi="Arial" w:cs="Arial"/>
                <w:b/>
                <w:sz w:val="24"/>
                <w:szCs w:val="24"/>
              </w:rPr>
              <w:t>Case No:</w:t>
            </w:r>
          </w:p>
          <w:p w:rsidR="003F3D99" w:rsidRPr="00C97B0A" w:rsidRDefault="000C242C" w:rsidP="00C71A4D">
            <w:pPr>
              <w:spacing w:line="360" w:lineRule="auto"/>
              <w:jc w:val="both"/>
              <w:rPr>
                <w:rFonts w:ascii="Arial" w:hAnsi="Arial" w:cs="Arial"/>
                <w:sz w:val="24"/>
                <w:szCs w:val="24"/>
              </w:rPr>
            </w:pPr>
            <w:r w:rsidRPr="00C97B0A">
              <w:rPr>
                <w:rFonts w:ascii="Arial" w:hAnsi="Arial" w:cs="Arial"/>
                <w:sz w:val="24"/>
                <w:szCs w:val="24"/>
                <w:shd w:val="clear" w:color="auto" w:fill="FFFFFF"/>
              </w:rPr>
              <w:t>HC-MD-CIV-ACT-CON-2019/04266</w:t>
            </w:r>
          </w:p>
        </w:tc>
      </w:tr>
      <w:tr w:rsidR="00CA7995" w:rsidRPr="00CA7995" w:rsidTr="00C97B0A">
        <w:trPr>
          <w:trHeight w:val="968"/>
        </w:trPr>
        <w:tc>
          <w:tcPr>
            <w:tcW w:w="6805" w:type="dxa"/>
            <w:gridSpan w:val="2"/>
            <w:vMerge/>
          </w:tcPr>
          <w:p w:rsidR="00B40844" w:rsidRPr="00015DC1" w:rsidRDefault="00B40844" w:rsidP="00937C89">
            <w:pPr>
              <w:spacing w:line="360" w:lineRule="auto"/>
              <w:jc w:val="both"/>
              <w:rPr>
                <w:rFonts w:ascii="Arial" w:hAnsi="Arial" w:cs="Arial"/>
                <w:sz w:val="24"/>
                <w:szCs w:val="24"/>
              </w:rPr>
            </w:pPr>
          </w:p>
        </w:tc>
        <w:tc>
          <w:tcPr>
            <w:tcW w:w="3827" w:type="dxa"/>
          </w:tcPr>
          <w:p w:rsidR="00B40844" w:rsidRPr="00C97B0A" w:rsidRDefault="00B40844" w:rsidP="00937C89">
            <w:pPr>
              <w:spacing w:line="360" w:lineRule="auto"/>
              <w:jc w:val="both"/>
              <w:rPr>
                <w:rFonts w:ascii="Arial" w:hAnsi="Arial" w:cs="Arial"/>
                <w:sz w:val="24"/>
                <w:szCs w:val="24"/>
              </w:rPr>
            </w:pPr>
            <w:r w:rsidRPr="00C97B0A">
              <w:rPr>
                <w:rFonts w:ascii="Arial" w:hAnsi="Arial" w:cs="Arial"/>
                <w:b/>
                <w:sz w:val="24"/>
                <w:szCs w:val="24"/>
              </w:rPr>
              <w:t>Division of Court:</w:t>
            </w:r>
          </w:p>
          <w:p w:rsidR="00B40844" w:rsidRPr="00C97B0A" w:rsidRDefault="00B40844" w:rsidP="00937C89">
            <w:pPr>
              <w:spacing w:line="360" w:lineRule="auto"/>
              <w:jc w:val="both"/>
              <w:rPr>
                <w:rFonts w:ascii="Arial" w:hAnsi="Arial" w:cs="Arial"/>
                <w:sz w:val="24"/>
                <w:szCs w:val="24"/>
              </w:rPr>
            </w:pPr>
            <w:r w:rsidRPr="00C97B0A">
              <w:rPr>
                <w:rFonts w:ascii="Arial" w:hAnsi="Arial" w:cs="Arial"/>
                <w:sz w:val="24"/>
                <w:szCs w:val="24"/>
              </w:rPr>
              <w:t>HIGH COURT (MAIN DIVISION)</w:t>
            </w:r>
          </w:p>
        </w:tc>
      </w:tr>
      <w:tr w:rsidR="00CA7995" w:rsidRPr="00CA7995" w:rsidTr="00C97B0A">
        <w:trPr>
          <w:trHeight w:val="768"/>
        </w:trPr>
        <w:tc>
          <w:tcPr>
            <w:tcW w:w="6805"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3F3D99">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3F3D99">
              <w:rPr>
                <w:rFonts w:ascii="Arial" w:hAnsi="Arial" w:cs="Arial"/>
                <w:sz w:val="24"/>
                <w:szCs w:val="24"/>
              </w:rPr>
              <w:t>PARKER, ACTING</w:t>
            </w: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C97B0A" w:rsidP="003B0F1E">
            <w:pPr>
              <w:spacing w:line="360" w:lineRule="auto"/>
              <w:jc w:val="both"/>
              <w:rPr>
                <w:rFonts w:ascii="Arial" w:hAnsi="Arial" w:cs="Arial"/>
                <w:sz w:val="24"/>
                <w:szCs w:val="24"/>
              </w:rPr>
            </w:pPr>
            <w:r>
              <w:rPr>
                <w:rFonts w:ascii="Arial" w:hAnsi="Arial" w:cs="Arial"/>
                <w:sz w:val="24"/>
                <w:szCs w:val="24"/>
              </w:rPr>
              <w:t>6 FEBRUARY 2024</w:t>
            </w:r>
          </w:p>
        </w:tc>
      </w:tr>
      <w:tr w:rsidR="00CA7995" w:rsidRPr="00CA7995" w:rsidTr="00C97B0A">
        <w:trPr>
          <w:trHeight w:val="796"/>
        </w:trPr>
        <w:tc>
          <w:tcPr>
            <w:tcW w:w="6805" w:type="dxa"/>
            <w:gridSpan w:val="2"/>
            <w:vMerge/>
          </w:tcPr>
          <w:p w:rsidR="00B40844" w:rsidRPr="00015DC1" w:rsidRDefault="00B40844" w:rsidP="00937C89">
            <w:pPr>
              <w:spacing w:line="360" w:lineRule="auto"/>
              <w:jc w:val="both"/>
              <w:rPr>
                <w:rFonts w:ascii="Arial" w:hAnsi="Arial" w:cs="Arial"/>
                <w:b/>
                <w:sz w:val="24"/>
                <w:szCs w:val="24"/>
              </w:rPr>
            </w:pP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FA208F" w:rsidP="00FA208F">
            <w:pPr>
              <w:spacing w:line="360" w:lineRule="auto"/>
              <w:jc w:val="both"/>
              <w:rPr>
                <w:rFonts w:ascii="Arial" w:hAnsi="Arial" w:cs="Arial"/>
                <w:b/>
                <w:sz w:val="24"/>
                <w:szCs w:val="24"/>
              </w:rPr>
            </w:pPr>
            <w:r>
              <w:rPr>
                <w:rFonts w:ascii="Arial" w:hAnsi="Arial" w:cs="Arial"/>
                <w:sz w:val="24"/>
                <w:szCs w:val="24"/>
              </w:rPr>
              <w:t>13</w:t>
            </w:r>
            <w:r w:rsidR="00C97B0A">
              <w:rPr>
                <w:rFonts w:ascii="Arial" w:hAnsi="Arial" w:cs="Arial"/>
                <w:sz w:val="24"/>
                <w:szCs w:val="24"/>
              </w:rPr>
              <w:t xml:space="preserve"> </w:t>
            </w:r>
            <w:r>
              <w:rPr>
                <w:rFonts w:ascii="Arial" w:hAnsi="Arial" w:cs="Arial"/>
                <w:sz w:val="24"/>
                <w:szCs w:val="24"/>
              </w:rPr>
              <w:t>MARCH</w:t>
            </w:r>
            <w:r w:rsidR="003F3D99">
              <w:rPr>
                <w:rFonts w:ascii="Arial" w:hAnsi="Arial" w:cs="Arial"/>
                <w:sz w:val="24"/>
                <w:szCs w:val="24"/>
              </w:rPr>
              <w:t xml:space="preserve"> 2024</w:t>
            </w:r>
          </w:p>
        </w:tc>
      </w:tr>
      <w:tr w:rsidR="00CA7995" w:rsidRPr="00CA7995" w:rsidTr="003B0F1E">
        <w:trPr>
          <w:trHeight w:val="876"/>
        </w:trPr>
        <w:tc>
          <w:tcPr>
            <w:tcW w:w="10632" w:type="dxa"/>
            <w:gridSpan w:val="3"/>
          </w:tcPr>
          <w:p w:rsidR="00B40844" w:rsidRPr="00CA7995" w:rsidRDefault="00B40844" w:rsidP="008C7C2D">
            <w:pPr>
              <w:spacing w:line="360" w:lineRule="auto"/>
              <w:ind w:left="2019" w:hanging="1985"/>
              <w:jc w:val="both"/>
              <w:rPr>
                <w:rFonts w:ascii="Arial" w:hAnsi="Arial" w:cs="Arial"/>
                <w:sz w:val="24"/>
                <w:szCs w:val="24"/>
              </w:rPr>
            </w:pPr>
            <w:r w:rsidRPr="00CA7995">
              <w:rPr>
                <w:rFonts w:ascii="Arial" w:hAnsi="Arial" w:cs="Arial"/>
                <w:b/>
                <w:sz w:val="24"/>
                <w:szCs w:val="24"/>
              </w:rPr>
              <w:t xml:space="preserve">Neutral </w:t>
            </w:r>
            <w:r w:rsidRPr="00C71A4D">
              <w:rPr>
                <w:rFonts w:ascii="Arial" w:hAnsi="Arial" w:cs="Arial"/>
                <w:b/>
                <w:sz w:val="24"/>
                <w:szCs w:val="24"/>
              </w:rPr>
              <w:t>citation:</w:t>
            </w:r>
            <w:r w:rsidRPr="00C71A4D">
              <w:rPr>
                <w:rFonts w:ascii="Arial" w:hAnsi="Arial" w:cs="Arial"/>
                <w:sz w:val="24"/>
                <w:szCs w:val="24"/>
              </w:rPr>
              <w:t xml:space="preserve"> </w:t>
            </w:r>
            <w:r w:rsidR="00AE57BB">
              <w:rPr>
                <w:rFonts w:ascii="Arial" w:hAnsi="Arial" w:cs="Arial"/>
                <w:sz w:val="24"/>
                <w:szCs w:val="24"/>
              </w:rPr>
              <w:t xml:space="preserve"> </w:t>
            </w:r>
            <w:r w:rsidR="00C71A4D" w:rsidRPr="007752C8">
              <w:rPr>
                <w:rFonts w:ascii="Arial" w:hAnsi="Arial" w:cs="Arial"/>
                <w:i/>
                <w:sz w:val="24"/>
                <w:szCs w:val="24"/>
              </w:rPr>
              <w:t>R K Investment CC</w:t>
            </w:r>
            <w:r w:rsidR="003F3D99" w:rsidRPr="007752C8">
              <w:rPr>
                <w:rFonts w:ascii="Arial" w:hAnsi="Arial" w:cs="Arial"/>
                <w:i/>
                <w:sz w:val="24"/>
                <w:szCs w:val="24"/>
              </w:rPr>
              <w:t xml:space="preserve"> v </w:t>
            </w:r>
            <w:r w:rsidR="00C71A4D" w:rsidRPr="007752C8">
              <w:rPr>
                <w:rFonts w:ascii="Arial" w:hAnsi="Arial" w:cs="Arial"/>
                <w:i/>
                <w:sz w:val="24"/>
                <w:szCs w:val="24"/>
              </w:rPr>
              <w:t>Union Tiles Windhoek (Pty) Ltd</w:t>
            </w:r>
            <w:r w:rsidR="003F3D99" w:rsidRPr="00C71A4D">
              <w:rPr>
                <w:rFonts w:ascii="Arial" w:hAnsi="Arial" w:cs="Arial"/>
                <w:sz w:val="24"/>
                <w:szCs w:val="24"/>
              </w:rPr>
              <w:t xml:space="preserve"> (</w:t>
            </w:r>
            <w:r w:rsidR="00C97B0A" w:rsidRPr="00C71A4D">
              <w:rPr>
                <w:rFonts w:ascii="Arial" w:hAnsi="Arial" w:cs="Arial"/>
                <w:sz w:val="24"/>
                <w:szCs w:val="24"/>
                <w:shd w:val="clear" w:color="auto" w:fill="FFFFFF"/>
              </w:rPr>
              <w:t>HC-MD-CIV-ACT-CON-2019/04266</w:t>
            </w:r>
            <w:r w:rsidR="003F3D99" w:rsidRPr="00C71A4D">
              <w:rPr>
                <w:rFonts w:ascii="Arial" w:hAnsi="Arial" w:cs="Arial"/>
                <w:sz w:val="24"/>
                <w:szCs w:val="24"/>
              </w:rPr>
              <w:t xml:space="preserve">) [2024] NAHCMD </w:t>
            </w:r>
            <w:r w:rsidR="008C7C2D">
              <w:rPr>
                <w:rFonts w:ascii="Arial" w:hAnsi="Arial" w:cs="Arial"/>
                <w:sz w:val="24"/>
                <w:szCs w:val="24"/>
              </w:rPr>
              <w:t>110</w:t>
            </w:r>
            <w:r w:rsidR="003F3D99" w:rsidRPr="00C71A4D">
              <w:rPr>
                <w:rFonts w:ascii="Arial" w:hAnsi="Arial" w:cs="Arial"/>
                <w:sz w:val="24"/>
                <w:szCs w:val="24"/>
              </w:rPr>
              <w:t xml:space="preserve"> (</w:t>
            </w:r>
            <w:r w:rsidR="00FA208F">
              <w:rPr>
                <w:rFonts w:ascii="Arial" w:hAnsi="Arial" w:cs="Arial"/>
                <w:sz w:val="24"/>
                <w:szCs w:val="24"/>
              </w:rPr>
              <w:t>13</w:t>
            </w:r>
            <w:r w:rsidR="00C97B0A" w:rsidRPr="00C71A4D">
              <w:rPr>
                <w:rFonts w:ascii="Arial" w:hAnsi="Arial" w:cs="Arial"/>
                <w:sz w:val="24"/>
                <w:szCs w:val="24"/>
              </w:rPr>
              <w:t xml:space="preserve"> March</w:t>
            </w:r>
            <w:r w:rsidR="003F3D99" w:rsidRPr="00C71A4D">
              <w:rPr>
                <w:rFonts w:ascii="Arial" w:hAnsi="Arial" w:cs="Arial"/>
                <w:sz w:val="24"/>
                <w:szCs w:val="24"/>
              </w:rPr>
              <w:t xml:space="preserve"> 2024)</w:t>
            </w:r>
          </w:p>
        </w:tc>
      </w:tr>
      <w:tr w:rsidR="00CA7995" w:rsidRPr="00CA7995" w:rsidTr="003B0F1E">
        <w:tc>
          <w:tcPr>
            <w:tcW w:w="10632" w:type="dxa"/>
            <w:gridSpan w:val="3"/>
          </w:tcPr>
          <w:p w:rsidR="00B40844" w:rsidRPr="000F238E" w:rsidRDefault="00B40844" w:rsidP="000F238E">
            <w:pPr>
              <w:spacing w:line="360" w:lineRule="auto"/>
              <w:jc w:val="both"/>
              <w:rPr>
                <w:rFonts w:ascii="Arial" w:hAnsi="Arial" w:cs="Arial"/>
                <w:b/>
                <w:sz w:val="24"/>
                <w:szCs w:val="24"/>
              </w:rPr>
            </w:pPr>
            <w:r w:rsidRPr="000F238E">
              <w:rPr>
                <w:rFonts w:ascii="Arial" w:hAnsi="Arial" w:cs="Arial"/>
                <w:b/>
                <w:sz w:val="24"/>
                <w:szCs w:val="24"/>
              </w:rPr>
              <w:t>IT IS ORDERED THAT:</w:t>
            </w:r>
          </w:p>
          <w:p w:rsidR="007C34C0" w:rsidRPr="00C504FC" w:rsidRDefault="007C34C0" w:rsidP="000F238E">
            <w:pPr>
              <w:spacing w:line="360" w:lineRule="auto"/>
              <w:jc w:val="both"/>
              <w:rPr>
                <w:rFonts w:ascii="Arial" w:hAnsi="Arial" w:cs="Arial"/>
                <w:b/>
                <w:sz w:val="24"/>
                <w:szCs w:val="24"/>
              </w:rPr>
            </w:pPr>
          </w:p>
          <w:p w:rsidR="002E1151" w:rsidRPr="00C504FC" w:rsidRDefault="001E1D33" w:rsidP="000F238E">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sidRPr="00C504FC">
              <w:rPr>
                <w:rFonts w:ascii="Arial" w:hAnsi="Arial" w:cs="Arial"/>
                <w:lang w:val="en-US"/>
              </w:rPr>
              <w:t>The application is dismissed.</w:t>
            </w:r>
          </w:p>
          <w:p w:rsidR="000F238E" w:rsidRPr="00C504FC" w:rsidRDefault="000F238E" w:rsidP="000F238E">
            <w:pPr>
              <w:pStyle w:val="NormalWeb"/>
              <w:shd w:val="clear" w:color="auto" w:fill="FFFFFF"/>
              <w:tabs>
                <w:tab w:val="left" w:pos="602"/>
              </w:tabs>
              <w:spacing w:before="0" w:beforeAutospacing="0" w:after="0" w:afterAutospacing="0" w:line="360" w:lineRule="auto"/>
              <w:ind w:left="34"/>
              <w:jc w:val="both"/>
              <w:rPr>
                <w:rFonts w:ascii="Arial" w:hAnsi="Arial" w:cs="Arial"/>
                <w:lang w:val="en-US"/>
              </w:rPr>
            </w:pPr>
          </w:p>
          <w:p w:rsidR="00D034F4" w:rsidRPr="00C504FC" w:rsidRDefault="001E1D33" w:rsidP="000F238E">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sidRPr="00C504FC">
              <w:rPr>
                <w:rFonts w:ascii="Arial" w:hAnsi="Arial" w:cs="Arial"/>
                <w:lang w:val="en-US"/>
              </w:rPr>
              <w:t>There is no order as to costs</w:t>
            </w:r>
            <w:r w:rsidR="00D034F4" w:rsidRPr="00C504FC">
              <w:rPr>
                <w:rFonts w:ascii="Arial" w:hAnsi="Arial" w:cs="Arial"/>
                <w:lang w:val="en-US"/>
              </w:rPr>
              <w:t>.</w:t>
            </w:r>
          </w:p>
          <w:p w:rsidR="000F238E" w:rsidRPr="00C504FC" w:rsidRDefault="000F238E" w:rsidP="000F238E">
            <w:pPr>
              <w:spacing w:line="360" w:lineRule="auto"/>
              <w:rPr>
                <w:rFonts w:ascii="Arial" w:hAnsi="Arial" w:cs="Arial"/>
                <w:sz w:val="24"/>
                <w:szCs w:val="24"/>
                <w:lang w:val="en-US"/>
              </w:rPr>
            </w:pPr>
          </w:p>
          <w:p w:rsidR="000F238E" w:rsidRDefault="000F238E" w:rsidP="000F238E">
            <w:pPr>
              <w:pStyle w:val="NormalWeb"/>
              <w:shd w:val="clear" w:color="auto" w:fill="FFFFFF"/>
              <w:tabs>
                <w:tab w:val="left" w:pos="459"/>
              </w:tabs>
              <w:spacing w:before="0" w:beforeAutospacing="0" w:after="0" w:afterAutospacing="0" w:line="360" w:lineRule="auto"/>
              <w:jc w:val="both"/>
              <w:rPr>
                <w:rFonts w:ascii="Arial" w:hAnsi="Arial" w:cs="Arial"/>
              </w:rPr>
            </w:pPr>
            <w:r w:rsidRPr="00C504FC">
              <w:rPr>
                <w:rFonts w:ascii="Arial" w:hAnsi="Arial" w:cs="Arial"/>
                <w:lang w:val="en-US"/>
              </w:rPr>
              <w:lastRenderedPageBreak/>
              <w:t>3.</w:t>
            </w:r>
            <w:r w:rsidRPr="00C504FC">
              <w:rPr>
                <w:rFonts w:ascii="Arial" w:hAnsi="Arial" w:cs="Arial"/>
              </w:rPr>
              <w:tab/>
            </w:r>
            <w:r w:rsidR="00C504FC" w:rsidRPr="00C504FC">
              <w:rPr>
                <w:rFonts w:ascii="Arial" w:hAnsi="Arial" w:cs="Arial"/>
              </w:rPr>
              <w:t xml:space="preserve">The application is finalised and </w:t>
            </w:r>
            <w:r w:rsidR="00C504FC">
              <w:rPr>
                <w:rFonts w:ascii="Arial" w:hAnsi="Arial" w:cs="Arial"/>
              </w:rPr>
              <w:t>removed from the roll</w:t>
            </w:r>
            <w:r>
              <w:rPr>
                <w:rFonts w:ascii="Arial" w:hAnsi="Arial" w:cs="Arial"/>
              </w:rPr>
              <w:t>.</w:t>
            </w:r>
          </w:p>
          <w:p w:rsidR="00C504FC" w:rsidRDefault="00C504FC" w:rsidP="000F238E">
            <w:pPr>
              <w:pStyle w:val="NormalWeb"/>
              <w:shd w:val="clear" w:color="auto" w:fill="FFFFFF"/>
              <w:tabs>
                <w:tab w:val="left" w:pos="459"/>
              </w:tabs>
              <w:spacing w:before="0" w:beforeAutospacing="0" w:after="0" w:afterAutospacing="0" w:line="360" w:lineRule="auto"/>
              <w:jc w:val="both"/>
              <w:rPr>
                <w:rFonts w:ascii="Arial" w:hAnsi="Arial" w:cs="Arial"/>
                <w:lang w:val="en-US"/>
              </w:rPr>
            </w:pPr>
          </w:p>
          <w:p w:rsidR="00C504FC" w:rsidRDefault="00C504FC" w:rsidP="00C504FC">
            <w:pPr>
              <w:pStyle w:val="NormalWeb"/>
              <w:shd w:val="clear" w:color="auto" w:fill="FFFFFF"/>
              <w:tabs>
                <w:tab w:val="left" w:pos="459"/>
              </w:tabs>
              <w:spacing w:before="0" w:beforeAutospacing="0" w:after="0" w:afterAutospacing="0" w:line="360" w:lineRule="auto"/>
              <w:ind w:left="459" w:hanging="459"/>
              <w:jc w:val="both"/>
              <w:rPr>
                <w:rFonts w:ascii="Arial" w:hAnsi="Arial" w:cs="Arial"/>
                <w:lang w:val="en-US"/>
              </w:rPr>
            </w:pPr>
            <w:r>
              <w:rPr>
                <w:rFonts w:ascii="Arial" w:hAnsi="Arial" w:cs="Arial"/>
                <w:lang w:val="en-US"/>
              </w:rPr>
              <w:t>4.</w:t>
            </w:r>
            <w:r w:rsidRPr="006979B3">
              <w:rPr>
                <w:rFonts w:ascii="Arial" w:hAnsi="Arial" w:cs="Arial"/>
              </w:rPr>
              <w:tab/>
            </w:r>
            <w:r>
              <w:rPr>
                <w:rFonts w:ascii="Arial" w:hAnsi="Arial" w:cs="Arial"/>
              </w:rPr>
              <w:t xml:space="preserve">Counsel or the parties (if unrepresented) must attend a status hearing at </w:t>
            </w:r>
            <w:r w:rsidRPr="00C504FC">
              <w:rPr>
                <w:rFonts w:ascii="Arial" w:hAnsi="Arial" w:cs="Arial"/>
                <w:b/>
              </w:rPr>
              <w:t>08h30</w:t>
            </w:r>
            <w:r>
              <w:rPr>
                <w:rFonts w:ascii="Arial" w:hAnsi="Arial" w:cs="Arial"/>
              </w:rPr>
              <w:t xml:space="preserve"> on </w:t>
            </w:r>
            <w:r w:rsidRPr="00C504FC">
              <w:rPr>
                <w:rFonts w:ascii="Arial" w:hAnsi="Arial" w:cs="Arial"/>
                <w:b/>
              </w:rPr>
              <w:t>20 March 2024</w:t>
            </w:r>
            <w:r>
              <w:rPr>
                <w:rFonts w:ascii="Arial" w:hAnsi="Arial" w:cs="Arial"/>
              </w:rPr>
              <w:t xml:space="preserve"> for the court to consider the further conduct of the action.</w:t>
            </w:r>
          </w:p>
          <w:p w:rsidR="000F238E" w:rsidRPr="000F238E" w:rsidRDefault="000F238E" w:rsidP="000F238E">
            <w:pPr>
              <w:pStyle w:val="NormalWeb"/>
              <w:shd w:val="clear" w:color="auto" w:fill="FFFFFF"/>
              <w:tabs>
                <w:tab w:val="left" w:pos="602"/>
              </w:tabs>
              <w:spacing w:before="0" w:beforeAutospacing="0" w:after="0" w:afterAutospacing="0" w:line="360" w:lineRule="auto"/>
              <w:jc w:val="both"/>
              <w:rPr>
                <w:rFonts w:ascii="Arial" w:hAnsi="Arial" w:cs="Arial"/>
                <w:lang w:val="en-US"/>
              </w:rPr>
            </w:pPr>
          </w:p>
        </w:tc>
      </w:tr>
      <w:tr w:rsidR="00CA7995" w:rsidRPr="00CA7995" w:rsidTr="00F75046">
        <w:trPr>
          <w:trHeight w:val="558"/>
        </w:trPr>
        <w:tc>
          <w:tcPr>
            <w:tcW w:w="10632" w:type="dxa"/>
            <w:gridSpan w:val="3"/>
            <w:vAlign w:val="center"/>
          </w:tcPr>
          <w:p w:rsidR="00705A2C" w:rsidRPr="00CA7995" w:rsidRDefault="00B40844" w:rsidP="00F75046">
            <w:pPr>
              <w:tabs>
                <w:tab w:val="right" w:pos="9693"/>
              </w:tabs>
              <w:spacing w:line="360" w:lineRule="auto"/>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rsidTr="003B0F1E">
        <w:tc>
          <w:tcPr>
            <w:tcW w:w="10632" w:type="dxa"/>
            <w:gridSpan w:val="3"/>
          </w:tcPr>
          <w:p w:rsidR="001B494D" w:rsidRPr="00AE57BB" w:rsidRDefault="00AE57BB" w:rsidP="001B494D">
            <w:pPr>
              <w:tabs>
                <w:tab w:val="left" w:pos="729"/>
              </w:tabs>
              <w:spacing w:line="360" w:lineRule="auto"/>
              <w:rPr>
                <w:rFonts w:ascii="Arial" w:hAnsi="Arial" w:cs="Arial"/>
                <w:sz w:val="24"/>
                <w:szCs w:val="24"/>
              </w:rPr>
            </w:pPr>
            <w:r>
              <w:rPr>
                <w:rFonts w:ascii="Arial" w:hAnsi="Arial" w:cs="Arial"/>
                <w:b/>
                <w:sz w:val="24"/>
                <w:szCs w:val="24"/>
              </w:rPr>
              <w:t>PARKER AJ</w:t>
            </w:r>
            <w:r>
              <w:rPr>
                <w:rFonts w:ascii="Arial" w:hAnsi="Arial" w:cs="Arial"/>
                <w:sz w:val="24"/>
                <w:szCs w:val="24"/>
              </w:rPr>
              <w:t>:</w:t>
            </w:r>
          </w:p>
          <w:p w:rsidR="00AE57BB" w:rsidRPr="006979B3" w:rsidRDefault="00AE57BB" w:rsidP="001B494D">
            <w:pPr>
              <w:tabs>
                <w:tab w:val="left" w:pos="729"/>
              </w:tabs>
              <w:spacing w:line="360" w:lineRule="auto"/>
              <w:rPr>
                <w:rFonts w:ascii="Arial" w:hAnsi="Arial" w:cs="Arial"/>
                <w:sz w:val="24"/>
                <w:szCs w:val="24"/>
              </w:rPr>
            </w:pPr>
          </w:p>
          <w:p w:rsidR="00B40844" w:rsidRPr="006979B3" w:rsidRDefault="00B40844" w:rsidP="00ED76B2">
            <w:pPr>
              <w:tabs>
                <w:tab w:val="left" w:pos="729"/>
              </w:tabs>
              <w:spacing w:line="360" w:lineRule="auto"/>
              <w:jc w:val="both"/>
              <w:rPr>
                <w:rFonts w:ascii="Arial" w:eastAsia="Times New Roman" w:hAnsi="Arial" w:cs="Arial"/>
                <w:sz w:val="24"/>
                <w:szCs w:val="24"/>
                <w:lang w:val="en-US"/>
              </w:rPr>
            </w:pPr>
            <w:r w:rsidRPr="006979B3">
              <w:rPr>
                <w:rFonts w:ascii="Arial" w:hAnsi="Arial" w:cs="Arial"/>
                <w:sz w:val="24"/>
                <w:szCs w:val="24"/>
              </w:rPr>
              <w:t>[1]</w:t>
            </w:r>
            <w:r w:rsidRPr="006979B3">
              <w:rPr>
                <w:rFonts w:ascii="Arial" w:hAnsi="Arial" w:cs="Arial"/>
                <w:sz w:val="24"/>
                <w:szCs w:val="24"/>
              </w:rPr>
              <w:tab/>
            </w:r>
            <w:r w:rsidR="00ED6C6C">
              <w:rPr>
                <w:rFonts w:ascii="Arial" w:hAnsi="Arial" w:cs="Arial"/>
                <w:sz w:val="24"/>
                <w:szCs w:val="24"/>
              </w:rPr>
              <w:t xml:space="preserve">Before this court </w:t>
            </w:r>
            <w:r w:rsidR="002647A1">
              <w:rPr>
                <w:rFonts w:ascii="Arial" w:hAnsi="Arial" w:cs="Arial"/>
                <w:sz w:val="24"/>
                <w:szCs w:val="24"/>
              </w:rPr>
              <w:t xml:space="preserve">is </w:t>
            </w:r>
            <w:r w:rsidR="00ED6C6C">
              <w:rPr>
                <w:rFonts w:ascii="Arial" w:hAnsi="Arial" w:cs="Arial"/>
                <w:sz w:val="24"/>
                <w:szCs w:val="24"/>
              </w:rPr>
              <w:t>an application brought on notice of motion whereby the applicants (first and second plaintiffs) seek an order in the following terms:</w:t>
            </w:r>
          </w:p>
          <w:p w:rsidR="006979B3" w:rsidRDefault="006979B3" w:rsidP="00ED76B2">
            <w:pPr>
              <w:tabs>
                <w:tab w:val="left" w:pos="729"/>
              </w:tabs>
              <w:spacing w:line="360" w:lineRule="auto"/>
              <w:jc w:val="both"/>
              <w:rPr>
                <w:rFonts w:ascii="Arial" w:eastAsia="Times New Roman" w:hAnsi="Arial" w:cs="Arial"/>
                <w:sz w:val="24"/>
                <w:szCs w:val="24"/>
                <w:lang w:val="en-US"/>
              </w:rPr>
            </w:pPr>
          </w:p>
          <w:p w:rsidR="00ED6C6C" w:rsidRDefault="00ED6C6C" w:rsidP="00AE57BB">
            <w:pPr>
              <w:spacing w:line="360" w:lineRule="auto"/>
              <w:ind w:firstLine="743"/>
              <w:jc w:val="both"/>
              <w:rPr>
                <w:rFonts w:ascii="Arial" w:eastAsia="Times New Roman" w:hAnsi="Arial" w:cs="Arial"/>
                <w:lang w:val="en-US"/>
              </w:rPr>
            </w:pPr>
            <w:r w:rsidRPr="00ED6C6C">
              <w:rPr>
                <w:rFonts w:ascii="Arial" w:eastAsia="Times New Roman" w:hAnsi="Arial" w:cs="Arial"/>
                <w:lang w:val="en-US"/>
              </w:rPr>
              <w:t>‘</w:t>
            </w:r>
            <w:r>
              <w:rPr>
                <w:rFonts w:ascii="Arial" w:eastAsia="Times New Roman" w:hAnsi="Arial" w:cs="Arial"/>
                <w:lang w:val="en-US"/>
              </w:rPr>
              <w:t>1.</w:t>
            </w:r>
            <w:r w:rsidR="00A6703B" w:rsidRPr="006979B3">
              <w:rPr>
                <w:rFonts w:ascii="Arial" w:hAnsi="Arial" w:cs="Arial"/>
                <w:sz w:val="24"/>
                <w:szCs w:val="24"/>
              </w:rPr>
              <w:tab/>
            </w:r>
            <w:r>
              <w:rPr>
                <w:rFonts w:ascii="Arial" w:eastAsia="Times New Roman" w:hAnsi="Arial" w:cs="Arial"/>
                <w:lang w:val="en-US"/>
              </w:rPr>
              <w:t>A declaratory that the dispute between applicants and 1</w:t>
            </w:r>
            <w:r w:rsidRPr="00ED6C6C">
              <w:rPr>
                <w:rFonts w:ascii="Arial" w:eastAsia="Times New Roman" w:hAnsi="Arial" w:cs="Arial"/>
                <w:vertAlign w:val="superscript"/>
                <w:lang w:val="en-US"/>
              </w:rPr>
              <w:t>st</w:t>
            </w:r>
            <w:r>
              <w:rPr>
                <w:rFonts w:ascii="Arial" w:eastAsia="Times New Roman" w:hAnsi="Arial" w:cs="Arial"/>
                <w:lang w:val="en-US"/>
              </w:rPr>
              <w:t xml:space="preserve"> </w:t>
            </w:r>
            <w:r w:rsidR="00A6703B">
              <w:rPr>
                <w:rFonts w:ascii="Arial" w:eastAsia="Times New Roman" w:hAnsi="Arial" w:cs="Arial"/>
                <w:lang w:val="en-US"/>
              </w:rPr>
              <w:t>R</w:t>
            </w:r>
            <w:r>
              <w:rPr>
                <w:rFonts w:ascii="Arial" w:eastAsia="Times New Roman" w:hAnsi="Arial" w:cs="Arial"/>
                <w:lang w:val="en-US"/>
              </w:rPr>
              <w:t>espondent has become settled.</w:t>
            </w:r>
          </w:p>
          <w:p w:rsidR="00ED6C6C" w:rsidRDefault="00ED6C6C" w:rsidP="00A6703B">
            <w:pPr>
              <w:tabs>
                <w:tab w:val="left" w:pos="729"/>
              </w:tabs>
              <w:spacing w:line="360" w:lineRule="auto"/>
              <w:ind w:left="743"/>
              <w:jc w:val="both"/>
              <w:rPr>
                <w:rFonts w:ascii="Arial" w:eastAsia="Times New Roman" w:hAnsi="Arial" w:cs="Arial"/>
                <w:lang w:val="en-US"/>
              </w:rPr>
            </w:pPr>
          </w:p>
          <w:p w:rsidR="00ED6C6C" w:rsidRDefault="00ED6C6C" w:rsidP="00AE57BB">
            <w:pPr>
              <w:spacing w:line="360" w:lineRule="auto"/>
              <w:ind w:firstLine="743"/>
              <w:jc w:val="both"/>
              <w:rPr>
                <w:rFonts w:ascii="Arial" w:eastAsia="Times New Roman" w:hAnsi="Arial" w:cs="Arial"/>
                <w:lang w:val="en-US"/>
              </w:rPr>
            </w:pPr>
            <w:proofErr w:type="gramStart"/>
            <w:r>
              <w:rPr>
                <w:rFonts w:ascii="Arial" w:eastAsia="Times New Roman" w:hAnsi="Arial" w:cs="Arial"/>
                <w:lang w:val="en-US"/>
              </w:rPr>
              <w:t>2.</w:t>
            </w:r>
            <w:r w:rsidR="00A6703B" w:rsidRPr="006979B3">
              <w:rPr>
                <w:rFonts w:ascii="Arial" w:hAnsi="Arial" w:cs="Arial"/>
                <w:sz w:val="24"/>
                <w:szCs w:val="24"/>
              </w:rPr>
              <w:tab/>
            </w:r>
            <w:r w:rsidR="00A6703B">
              <w:rPr>
                <w:rFonts w:ascii="Arial" w:eastAsia="Times New Roman" w:hAnsi="Arial" w:cs="Arial"/>
                <w:lang w:val="en-US"/>
              </w:rPr>
              <w:t>A</w:t>
            </w:r>
            <w:proofErr w:type="gramEnd"/>
            <w:r w:rsidR="00A6703B">
              <w:rPr>
                <w:rFonts w:ascii="Arial" w:eastAsia="Times New Roman" w:hAnsi="Arial" w:cs="Arial"/>
                <w:lang w:val="en-US"/>
              </w:rPr>
              <w:t xml:space="preserve"> order compelling the 1</w:t>
            </w:r>
            <w:r w:rsidR="00A6703B" w:rsidRPr="00A6703B">
              <w:rPr>
                <w:rFonts w:ascii="Arial" w:eastAsia="Times New Roman" w:hAnsi="Arial" w:cs="Arial"/>
                <w:vertAlign w:val="superscript"/>
                <w:lang w:val="en-US"/>
              </w:rPr>
              <w:t>st</w:t>
            </w:r>
            <w:r w:rsidR="00A6703B">
              <w:rPr>
                <w:rFonts w:ascii="Arial" w:eastAsia="Times New Roman" w:hAnsi="Arial" w:cs="Arial"/>
                <w:lang w:val="en-US"/>
              </w:rPr>
              <w:t xml:space="preserve"> Defendant to sign the settlement agreement already signed by the Applicants on the 6</w:t>
            </w:r>
            <w:r w:rsidR="00A6703B" w:rsidRPr="00A6703B">
              <w:rPr>
                <w:rFonts w:ascii="Arial" w:eastAsia="Times New Roman" w:hAnsi="Arial" w:cs="Arial"/>
                <w:vertAlign w:val="superscript"/>
                <w:lang w:val="en-US"/>
              </w:rPr>
              <w:t>th</w:t>
            </w:r>
            <w:r w:rsidR="00A6703B">
              <w:rPr>
                <w:rFonts w:ascii="Arial" w:eastAsia="Times New Roman" w:hAnsi="Arial" w:cs="Arial"/>
                <w:lang w:val="en-US"/>
              </w:rPr>
              <w:t xml:space="preserve"> June 2023, a copy of the settlement (agreement) is attached to the Founding Affidavit as annexure “RK4”.</w:t>
            </w:r>
          </w:p>
          <w:p w:rsidR="00ED6C6C" w:rsidRDefault="00ED6C6C" w:rsidP="00AE57BB">
            <w:pPr>
              <w:tabs>
                <w:tab w:val="left" w:pos="729"/>
              </w:tabs>
              <w:spacing w:line="360" w:lineRule="auto"/>
              <w:ind w:firstLine="743"/>
              <w:jc w:val="both"/>
              <w:rPr>
                <w:rFonts w:ascii="Arial" w:eastAsia="Times New Roman" w:hAnsi="Arial" w:cs="Arial"/>
                <w:lang w:val="en-US"/>
              </w:rPr>
            </w:pPr>
          </w:p>
          <w:p w:rsidR="00ED6C6C" w:rsidRDefault="00ED6C6C" w:rsidP="00AE57BB">
            <w:pPr>
              <w:spacing w:line="360" w:lineRule="auto"/>
              <w:jc w:val="both"/>
              <w:rPr>
                <w:rFonts w:ascii="Arial" w:eastAsia="Times New Roman" w:hAnsi="Arial" w:cs="Arial"/>
                <w:lang w:val="en-US"/>
              </w:rPr>
            </w:pPr>
            <w:r>
              <w:rPr>
                <w:rFonts w:ascii="Arial" w:eastAsia="Times New Roman" w:hAnsi="Arial" w:cs="Arial"/>
                <w:lang w:val="en-US"/>
              </w:rPr>
              <w:t>3.</w:t>
            </w:r>
            <w:r w:rsidR="00A6703B" w:rsidRPr="006979B3">
              <w:rPr>
                <w:rFonts w:ascii="Arial" w:hAnsi="Arial" w:cs="Arial"/>
                <w:sz w:val="24"/>
                <w:szCs w:val="24"/>
              </w:rPr>
              <w:tab/>
            </w:r>
            <w:r w:rsidR="00A6703B">
              <w:rPr>
                <w:rFonts w:ascii="Arial" w:eastAsia="Times New Roman" w:hAnsi="Arial" w:cs="Arial"/>
                <w:lang w:val="en-US"/>
              </w:rPr>
              <w:t>An order in terms of which the settlement agreement shall be made an order of Court.</w:t>
            </w:r>
          </w:p>
          <w:p w:rsidR="00ED6C6C" w:rsidRDefault="00ED6C6C" w:rsidP="00AE57BB">
            <w:pPr>
              <w:tabs>
                <w:tab w:val="left" w:pos="729"/>
              </w:tabs>
              <w:spacing w:line="360" w:lineRule="auto"/>
              <w:ind w:firstLine="743"/>
              <w:jc w:val="both"/>
              <w:rPr>
                <w:rFonts w:ascii="Arial" w:eastAsia="Times New Roman" w:hAnsi="Arial" w:cs="Arial"/>
                <w:lang w:val="en-US"/>
              </w:rPr>
            </w:pPr>
          </w:p>
          <w:p w:rsidR="00ED6C6C" w:rsidRDefault="00ED6C6C" w:rsidP="00AE57BB">
            <w:pPr>
              <w:spacing w:line="360" w:lineRule="auto"/>
              <w:jc w:val="both"/>
              <w:rPr>
                <w:rFonts w:ascii="Arial" w:eastAsia="Times New Roman" w:hAnsi="Arial" w:cs="Arial"/>
                <w:lang w:val="en-US"/>
              </w:rPr>
            </w:pPr>
            <w:r>
              <w:rPr>
                <w:rFonts w:ascii="Arial" w:eastAsia="Times New Roman" w:hAnsi="Arial" w:cs="Arial"/>
                <w:lang w:val="en-US"/>
              </w:rPr>
              <w:t>4.</w:t>
            </w:r>
            <w:r w:rsidR="00A6703B" w:rsidRPr="006979B3">
              <w:rPr>
                <w:rFonts w:ascii="Arial" w:hAnsi="Arial" w:cs="Arial"/>
                <w:sz w:val="24"/>
                <w:szCs w:val="24"/>
              </w:rPr>
              <w:tab/>
            </w:r>
            <w:r w:rsidR="00A6703B">
              <w:rPr>
                <w:rFonts w:ascii="Arial" w:eastAsia="Times New Roman" w:hAnsi="Arial" w:cs="Arial"/>
                <w:lang w:val="en-US"/>
              </w:rPr>
              <w:t>Costs of suit, only if opposed.</w:t>
            </w:r>
          </w:p>
          <w:p w:rsidR="00ED6C6C" w:rsidRDefault="00ED6C6C" w:rsidP="00AE57BB">
            <w:pPr>
              <w:tabs>
                <w:tab w:val="left" w:pos="729"/>
              </w:tabs>
              <w:spacing w:line="360" w:lineRule="auto"/>
              <w:ind w:firstLine="743"/>
              <w:jc w:val="both"/>
              <w:rPr>
                <w:rFonts w:ascii="Arial" w:eastAsia="Times New Roman" w:hAnsi="Arial" w:cs="Arial"/>
                <w:lang w:val="en-US"/>
              </w:rPr>
            </w:pPr>
          </w:p>
          <w:p w:rsidR="00ED6C6C" w:rsidRPr="00ED6C6C" w:rsidRDefault="00ED6C6C" w:rsidP="00AE57BB">
            <w:pPr>
              <w:spacing w:line="360" w:lineRule="auto"/>
              <w:jc w:val="both"/>
              <w:rPr>
                <w:rFonts w:ascii="Arial" w:eastAsia="Times New Roman" w:hAnsi="Arial" w:cs="Arial"/>
                <w:lang w:val="en-US"/>
              </w:rPr>
            </w:pPr>
            <w:r>
              <w:rPr>
                <w:rFonts w:ascii="Arial" w:eastAsia="Times New Roman" w:hAnsi="Arial" w:cs="Arial"/>
                <w:lang w:val="en-US"/>
              </w:rPr>
              <w:t>5.</w:t>
            </w:r>
            <w:r w:rsidR="00A6703B" w:rsidRPr="006979B3">
              <w:rPr>
                <w:rFonts w:ascii="Arial" w:hAnsi="Arial" w:cs="Arial"/>
                <w:sz w:val="24"/>
                <w:szCs w:val="24"/>
              </w:rPr>
              <w:tab/>
            </w:r>
            <w:r>
              <w:rPr>
                <w:rFonts w:ascii="Arial" w:eastAsia="Times New Roman" w:hAnsi="Arial" w:cs="Arial"/>
                <w:lang w:val="en-US"/>
              </w:rPr>
              <w:t xml:space="preserve">Further and/or alternative relief as this </w:t>
            </w:r>
            <w:proofErr w:type="spellStart"/>
            <w:r>
              <w:rPr>
                <w:rFonts w:ascii="Arial" w:eastAsia="Times New Roman" w:hAnsi="Arial" w:cs="Arial"/>
                <w:lang w:val="en-US"/>
              </w:rPr>
              <w:t>Honourable</w:t>
            </w:r>
            <w:proofErr w:type="spellEnd"/>
            <w:r>
              <w:rPr>
                <w:rFonts w:ascii="Arial" w:eastAsia="Times New Roman" w:hAnsi="Arial" w:cs="Arial"/>
                <w:lang w:val="en-US"/>
              </w:rPr>
              <w:t xml:space="preserve"> Court deems fit.</w:t>
            </w:r>
            <w:r w:rsidRPr="00ED6C6C">
              <w:rPr>
                <w:rFonts w:ascii="Arial" w:eastAsia="Times New Roman" w:hAnsi="Arial" w:cs="Arial"/>
                <w:lang w:val="en-US"/>
              </w:rPr>
              <w:t>’</w:t>
            </w:r>
          </w:p>
          <w:p w:rsidR="00ED6C6C" w:rsidRPr="006979B3" w:rsidRDefault="00ED6C6C" w:rsidP="00ED76B2">
            <w:pPr>
              <w:tabs>
                <w:tab w:val="left" w:pos="729"/>
              </w:tabs>
              <w:spacing w:line="360" w:lineRule="auto"/>
              <w:jc w:val="both"/>
              <w:rPr>
                <w:rFonts w:ascii="Arial" w:eastAsia="Times New Roman" w:hAnsi="Arial" w:cs="Arial"/>
                <w:sz w:val="24"/>
                <w:szCs w:val="24"/>
                <w:lang w:val="en-US"/>
              </w:rPr>
            </w:pPr>
          </w:p>
          <w:p w:rsidR="00FC2237" w:rsidRPr="006979B3" w:rsidRDefault="00672C76" w:rsidP="009F773F">
            <w:pPr>
              <w:spacing w:line="360" w:lineRule="auto"/>
              <w:ind w:left="23" w:hanging="23"/>
              <w:jc w:val="both"/>
              <w:rPr>
                <w:rFonts w:ascii="Arial" w:hAnsi="Arial" w:cs="Arial"/>
                <w:sz w:val="24"/>
                <w:szCs w:val="24"/>
              </w:rPr>
            </w:pPr>
            <w:r w:rsidRPr="006979B3">
              <w:rPr>
                <w:rFonts w:ascii="Arial" w:hAnsi="Arial" w:cs="Arial"/>
                <w:sz w:val="24"/>
                <w:szCs w:val="24"/>
              </w:rPr>
              <w:t>[2]</w:t>
            </w:r>
            <w:r w:rsidR="000A6E7F" w:rsidRPr="006979B3">
              <w:rPr>
                <w:rFonts w:ascii="Arial" w:hAnsi="Arial" w:cs="Arial"/>
                <w:sz w:val="24"/>
                <w:szCs w:val="24"/>
              </w:rPr>
              <w:tab/>
            </w:r>
            <w:r w:rsidR="00ED6C6C">
              <w:rPr>
                <w:rFonts w:ascii="Arial" w:hAnsi="Arial" w:cs="Arial"/>
                <w:sz w:val="24"/>
                <w:szCs w:val="24"/>
              </w:rPr>
              <w:t xml:space="preserve">The respondents (first and second defendants) have moved to reject the application, and are represented by Mr Mouton. Mr </w:t>
            </w:r>
            <w:proofErr w:type="spellStart"/>
            <w:r w:rsidR="00ED6C6C">
              <w:rPr>
                <w:rFonts w:ascii="Arial" w:hAnsi="Arial" w:cs="Arial"/>
                <w:sz w:val="24"/>
                <w:szCs w:val="24"/>
              </w:rPr>
              <w:t>Bangamwabo</w:t>
            </w:r>
            <w:proofErr w:type="spellEnd"/>
            <w:r w:rsidR="00ED6C6C">
              <w:rPr>
                <w:rFonts w:ascii="Arial" w:hAnsi="Arial" w:cs="Arial"/>
                <w:sz w:val="24"/>
                <w:szCs w:val="24"/>
              </w:rPr>
              <w:t xml:space="preserve"> represents the applicants (plaintiffs). It is important to note at the threshold that the burden of the court is essentially to determine whether an agreement to settle </w:t>
            </w:r>
            <w:r w:rsidR="002647A1">
              <w:rPr>
                <w:rFonts w:ascii="Arial" w:hAnsi="Arial" w:cs="Arial"/>
                <w:sz w:val="24"/>
                <w:szCs w:val="24"/>
              </w:rPr>
              <w:t xml:space="preserve">the parties’ dispute </w:t>
            </w:r>
            <w:r w:rsidR="00ED6C6C">
              <w:rPr>
                <w:rFonts w:ascii="Arial" w:hAnsi="Arial" w:cs="Arial"/>
                <w:sz w:val="24"/>
                <w:szCs w:val="24"/>
              </w:rPr>
              <w:t>was concluded by the parties</w:t>
            </w:r>
            <w:r w:rsidR="00F1221A" w:rsidRPr="006979B3">
              <w:rPr>
                <w:rFonts w:ascii="Arial" w:hAnsi="Arial" w:cs="Arial"/>
                <w:sz w:val="24"/>
                <w:szCs w:val="24"/>
                <w:lang w:val="en-US"/>
              </w:rPr>
              <w:t>.</w:t>
            </w:r>
          </w:p>
          <w:p w:rsidR="00224808" w:rsidRPr="006979B3" w:rsidRDefault="00224808" w:rsidP="009F773F">
            <w:pPr>
              <w:spacing w:line="360" w:lineRule="auto"/>
              <w:ind w:left="23" w:hanging="23"/>
              <w:jc w:val="both"/>
              <w:rPr>
                <w:rFonts w:ascii="Arial" w:hAnsi="Arial" w:cs="Arial"/>
                <w:sz w:val="24"/>
                <w:szCs w:val="24"/>
              </w:rPr>
            </w:pPr>
          </w:p>
          <w:p w:rsidR="006678D1" w:rsidRPr="006979B3" w:rsidRDefault="002D20C5" w:rsidP="009F773F">
            <w:pPr>
              <w:spacing w:line="360" w:lineRule="auto"/>
              <w:ind w:left="23" w:hanging="23"/>
              <w:jc w:val="both"/>
              <w:rPr>
                <w:rFonts w:ascii="Arial" w:hAnsi="Arial" w:cs="Arial"/>
                <w:sz w:val="24"/>
                <w:szCs w:val="24"/>
              </w:rPr>
            </w:pPr>
            <w:r w:rsidRPr="006979B3">
              <w:rPr>
                <w:rFonts w:ascii="Arial" w:hAnsi="Arial" w:cs="Arial"/>
                <w:sz w:val="24"/>
                <w:szCs w:val="24"/>
              </w:rPr>
              <w:t>[3]</w:t>
            </w:r>
            <w:r w:rsidRPr="006979B3">
              <w:rPr>
                <w:rFonts w:ascii="Arial" w:hAnsi="Arial" w:cs="Arial"/>
                <w:sz w:val="24"/>
                <w:szCs w:val="24"/>
              </w:rPr>
              <w:tab/>
            </w:r>
            <w:r w:rsidR="009A2D54">
              <w:rPr>
                <w:rFonts w:ascii="Arial" w:hAnsi="Arial" w:cs="Arial"/>
                <w:sz w:val="24"/>
                <w:szCs w:val="24"/>
              </w:rPr>
              <w:t xml:space="preserve">I shall not garnish this judgment with the background information respecting the matter. That was done in the judgment, dated </w:t>
            </w:r>
            <w:r w:rsidR="002647A1">
              <w:rPr>
                <w:rFonts w:ascii="Arial" w:hAnsi="Arial" w:cs="Arial"/>
                <w:sz w:val="24"/>
                <w:szCs w:val="24"/>
              </w:rPr>
              <w:t>28 August 2023</w:t>
            </w:r>
            <w:r w:rsidR="009464D6" w:rsidRPr="006979B3">
              <w:rPr>
                <w:rFonts w:ascii="Arial" w:hAnsi="Arial" w:cs="Arial"/>
                <w:sz w:val="24"/>
                <w:szCs w:val="24"/>
                <w:lang w:val="en-US"/>
              </w:rPr>
              <w:t>.</w:t>
            </w:r>
          </w:p>
          <w:p w:rsidR="006678D1" w:rsidRPr="006979B3" w:rsidRDefault="006678D1" w:rsidP="009F773F">
            <w:pPr>
              <w:spacing w:line="360" w:lineRule="auto"/>
              <w:ind w:left="23" w:hanging="23"/>
              <w:jc w:val="both"/>
              <w:rPr>
                <w:rFonts w:ascii="Arial" w:hAnsi="Arial" w:cs="Arial"/>
                <w:sz w:val="24"/>
                <w:szCs w:val="24"/>
              </w:rPr>
            </w:pPr>
          </w:p>
          <w:p w:rsidR="00224808" w:rsidRPr="006979B3" w:rsidRDefault="00816D42" w:rsidP="009F773F">
            <w:pPr>
              <w:spacing w:line="360" w:lineRule="auto"/>
              <w:ind w:left="23" w:hanging="23"/>
              <w:jc w:val="both"/>
              <w:rPr>
                <w:rFonts w:ascii="Arial" w:hAnsi="Arial" w:cs="Arial"/>
                <w:sz w:val="24"/>
                <w:szCs w:val="24"/>
                <w:lang w:val="en-US"/>
              </w:rPr>
            </w:pPr>
            <w:r w:rsidRPr="006979B3">
              <w:rPr>
                <w:rFonts w:ascii="Arial" w:hAnsi="Arial" w:cs="Arial"/>
                <w:sz w:val="24"/>
                <w:szCs w:val="24"/>
              </w:rPr>
              <w:t>[4]</w:t>
            </w:r>
            <w:r w:rsidRPr="006979B3">
              <w:rPr>
                <w:rFonts w:ascii="Arial" w:hAnsi="Arial" w:cs="Arial"/>
                <w:sz w:val="24"/>
                <w:szCs w:val="24"/>
              </w:rPr>
              <w:tab/>
            </w:r>
            <w:r w:rsidR="009A2D54">
              <w:rPr>
                <w:rFonts w:ascii="Arial" w:hAnsi="Arial" w:cs="Arial"/>
                <w:sz w:val="24"/>
                <w:szCs w:val="24"/>
              </w:rPr>
              <w:t xml:space="preserve">First and foremost, in our law there are two fundamental grounds upon which a person </w:t>
            </w:r>
            <w:r w:rsidR="009A2D54" w:rsidRPr="007000BF">
              <w:rPr>
                <w:rFonts w:ascii="Arial" w:hAnsi="Arial" w:cs="Arial"/>
                <w:b/>
                <w:sz w:val="24"/>
                <w:szCs w:val="24"/>
              </w:rPr>
              <w:t>X</w:t>
            </w:r>
            <w:r w:rsidR="009A2D54">
              <w:rPr>
                <w:rFonts w:ascii="Arial" w:hAnsi="Arial" w:cs="Arial"/>
                <w:sz w:val="24"/>
                <w:szCs w:val="24"/>
              </w:rPr>
              <w:t xml:space="preserve"> can prove the existence of a contract, namely, ‘consensus’ and ‘reasonable reliance’. As to the first ground, </w:t>
            </w:r>
            <w:r w:rsidR="009A2D54" w:rsidRPr="007000BF">
              <w:rPr>
                <w:rFonts w:ascii="Arial" w:hAnsi="Arial" w:cs="Arial"/>
                <w:b/>
                <w:sz w:val="24"/>
                <w:szCs w:val="24"/>
              </w:rPr>
              <w:t>X</w:t>
            </w:r>
            <w:r w:rsidR="009A2D54">
              <w:rPr>
                <w:rFonts w:ascii="Arial" w:hAnsi="Arial" w:cs="Arial"/>
                <w:sz w:val="24"/>
                <w:szCs w:val="24"/>
              </w:rPr>
              <w:t xml:space="preserve"> must establish that there has been an actual meeting of minds of the parties, that is, </w:t>
            </w:r>
            <w:r w:rsidR="009A2D54" w:rsidRPr="007000BF">
              <w:rPr>
                <w:rFonts w:ascii="Arial" w:hAnsi="Arial" w:cs="Arial"/>
                <w:b/>
                <w:sz w:val="24"/>
                <w:szCs w:val="24"/>
              </w:rPr>
              <w:t>X</w:t>
            </w:r>
            <w:r w:rsidR="009A2D54">
              <w:rPr>
                <w:rFonts w:ascii="Arial" w:hAnsi="Arial" w:cs="Arial"/>
                <w:sz w:val="24"/>
                <w:szCs w:val="24"/>
              </w:rPr>
              <w:t xml:space="preserve"> </w:t>
            </w:r>
            <w:r w:rsidR="009A2D54">
              <w:rPr>
                <w:rFonts w:ascii="Arial" w:hAnsi="Arial" w:cs="Arial"/>
                <w:sz w:val="24"/>
                <w:szCs w:val="24"/>
              </w:rPr>
              <w:lastRenderedPageBreak/>
              <w:t xml:space="preserve">and </w:t>
            </w:r>
            <w:r w:rsidR="009A2D54" w:rsidRPr="007000BF">
              <w:rPr>
                <w:rFonts w:ascii="Arial" w:hAnsi="Arial" w:cs="Arial"/>
                <w:b/>
                <w:sz w:val="24"/>
                <w:szCs w:val="24"/>
              </w:rPr>
              <w:t>Y</w:t>
            </w:r>
            <w:r w:rsidR="009A2D54">
              <w:rPr>
                <w:rFonts w:ascii="Arial" w:hAnsi="Arial" w:cs="Arial"/>
                <w:sz w:val="24"/>
                <w:szCs w:val="24"/>
              </w:rPr>
              <w:t xml:space="preserve"> were </w:t>
            </w:r>
            <w:r w:rsidR="009A2D54" w:rsidRPr="009A2D54">
              <w:rPr>
                <w:rFonts w:ascii="Arial" w:hAnsi="Arial" w:cs="Arial"/>
                <w:i/>
                <w:sz w:val="24"/>
                <w:szCs w:val="24"/>
              </w:rPr>
              <w:t>ad idem</w:t>
            </w:r>
            <w:r w:rsidR="009A2D54">
              <w:rPr>
                <w:rFonts w:ascii="Arial" w:hAnsi="Arial" w:cs="Arial"/>
                <w:sz w:val="24"/>
                <w:szCs w:val="24"/>
              </w:rPr>
              <w:t xml:space="preserve"> (</w:t>
            </w:r>
            <w:proofErr w:type="spellStart"/>
            <w:r w:rsidR="009A2D54">
              <w:rPr>
                <w:rFonts w:ascii="Arial" w:hAnsi="Arial" w:cs="Arial"/>
                <w:sz w:val="24"/>
                <w:szCs w:val="24"/>
              </w:rPr>
              <w:t>ie</w:t>
            </w:r>
            <w:proofErr w:type="spellEnd"/>
            <w:r w:rsidR="009A2D54">
              <w:rPr>
                <w:rFonts w:ascii="Arial" w:hAnsi="Arial" w:cs="Arial"/>
                <w:sz w:val="24"/>
                <w:szCs w:val="24"/>
              </w:rPr>
              <w:t xml:space="preserve"> consensus </w:t>
            </w:r>
            <w:r w:rsidR="009A2D54" w:rsidRPr="009A2D54">
              <w:rPr>
                <w:rFonts w:ascii="Arial" w:hAnsi="Arial" w:cs="Arial"/>
                <w:i/>
                <w:sz w:val="24"/>
                <w:szCs w:val="24"/>
              </w:rPr>
              <w:t>ad idem</w:t>
            </w:r>
            <w:r w:rsidR="009A2D54">
              <w:rPr>
                <w:rFonts w:ascii="Arial" w:hAnsi="Arial" w:cs="Arial"/>
                <w:sz w:val="24"/>
                <w:szCs w:val="24"/>
              </w:rPr>
              <w:t xml:space="preserve">). If that was established, the validity of the contract is put to bed, not to be awoken. If, however, there was not an actual meeting of minds, that is, </w:t>
            </w:r>
            <w:r w:rsidR="009A2D54" w:rsidRPr="007000BF">
              <w:rPr>
                <w:rFonts w:ascii="Arial" w:hAnsi="Arial" w:cs="Arial"/>
                <w:b/>
                <w:sz w:val="24"/>
                <w:szCs w:val="24"/>
              </w:rPr>
              <w:t>X</w:t>
            </w:r>
            <w:r w:rsidR="009A2D54">
              <w:rPr>
                <w:rFonts w:ascii="Arial" w:hAnsi="Arial" w:cs="Arial"/>
                <w:sz w:val="24"/>
                <w:szCs w:val="24"/>
              </w:rPr>
              <w:t xml:space="preserve"> and </w:t>
            </w:r>
            <w:r w:rsidR="009A2D54" w:rsidRPr="007000BF">
              <w:rPr>
                <w:rFonts w:ascii="Arial" w:hAnsi="Arial" w:cs="Arial"/>
                <w:b/>
                <w:sz w:val="24"/>
                <w:szCs w:val="24"/>
              </w:rPr>
              <w:t>Y</w:t>
            </w:r>
            <w:r w:rsidR="009A2D54">
              <w:rPr>
                <w:rFonts w:ascii="Arial" w:hAnsi="Arial" w:cs="Arial"/>
                <w:sz w:val="24"/>
                <w:szCs w:val="24"/>
              </w:rPr>
              <w:t xml:space="preserve"> were never </w:t>
            </w:r>
            <w:r w:rsidR="009A2D54" w:rsidRPr="009A2D54">
              <w:rPr>
                <w:rFonts w:ascii="Arial" w:hAnsi="Arial" w:cs="Arial"/>
                <w:i/>
                <w:sz w:val="24"/>
                <w:szCs w:val="24"/>
              </w:rPr>
              <w:t>ad idem</w:t>
            </w:r>
            <w:r w:rsidR="009A2D54">
              <w:rPr>
                <w:rFonts w:ascii="Arial" w:hAnsi="Arial" w:cs="Arial"/>
                <w:sz w:val="24"/>
                <w:szCs w:val="24"/>
              </w:rPr>
              <w:t xml:space="preserve">, the question to answer is whether </w:t>
            </w:r>
            <w:r w:rsidR="009A2D54" w:rsidRPr="007000BF">
              <w:rPr>
                <w:rFonts w:ascii="Arial" w:hAnsi="Arial" w:cs="Arial"/>
                <w:b/>
                <w:sz w:val="24"/>
                <w:szCs w:val="24"/>
              </w:rPr>
              <w:t>X</w:t>
            </w:r>
            <w:r w:rsidR="009A2D54">
              <w:rPr>
                <w:rFonts w:ascii="Arial" w:hAnsi="Arial" w:cs="Arial"/>
                <w:sz w:val="24"/>
                <w:szCs w:val="24"/>
              </w:rPr>
              <w:t xml:space="preserve"> or </w:t>
            </w:r>
            <w:r w:rsidR="009A2D54" w:rsidRPr="007000BF">
              <w:rPr>
                <w:rFonts w:ascii="Arial" w:hAnsi="Arial" w:cs="Arial"/>
                <w:b/>
                <w:sz w:val="24"/>
                <w:szCs w:val="24"/>
              </w:rPr>
              <w:t>Y</w:t>
            </w:r>
            <w:r w:rsidR="009A2D54">
              <w:rPr>
                <w:rFonts w:ascii="Arial" w:hAnsi="Arial" w:cs="Arial"/>
                <w:sz w:val="24"/>
                <w:szCs w:val="24"/>
              </w:rPr>
              <w:t xml:space="preserve"> by </w:t>
            </w:r>
            <w:r w:rsidR="00EF39B5">
              <w:rPr>
                <w:rFonts w:ascii="Arial" w:hAnsi="Arial" w:cs="Arial"/>
                <w:sz w:val="24"/>
                <w:szCs w:val="24"/>
              </w:rPr>
              <w:t>his or her</w:t>
            </w:r>
            <w:r w:rsidR="009A2D54">
              <w:rPr>
                <w:rFonts w:ascii="Arial" w:hAnsi="Arial" w:cs="Arial"/>
                <w:sz w:val="24"/>
                <w:szCs w:val="24"/>
              </w:rPr>
              <w:t xml:space="preserve"> words or conduct led the other party into the reasonable belief that consensus was reached; that is ‘reasonable reliance’.</w:t>
            </w:r>
            <w:r w:rsidR="009A2D54">
              <w:rPr>
                <w:rStyle w:val="FootnoteReference"/>
                <w:rFonts w:ascii="Arial" w:hAnsi="Arial" w:cs="Arial"/>
                <w:sz w:val="24"/>
                <w:szCs w:val="24"/>
              </w:rPr>
              <w:footnoteReference w:id="1"/>
            </w:r>
          </w:p>
          <w:p w:rsidR="007A69B7" w:rsidRPr="006979B3" w:rsidRDefault="007A69B7" w:rsidP="009F773F">
            <w:pPr>
              <w:spacing w:line="360" w:lineRule="auto"/>
              <w:ind w:left="23" w:hanging="23"/>
              <w:jc w:val="both"/>
              <w:rPr>
                <w:rFonts w:ascii="Arial" w:hAnsi="Arial" w:cs="Arial"/>
                <w:sz w:val="24"/>
                <w:szCs w:val="24"/>
                <w:lang w:val="en-US"/>
              </w:rPr>
            </w:pPr>
          </w:p>
          <w:p w:rsidR="007A69B7" w:rsidRPr="00307DB3" w:rsidRDefault="007A69B7" w:rsidP="009F773F">
            <w:pPr>
              <w:spacing w:line="360" w:lineRule="auto"/>
              <w:ind w:left="23" w:hanging="23"/>
              <w:jc w:val="both"/>
              <w:rPr>
                <w:rFonts w:ascii="Arial" w:hAnsi="Arial" w:cs="Arial"/>
                <w:sz w:val="24"/>
                <w:szCs w:val="24"/>
                <w:lang w:val="en-US"/>
              </w:rPr>
            </w:pPr>
            <w:r w:rsidRPr="006979B3">
              <w:rPr>
                <w:rFonts w:ascii="Arial" w:hAnsi="Arial" w:cs="Arial"/>
                <w:sz w:val="24"/>
                <w:szCs w:val="24"/>
                <w:lang w:val="en-US"/>
              </w:rPr>
              <w:t>[5]</w:t>
            </w:r>
            <w:r w:rsidRPr="006979B3">
              <w:rPr>
                <w:rFonts w:ascii="Arial" w:hAnsi="Arial" w:cs="Arial"/>
                <w:sz w:val="24"/>
                <w:szCs w:val="24"/>
              </w:rPr>
              <w:tab/>
            </w:r>
            <w:r w:rsidR="00282DB5">
              <w:rPr>
                <w:rFonts w:ascii="Arial" w:hAnsi="Arial" w:cs="Arial"/>
                <w:sz w:val="24"/>
                <w:szCs w:val="24"/>
              </w:rPr>
              <w:t>The second relevant basic principle is this. An ‘oral agreement made seriously and deliberately with the intention that a lawful obligation should be established and has a grounded reason which is not immoral or forbidden’ is valid and enforceable.</w:t>
            </w:r>
            <w:r w:rsidR="00282DB5">
              <w:rPr>
                <w:rStyle w:val="FootnoteReference"/>
                <w:rFonts w:ascii="Arial" w:hAnsi="Arial" w:cs="Arial"/>
                <w:sz w:val="24"/>
                <w:szCs w:val="24"/>
              </w:rPr>
              <w:footnoteReference w:id="2"/>
            </w:r>
            <w:r w:rsidR="00742AB6">
              <w:rPr>
                <w:rFonts w:ascii="Arial" w:hAnsi="Arial" w:cs="Arial"/>
                <w:sz w:val="24"/>
                <w:szCs w:val="24"/>
              </w:rPr>
              <w:t xml:space="preserve"> The third relevant basic principle is that the onus of establishing that a contract exists rests squarely on the party who alleges the existence of the contract. He or she may establish the existence of the contract on the ground of consensus </w:t>
            </w:r>
            <w:r w:rsidR="00742AB6" w:rsidRPr="00742AB6">
              <w:rPr>
                <w:rFonts w:ascii="Arial" w:hAnsi="Arial" w:cs="Arial"/>
                <w:i/>
                <w:sz w:val="24"/>
                <w:szCs w:val="24"/>
              </w:rPr>
              <w:t>ad idem</w:t>
            </w:r>
            <w:r w:rsidR="00742AB6">
              <w:rPr>
                <w:rFonts w:ascii="Arial" w:hAnsi="Arial" w:cs="Arial"/>
                <w:sz w:val="24"/>
                <w:szCs w:val="24"/>
              </w:rPr>
              <w:t xml:space="preserve"> or on the ground of reasonable reliance. That is not all. That party must also prove the terms of the contract. Generally, the opposing party bears no burden to prove that no contract exists.</w:t>
            </w:r>
            <w:r w:rsidR="00742AB6">
              <w:rPr>
                <w:rStyle w:val="FootnoteReference"/>
                <w:rFonts w:ascii="Arial" w:hAnsi="Arial" w:cs="Arial"/>
                <w:sz w:val="24"/>
                <w:szCs w:val="24"/>
              </w:rPr>
              <w:footnoteReference w:id="3"/>
            </w:r>
          </w:p>
          <w:p w:rsidR="00980C82" w:rsidRPr="00307DB3" w:rsidRDefault="00980C82" w:rsidP="00980C82">
            <w:pPr>
              <w:spacing w:line="360" w:lineRule="auto"/>
              <w:jc w:val="both"/>
              <w:rPr>
                <w:rFonts w:ascii="Arial" w:hAnsi="Arial" w:cs="Arial"/>
                <w:sz w:val="24"/>
                <w:szCs w:val="24"/>
                <w:lang w:val="en-US"/>
              </w:rPr>
            </w:pPr>
          </w:p>
          <w:p w:rsidR="007A69B7" w:rsidRPr="00307DB3" w:rsidRDefault="007A69B7" w:rsidP="009F773F">
            <w:pPr>
              <w:spacing w:line="360" w:lineRule="auto"/>
              <w:ind w:left="23" w:hanging="23"/>
              <w:jc w:val="both"/>
              <w:rPr>
                <w:rFonts w:ascii="Arial" w:hAnsi="Arial" w:cs="Arial"/>
                <w:sz w:val="24"/>
                <w:szCs w:val="24"/>
              </w:rPr>
            </w:pPr>
            <w:r w:rsidRPr="00307DB3">
              <w:rPr>
                <w:rFonts w:ascii="Arial" w:hAnsi="Arial" w:cs="Arial"/>
                <w:sz w:val="24"/>
                <w:szCs w:val="24"/>
                <w:lang w:val="en-US"/>
              </w:rPr>
              <w:t>[6]</w:t>
            </w:r>
            <w:r w:rsidRPr="00307DB3">
              <w:rPr>
                <w:rFonts w:ascii="Arial" w:hAnsi="Arial" w:cs="Arial"/>
                <w:sz w:val="24"/>
                <w:szCs w:val="24"/>
              </w:rPr>
              <w:tab/>
            </w:r>
            <w:r w:rsidR="009A2D54">
              <w:rPr>
                <w:rFonts w:ascii="Arial" w:hAnsi="Arial" w:cs="Arial"/>
                <w:sz w:val="24"/>
                <w:szCs w:val="24"/>
              </w:rPr>
              <w:t xml:space="preserve">The plaintiffs admit that no agreement was reached during lunch time on </w:t>
            </w:r>
            <w:r w:rsidR="00422931">
              <w:rPr>
                <w:rFonts w:ascii="Arial" w:hAnsi="Arial" w:cs="Arial"/>
                <w:sz w:val="24"/>
                <w:szCs w:val="24"/>
              </w:rPr>
              <w:t xml:space="preserve">5 June 2023. That fact is crucial. </w:t>
            </w:r>
            <w:r w:rsidR="00EF39B5">
              <w:rPr>
                <w:rFonts w:ascii="Arial" w:hAnsi="Arial" w:cs="Arial"/>
                <w:sz w:val="24"/>
                <w:szCs w:val="24"/>
              </w:rPr>
              <w:t>However,</w:t>
            </w:r>
            <w:r w:rsidR="00422931">
              <w:rPr>
                <w:rFonts w:ascii="Arial" w:hAnsi="Arial" w:cs="Arial"/>
                <w:sz w:val="24"/>
                <w:szCs w:val="24"/>
              </w:rPr>
              <w:t xml:space="preserve"> all the terms and conditions of a settlement agreement were discussed and negotiated subsequently by the parties through a teleconference facility</w:t>
            </w:r>
            <w:r w:rsidR="00AC43A2">
              <w:rPr>
                <w:rFonts w:ascii="Arial" w:hAnsi="Arial" w:cs="Arial"/>
                <w:sz w:val="24"/>
                <w:szCs w:val="24"/>
              </w:rPr>
              <w:t xml:space="preserve"> the same day (</w:t>
            </w:r>
            <w:proofErr w:type="spellStart"/>
            <w:r w:rsidR="00AC43A2">
              <w:rPr>
                <w:rFonts w:ascii="Arial" w:hAnsi="Arial" w:cs="Arial"/>
                <w:sz w:val="24"/>
                <w:szCs w:val="24"/>
              </w:rPr>
              <w:t>ie</w:t>
            </w:r>
            <w:proofErr w:type="spellEnd"/>
            <w:r w:rsidR="00AC43A2">
              <w:rPr>
                <w:rFonts w:ascii="Arial" w:hAnsi="Arial" w:cs="Arial"/>
                <w:sz w:val="24"/>
                <w:szCs w:val="24"/>
              </w:rPr>
              <w:t xml:space="preserve"> 5 June 2023). </w:t>
            </w:r>
            <w:r w:rsidR="00422931">
              <w:rPr>
                <w:rFonts w:ascii="Arial" w:hAnsi="Arial" w:cs="Arial"/>
                <w:sz w:val="24"/>
                <w:szCs w:val="24"/>
              </w:rPr>
              <w:t>The defendants deny that any agreement was reached because there were outstanding material matters that stood un</w:t>
            </w:r>
            <w:r w:rsidR="004F73A0">
              <w:rPr>
                <w:rFonts w:ascii="Arial" w:hAnsi="Arial" w:cs="Arial"/>
                <w:sz w:val="24"/>
                <w:szCs w:val="24"/>
              </w:rPr>
              <w:t xml:space="preserve"> </w:t>
            </w:r>
            <w:r w:rsidR="00422931">
              <w:rPr>
                <w:rFonts w:ascii="Arial" w:hAnsi="Arial" w:cs="Arial"/>
                <w:sz w:val="24"/>
                <w:szCs w:val="24"/>
              </w:rPr>
              <w:t>agreed upon, namely, the appointment of a contractor to carry out the works involved and such contractor’s quotation regarding installation and/or fitting of the titles in question.</w:t>
            </w:r>
          </w:p>
          <w:p w:rsidR="009C1846" w:rsidRDefault="009C1846" w:rsidP="009F773F">
            <w:pPr>
              <w:spacing w:line="360" w:lineRule="auto"/>
              <w:ind w:left="23" w:hanging="23"/>
              <w:jc w:val="both"/>
              <w:rPr>
                <w:rFonts w:ascii="Arial" w:hAnsi="Arial" w:cs="Arial"/>
                <w:sz w:val="24"/>
                <w:szCs w:val="24"/>
              </w:rPr>
            </w:pPr>
          </w:p>
          <w:p w:rsidR="009C1846" w:rsidRPr="00307DB3" w:rsidRDefault="009C1846" w:rsidP="009F773F">
            <w:pPr>
              <w:spacing w:line="360" w:lineRule="auto"/>
              <w:ind w:left="23" w:hanging="23"/>
              <w:jc w:val="both"/>
              <w:rPr>
                <w:rFonts w:ascii="Arial" w:hAnsi="Arial" w:cs="Arial"/>
                <w:sz w:val="24"/>
                <w:szCs w:val="24"/>
                <w:lang w:val="en-US"/>
              </w:rPr>
            </w:pPr>
            <w:r w:rsidRPr="00307DB3">
              <w:rPr>
                <w:rFonts w:ascii="Arial" w:hAnsi="Arial" w:cs="Arial"/>
                <w:sz w:val="24"/>
                <w:szCs w:val="24"/>
              </w:rPr>
              <w:t>[7]</w:t>
            </w:r>
            <w:r w:rsidRPr="00307DB3">
              <w:rPr>
                <w:rFonts w:ascii="Arial" w:hAnsi="Arial" w:cs="Arial"/>
                <w:sz w:val="24"/>
                <w:szCs w:val="24"/>
              </w:rPr>
              <w:tab/>
            </w:r>
            <w:r w:rsidR="009E2D5E">
              <w:rPr>
                <w:rFonts w:ascii="Arial" w:hAnsi="Arial" w:cs="Arial"/>
                <w:sz w:val="24"/>
                <w:szCs w:val="24"/>
              </w:rPr>
              <w:t xml:space="preserve">In their replying papers, the applicants disputed the respondents’ answer, with the following </w:t>
            </w:r>
            <w:proofErr w:type="spellStart"/>
            <w:r w:rsidR="00325533">
              <w:rPr>
                <w:rFonts w:ascii="Arial" w:hAnsi="Arial" w:cs="Arial"/>
                <w:sz w:val="24"/>
                <w:szCs w:val="24"/>
              </w:rPr>
              <w:t>amplication</w:t>
            </w:r>
            <w:proofErr w:type="spellEnd"/>
            <w:r w:rsidR="009E2D5E">
              <w:rPr>
                <w:rFonts w:ascii="Arial" w:hAnsi="Arial" w:cs="Arial"/>
                <w:sz w:val="24"/>
                <w:szCs w:val="24"/>
              </w:rPr>
              <w:t>: The initial draft settlement agreement (Annexure ‘RK2’)</w:t>
            </w:r>
            <w:r w:rsidR="00325533">
              <w:rPr>
                <w:rFonts w:ascii="Arial" w:hAnsi="Arial" w:cs="Arial"/>
                <w:sz w:val="24"/>
                <w:szCs w:val="24"/>
              </w:rPr>
              <w:t xml:space="preserve"> did not contain a provision on the issue of a contractor. The draft as revised by the respondents and sent to the applicants (Annexure ‘RK2’), too, did not contain a provision on the issue of a contractor and yet the respondents did not include the issue in the revised settlement agreement that they drafted</w:t>
            </w:r>
            <w:r w:rsidR="00307DB3" w:rsidRPr="00307DB3">
              <w:rPr>
                <w:rFonts w:ascii="Arial" w:hAnsi="Arial"/>
                <w:sz w:val="24"/>
                <w:szCs w:val="24"/>
              </w:rPr>
              <w:t>.</w:t>
            </w:r>
          </w:p>
          <w:p w:rsidR="00B05A08" w:rsidRPr="00307DB3" w:rsidRDefault="00B05A08" w:rsidP="009F773F">
            <w:pPr>
              <w:spacing w:line="360" w:lineRule="auto"/>
              <w:ind w:left="23" w:hanging="23"/>
              <w:jc w:val="both"/>
              <w:rPr>
                <w:rFonts w:ascii="Arial" w:hAnsi="Arial" w:cs="Arial"/>
                <w:sz w:val="24"/>
                <w:szCs w:val="24"/>
                <w:lang w:val="en-US"/>
              </w:rPr>
            </w:pPr>
          </w:p>
          <w:p w:rsidR="00B16A04" w:rsidRPr="00307DB3" w:rsidRDefault="00B16A04" w:rsidP="009F773F">
            <w:pPr>
              <w:spacing w:line="360" w:lineRule="auto"/>
              <w:ind w:left="23" w:hanging="23"/>
              <w:jc w:val="both"/>
              <w:rPr>
                <w:rFonts w:ascii="Arial" w:hAnsi="Arial" w:cs="Arial"/>
                <w:sz w:val="24"/>
                <w:szCs w:val="24"/>
                <w:lang w:val="en-US"/>
              </w:rPr>
            </w:pPr>
            <w:r w:rsidRPr="00307DB3">
              <w:rPr>
                <w:rFonts w:ascii="Arial" w:hAnsi="Arial" w:cs="Arial"/>
                <w:sz w:val="24"/>
                <w:szCs w:val="24"/>
                <w:lang w:val="en-US"/>
              </w:rPr>
              <w:lastRenderedPageBreak/>
              <w:t>[8]</w:t>
            </w:r>
            <w:r w:rsidRPr="00307DB3">
              <w:rPr>
                <w:rFonts w:ascii="Arial" w:hAnsi="Arial" w:cs="Arial"/>
                <w:sz w:val="24"/>
                <w:szCs w:val="24"/>
              </w:rPr>
              <w:tab/>
            </w:r>
            <w:r w:rsidR="00325533">
              <w:rPr>
                <w:rFonts w:ascii="Arial" w:hAnsi="Arial" w:cs="Arial"/>
                <w:sz w:val="24"/>
                <w:szCs w:val="24"/>
              </w:rPr>
              <w:t xml:space="preserve">The applicants’ reply does not counter the respondents’ averment that </w:t>
            </w:r>
            <w:r w:rsidR="004F73A0">
              <w:rPr>
                <w:rFonts w:ascii="Arial" w:hAnsi="Arial" w:cs="Arial"/>
                <w:sz w:val="24"/>
                <w:szCs w:val="24"/>
              </w:rPr>
              <w:t>that material</w:t>
            </w:r>
            <w:r w:rsidR="00325533">
              <w:rPr>
                <w:rFonts w:ascii="Arial" w:hAnsi="Arial" w:cs="Arial"/>
                <w:sz w:val="24"/>
                <w:szCs w:val="24"/>
              </w:rPr>
              <w:t xml:space="preserve"> issue was still alive during the teleconference negotiations and was not resolved, and so there could not have been an agreement during the teleconference.</w:t>
            </w:r>
          </w:p>
          <w:p w:rsidR="00307DB3" w:rsidRPr="00307DB3" w:rsidRDefault="00307DB3" w:rsidP="009F773F">
            <w:pPr>
              <w:spacing w:line="360" w:lineRule="auto"/>
              <w:ind w:left="23" w:hanging="23"/>
              <w:jc w:val="both"/>
              <w:rPr>
                <w:rFonts w:ascii="Arial" w:hAnsi="Arial" w:cs="Arial"/>
                <w:sz w:val="24"/>
                <w:szCs w:val="24"/>
                <w:lang w:val="en-US"/>
              </w:rPr>
            </w:pPr>
          </w:p>
          <w:p w:rsidR="00024F0E" w:rsidRPr="00307DB3" w:rsidRDefault="007A69B7" w:rsidP="009F773F">
            <w:pPr>
              <w:spacing w:line="360" w:lineRule="auto"/>
              <w:ind w:left="23" w:hanging="23"/>
              <w:jc w:val="both"/>
              <w:rPr>
                <w:rFonts w:ascii="Arial" w:hAnsi="Arial" w:cs="Arial"/>
                <w:sz w:val="24"/>
                <w:szCs w:val="24"/>
                <w:lang w:val="en-US"/>
              </w:rPr>
            </w:pPr>
            <w:r w:rsidRPr="00307DB3">
              <w:rPr>
                <w:rFonts w:ascii="Arial" w:hAnsi="Arial" w:cs="Arial"/>
                <w:sz w:val="24"/>
                <w:szCs w:val="24"/>
                <w:lang w:val="en-US"/>
              </w:rPr>
              <w:t>[</w:t>
            </w:r>
            <w:r w:rsidR="00B16A04" w:rsidRPr="00307DB3">
              <w:rPr>
                <w:rFonts w:ascii="Arial" w:hAnsi="Arial" w:cs="Arial"/>
                <w:sz w:val="24"/>
                <w:szCs w:val="24"/>
                <w:lang w:val="en-US"/>
              </w:rPr>
              <w:t>9</w:t>
            </w:r>
            <w:r w:rsidR="00812772" w:rsidRPr="00307DB3">
              <w:rPr>
                <w:rFonts w:ascii="Arial" w:hAnsi="Arial" w:cs="Arial"/>
                <w:sz w:val="24"/>
                <w:szCs w:val="24"/>
                <w:lang w:val="en-US"/>
              </w:rPr>
              <w:t>]</w:t>
            </w:r>
            <w:r w:rsidR="002B5BB9" w:rsidRPr="00307DB3">
              <w:rPr>
                <w:rFonts w:ascii="Arial" w:hAnsi="Arial" w:cs="Arial"/>
                <w:sz w:val="24"/>
                <w:szCs w:val="24"/>
              </w:rPr>
              <w:tab/>
            </w:r>
            <w:r w:rsidR="00087C9A">
              <w:rPr>
                <w:rFonts w:ascii="Arial" w:hAnsi="Arial" w:cs="Arial"/>
                <w:sz w:val="24"/>
                <w:szCs w:val="24"/>
              </w:rPr>
              <w:t>Consequently, I find and hold that no oral settlement agreement was reached by the parties, because neither consensus nor reasonable reliance is established.</w:t>
            </w:r>
            <w:r w:rsidR="00087C9A">
              <w:rPr>
                <w:rStyle w:val="FootnoteReference"/>
                <w:rFonts w:ascii="Arial" w:hAnsi="Arial" w:cs="Arial"/>
                <w:sz w:val="24"/>
                <w:szCs w:val="24"/>
              </w:rPr>
              <w:footnoteReference w:id="4"/>
            </w:r>
            <w:r w:rsidR="00087C9A">
              <w:rPr>
                <w:rFonts w:ascii="Arial" w:hAnsi="Arial" w:cs="Arial"/>
                <w:sz w:val="24"/>
                <w:szCs w:val="24"/>
              </w:rPr>
              <w:t xml:space="preserve"> But</w:t>
            </w:r>
            <w:r w:rsidR="00E41BA4">
              <w:rPr>
                <w:rFonts w:ascii="Arial" w:hAnsi="Arial" w:cs="Arial"/>
                <w:sz w:val="24"/>
                <w:szCs w:val="24"/>
              </w:rPr>
              <w:t xml:space="preserve"> that is not the end of the matter, as I now demonstrate</w:t>
            </w:r>
            <w:r w:rsidR="00FD1B5F">
              <w:rPr>
                <w:rFonts w:ascii="Arial" w:hAnsi="Arial" w:cs="Arial"/>
                <w:sz w:val="24"/>
                <w:szCs w:val="24"/>
              </w:rPr>
              <w:t>.</w:t>
            </w:r>
          </w:p>
          <w:p w:rsidR="00307DB3" w:rsidRPr="006A398D" w:rsidRDefault="00307DB3" w:rsidP="00346B7A">
            <w:pPr>
              <w:spacing w:line="360" w:lineRule="auto"/>
              <w:ind w:left="23" w:hanging="23"/>
              <w:jc w:val="both"/>
              <w:rPr>
                <w:rFonts w:ascii="Arial" w:hAnsi="Arial" w:cs="Arial"/>
                <w:sz w:val="24"/>
                <w:szCs w:val="24"/>
                <w:lang w:val="en-US"/>
              </w:rPr>
            </w:pPr>
          </w:p>
          <w:p w:rsidR="008D4A1F" w:rsidRPr="009C516F" w:rsidRDefault="00812772" w:rsidP="008D4A1F">
            <w:pPr>
              <w:spacing w:line="360" w:lineRule="auto"/>
              <w:ind w:left="23" w:hanging="23"/>
              <w:jc w:val="both"/>
              <w:rPr>
                <w:rFonts w:ascii="Arial" w:hAnsi="Arial"/>
                <w:sz w:val="24"/>
                <w:szCs w:val="24"/>
              </w:rPr>
            </w:pPr>
            <w:r w:rsidRPr="006A398D">
              <w:rPr>
                <w:rFonts w:ascii="Arial" w:hAnsi="Arial" w:cs="Arial"/>
                <w:sz w:val="24"/>
                <w:szCs w:val="24"/>
                <w:lang w:val="en-US"/>
              </w:rPr>
              <w:t>[</w:t>
            </w:r>
            <w:r w:rsidR="009719BD" w:rsidRPr="006A398D">
              <w:rPr>
                <w:rFonts w:ascii="Arial" w:hAnsi="Arial" w:cs="Arial"/>
                <w:sz w:val="24"/>
                <w:szCs w:val="24"/>
                <w:lang w:val="en-US"/>
              </w:rPr>
              <w:t>10</w:t>
            </w:r>
            <w:r w:rsidRPr="006A398D">
              <w:rPr>
                <w:rFonts w:ascii="Arial" w:hAnsi="Arial" w:cs="Arial"/>
                <w:sz w:val="24"/>
                <w:szCs w:val="24"/>
                <w:lang w:val="en-US"/>
              </w:rPr>
              <w:t>]</w:t>
            </w:r>
            <w:r w:rsidRPr="006A398D">
              <w:rPr>
                <w:rFonts w:ascii="Arial" w:hAnsi="Arial" w:cs="Arial"/>
                <w:sz w:val="24"/>
                <w:szCs w:val="24"/>
              </w:rPr>
              <w:tab/>
            </w:r>
            <w:r w:rsidR="00E41BA4">
              <w:rPr>
                <w:rFonts w:ascii="Arial" w:hAnsi="Arial" w:cs="Arial"/>
                <w:sz w:val="24"/>
                <w:szCs w:val="24"/>
              </w:rPr>
              <w:t xml:space="preserve">In their replying papers, the applicants aver the following: An initial settlement agreement drafted by the applicants (Annexure ‘RK2’) was sent to the respondents for their consideration. The initial draft was prepared by the respondents and sent to the applicants. The applicants did not have any problem with the revised draft settlement agreement, and so the second applicant signed it. </w:t>
            </w:r>
            <w:r w:rsidR="00087C9A">
              <w:rPr>
                <w:rFonts w:ascii="Arial" w:hAnsi="Arial" w:cs="Arial"/>
                <w:sz w:val="24"/>
                <w:szCs w:val="24"/>
              </w:rPr>
              <w:t xml:space="preserve">It </w:t>
            </w:r>
            <w:r w:rsidR="006C37BD">
              <w:rPr>
                <w:rFonts w:ascii="Arial" w:hAnsi="Arial" w:cs="Arial"/>
                <w:sz w:val="24"/>
                <w:szCs w:val="24"/>
              </w:rPr>
              <w:t xml:space="preserve">was the submission of Mr </w:t>
            </w:r>
            <w:proofErr w:type="spellStart"/>
            <w:r w:rsidR="006C37BD">
              <w:rPr>
                <w:rFonts w:ascii="Arial" w:hAnsi="Arial" w:cs="Arial"/>
                <w:sz w:val="24"/>
                <w:szCs w:val="24"/>
              </w:rPr>
              <w:t>Bangamwabo</w:t>
            </w:r>
            <w:proofErr w:type="spellEnd"/>
            <w:r w:rsidR="006C37BD">
              <w:rPr>
                <w:rFonts w:ascii="Arial" w:hAnsi="Arial" w:cs="Arial"/>
                <w:sz w:val="24"/>
                <w:szCs w:val="24"/>
              </w:rPr>
              <w:t xml:space="preserve"> that the revised draft amounted to a counter offer, and since the counter offer was accepted by the applicants, an agreement was reached, binding the parties</w:t>
            </w:r>
            <w:r w:rsidR="009C516F">
              <w:rPr>
                <w:rFonts w:ascii="Arial" w:hAnsi="Arial" w:cs="Arial"/>
                <w:sz w:val="24"/>
                <w:szCs w:val="24"/>
              </w:rPr>
              <w:t>.</w:t>
            </w:r>
          </w:p>
          <w:p w:rsidR="003F3D99" w:rsidRPr="003F3D99" w:rsidRDefault="003F3D99" w:rsidP="00F639A4">
            <w:pPr>
              <w:spacing w:line="360" w:lineRule="auto"/>
              <w:jc w:val="both"/>
              <w:rPr>
                <w:rFonts w:ascii="Arial" w:hAnsi="Arial" w:cs="Arial"/>
                <w:sz w:val="24"/>
                <w:szCs w:val="24"/>
              </w:rPr>
            </w:pPr>
          </w:p>
          <w:p w:rsidR="00175DB1" w:rsidRPr="00A34ECF" w:rsidRDefault="00C06EB4" w:rsidP="00F639A4">
            <w:pPr>
              <w:tabs>
                <w:tab w:val="left" w:pos="729"/>
              </w:tabs>
              <w:spacing w:line="360" w:lineRule="auto"/>
              <w:jc w:val="both"/>
              <w:rPr>
                <w:rFonts w:ascii="Arial" w:hAnsi="Arial" w:cs="Arial"/>
                <w:sz w:val="24"/>
                <w:szCs w:val="24"/>
              </w:rPr>
            </w:pPr>
            <w:r w:rsidRPr="006A398D">
              <w:rPr>
                <w:rFonts w:ascii="Arial" w:hAnsi="Arial" w:cs="Arial"/>
                <w:sz w:val="24"/>
                <w:szCs w:val="24"/>
              </w:rPr>
              <w:t>[</w:t>
            </w:r>
            <w:r w:rsidR="000E5171" w:rsidRPr="006A398D">
              <w:rPr>
                <w:rFonts w:ascii="Arial" w:hAnsi="Arial" w:cs="Arial"/>
                <w:sz w:val="24"/>
                <w:szCs w:val="24"/>
              </w:rPr>
              <w:t>11</w:t>
            </w:r>
            <w:r w:rsidR="00B40844" w:rsidRPr="006A398D">
              <w:rPr>
                <w:rFonts w:ascii="Arial" w:hAnsi="Arial" w:cs="Arial"/>
                <w:sz w:val="24"/>
                <w:szCs w:val="24"/>
              </w:rPr>
              <w:t>]</w:t>
            </w:r>
            <w:r w:rsidR="00B40844" w:rsidRPr="006A398D">
              <w:rPr>
                <w:rFonts w:ascii="Arial" w:hAnsi="Arial" w:cs="Arial"/>
                <w:sz w:val="24"/>
                <w:szCs w:val="24"/>
              </w:rPr>
              <w:tab/>
            </w:r>
            <w:r w:rsidR="006C37BD">
              <w:rPr>
                <w:rFonts w:ascii="Arial" w:hAnsi="Arial" w:cs="Arial"/>
                <w:sz w:val="24"/>
                <w:szCs w:val="24"/>
              </w:rPr>
              <w:t>Based on a general principle</w:t>
            </w:r>
            <w:r w:rsidR="004F73A0">
              <w:rPr>
                <w:rFonts w:ascii="Arial" w:hAnsi="Arial" w:cs="Arial"/>
                <w:sz w:val="24"/>
                <w:szCs w:val="24"/>
              </w:rPr>
              <w:t>,</w:t>
            </w:r>
            <w:r w:rsidR="006C37BD">
              <w:rPr>
                <w:rFonts w:ascii="Arial" w:hAnsi="Arial" w:cs="Arial"/>
                <w:sz w:val="24"/>
                <w:szCs w:val="24"/>
              </w:rPr>
              <w:t xml:space="preserve"> Mr </w:t>
            </w:r>
            <w:proofErr w:type="spellStart"/>
            <w:r w:rsidR="006C37BD">
              <w:rPr>
                <w:rFonts w:ascii="Arial" w:hAnsi="Arial" w:cs="Arial"/>
                <w:sz w:val="24"/>
                <w:szCs w:val="24"/>
              </w:rPr>
              <w:t>Bangamwabo’s</w:t>
            </w:r>
            <w:proofErr w:type="spellEnd"/>
            <w:r w:rsidR="006C37BD">
              <w:rPr>
                <w:rFonts w:ascii="Arial" w:hAnsi="Arial" w:cs="Arial"/>
                <w:sz w:val="24"/>
                <w:szCs w:val="24"/>
              </w:rPr>
              <w:t xml:space="preserve"> submission is correct. But the general principle is subject to an important qualification. The counter offer should be unconditional. Barry JP Stated in </w:t>
            </w:r>
            <w:proofErr w:type="spellStart"/>
            <w:r w:rsidR="006C37BD" w:rsidRPr="006C37BD">
              <w:rPr>
                <w:rFonts w:ascii="Arial" w:hAnsi="Arial" w:cs="Arial"/>
                <w:i/>
                <w:sz w:val="24"/>
                <w:szCs w:val="24"/>
              </w:rPr>
              <w:t>Hayter</w:t>
            </w:r>
            <w:proofErr w:type="spellEnd"/>
            <w:r w:rsidR="006C37BD" w:rsidRPr="006C37BD">
              <w:rPr>
                <w:rFonts w:ascii="Arial" w:hAnsi="Arial" w:cs="Arial"/>
                <w:i/>
                <w:sz w:val="24"/>
                <w:szCs w:val="24"/>
              </w:rPr>
              <w:t xml:space="preserve"> v Ford</w:t>
            </w:r>
            <w:r w:rsidR="006C37BD">
              <w:rPr>
                <w:rFonts w:ascii="Arial" w:hAnsi="Arial" w:cs="Arial"/>
                <w:sz w:val="24"/>
                <w:szCs w:val="24"/>
              </w:rPr>
              <w:t>:</w:t>
            </w:r>
          </w:p>
          <w:p w:rsidR="003F3D99" w:rsidRDefault="003F3D99" w:rsidP="00F639A4">
            <w:pPr>
              <w:tabs>
                <w:tab w:val="left" w:pos="729"/>
              </w:tabs>
              <w:spacing w:line="360" w:lineRule="auto"/>
              <w:jc w:val="both"/>
              <w:rPr>
                <w:rFonts w:ascii="Arial" w:hAnsi="Arial" w:cs="Arial"/>
                <w:sz w:val="24"/>
                <w:szCs w:val="24"/>
              </w:rPr>
            </w:pPr>
          </w:p>
          <w:p w:rsidR="006C37BD" w:rsidRPr="006C37BD" w:rsidRDefault="006C37BD" w:rsidP="006C37BD">
            <w:pPr>
              <w:tabs>
                <w:tab w:val="left" w:pos="729"/>
              </w:tabs>
              <w:spacing w:line="360" w:lineRule="auto"/>
              <w:ind w:firstLine="743"/>
              <w:jc w:val="both"/>
              <w:rPr>
                <w:rFonts w:ascii="Arial" w:hAnsi="Arial" w:cs="Arial"/>
              </w:rPr>
            </w:pPr>
            <w:r w:rsidRPr="006C37BD">
              <w:rPr>
                <w:rFonts w:ascii="Arial" w:hAnsi="Arial" w:cs="Arial"/>
              </w:rPr>
              <w:t>‘</w:t>
            </w:r>
            <w:r>
              <w:rPr>
                <w:rFonts w:ascii="Arial" w:hAnsi="Arial" w:cs="Arial"/>
              </w:rPr>
              <w:t>There was no unconditional offer on the part of the plaintiff which the defendant could, by accepting, bind the plaintiff.</w:t>
            </w:r>
            <w:r w:rsidRPr="006C37BD">
              <w:rPr>
                <w:rFonts w:ascii="Arial" w:hAnsi="Arial" w:cs="Arial"/>
              </w:rPr>
              <w:t>’</w:t>
            </w:r>
            <w:r>
              <w:rPr>
                <w:rStyle w:val="FootnoteReference"/>
                <w:rFonts w:ascii="Arial" w:hAnsi="Arial" w:cs="Arial"/>
              </w:rPr>
              <w:footnoteReference w:id="5"/>
            </w:r>
          </w:p>
          <w:p w:rsidR="006C37BD" w:rsidRDefault="006C37BD" w:rsidP="00F639A4">
            <w:pPr>
              <w:tabs>
                <w:tab w:val="left" w:pos="729"/>
              </w:tabs>
              <w:spacing w:line="360" w:lineRule="auto"/>
              <w:jc w:val="both"/>
              <w:rPr>
                <w:rFonts w:ascii="Arial" w:hAnsi="Arial" w:cs="Arial"/>
                <w:sz w:val="24"/>
                <w:szCs w:val="24"/>
              </w:rPr>
            </w:pPr>
          </w:p>
          <w:p w:rsidR="00CC5308" w:rsidRPr="007F1CA7" w:rsidRDefault="00CC5308" w:rsidP="00CC5308">
            <w:pPr>
              <w:tabs>
                <w:tab w:val="left" w:pos="729"/>
              </w:tabs>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17A1C">
              <w:rPr>
                <w:rFonts w:ascii="Arial" w:hAnsi="Arial" w:cs="Arial"/>
                <w:sz w:val="24"/>
                <w:szCs w:val="24"/>
              </w:rPr>
              <w:t xml:space="preserve">In their answering affidavit, the deponent thereof, Mr Neves, stated that the respondent’s legal practitioners in the person of Mr </w:t>
            </w:r>
            <w:proofErr w:type="spellStart"/>
            <w:r w:rsidR="00217A1C">
              <w:rPr>
                <w:rFonts w:ascii="Arial" w:hAnsi="Arial" w:cs="Arial"/>
                <w:sz w:val="24"/>
                <w:szCs w:val="24"/>
              </w:rPr>
              <w:t>Kotze</w:t>
            </w:r>
            <w:proofErr w:type="spellEnd"/>
            <w:r w:rsidR="00217A1C">
              <w:rPr>
                <w:rFonts w:ascii="Arial" w:hAnsi="Arial" w:cs="Arial"/>
                <w:sz w:val="24"/>
                <w:szCs w:val="24"/>
              </w:rPr>
              <w:t xml:space="preserve"> (a candidate legal practitioner) informed Mr </w:t>
            </w:r>
            <w:proofErr w:type="spellStart"/>
            <w:r w:rsidR="00217A1C">
              <w:rPr>
                <w:rFonts w:ascii="Arial" w:hAnsi="Arial" w:cs="Arial"/>
                <w:sz w:val="24"/>
                <w:szCs w:val="24"/>
              </w:rPr>
              <w:t>Bangamwabo</w:t>
            </w:r>
            <w:proofErr w:type="spellEnd"/>
            <w:r w:rsidR="00217A1C">
              <w:rPr>
                <w:rFonts w:ascii="Arial" w:hAnsi="Arial" w:cs="Arial"/>
                <w:sz w:val="24"/>
                <w:szCs w:val="24"/>
              </w:rPr>
              <w:t xml:space="preserve"> (the deponent of the founding affidavit) that Mr Neves, the legal representative of the respondents, needed to approve the settlement agreement after discussions with the clients and after having received the ‘go ahead’ to sign the settlement agreement. Mr </w:t>
            </w:r>
            <w:proofErr w:type="spellStart"/>
            <w:r w:rsidR="00217A1C">
              <w:rPr>
                <w:rFonts w:ascii="Arial" w:hAnsi="Arial" w:cs="Arial"/>
                <w:sz w:val="24"/>
                <w:szCs w:val="24"/>
              </w:rPr>
              <w:t>Kotze</w:t>
            </w:r>
            <w:proofErr w:type="spellEnd"/>
            <w:r w:rsidR="00217A1C">
              <w:rPr>
                <w:rFonts w:ascii="Arial" w:hAnsi="Arial" w:cs="Arial"/>
                <w:sz w:val="24"/>
                <w:szCs w:val="24"/>
              </w:rPr>
              <w:t xml:space="preserve"> filed a confirmatory affidavit to that effect</w:t>
            </w:r>
            <w:r w:rsidR="00493F46" w:rsidRPr="007F1CA7">
              <w:rPr>
                <w:rFonts w:ascii="Arial" w:hAnsi="Arial" w:cs="Arial"/>
                <w:sz w:val="24"/>
                <w:szCs w:val="24"/>
              </w:rPr>
              <w:t>.</w:t>
            </w:r>
          </w:p>
          <w:p w:rsidR="00DC6D53" w:rsidRPr="007F1CA7" w:rsidRDefault="00DC6D53" w:rsidP="00F639A4">
            <w:pPr>
              <w:tabs>
                <w:tab w:val="left" w:pos="729"/>
              </w:tabs>
              <w:spacing w:line="360" w:lineRule="auto"/>
              <w:jc w:val="both"/>
              <w:rPr>
                <w:rFonts w:ascii="Arial" w:hAnsi="Arial" w:cs="Arial"/>
                <w:sz w:val="24"/>
                <w:szCs w:val="24"/>
                <w:lang w:val="en-US"/>
              </w:rPr>
            </w:pPr>
          </w:p>
          <w:p w:rsidR="00DC6D53" w:rsidRPr="007F1CA7" w:rsidRDefault="00DC6D53" w:rsidP="00DC6D53">
            <w:pPr>
              <w:tabs>
                <w:tab w:val="left" w:pos="729"/>
              </w:tabs>
              <w:spacing w:line="360" w:lineRule="auto"/>
              <w:jc w:val="both"/>
              <w:rPr>
                <w:rFonts w:ascii="Arial" w:hAnsi="Arial" w:cs="Arial"/>
                <w:sz w:val="24"/>
                <w:szCs w:val="24"/>
                <w:lang w:val="en-US"/>
              </w:rPr>
            </w:pPr>
            <w:r w:rsidRPr="007F1CA7">
              <w:rPr>
                <w:rFonts w:ascii="Arial" w:hAnsi="Arial" w:cs="Arial"/>
                <w:sz w:val="24"/>
                <w:szCs w:val="24"/>
                <w:lang w:val="en-US"/>
              </w:rPr>
              <w:t>[1</w:t>
            </w:r>
            <w:r w:rsidR="00360DBA" w:rsidRPr="007F1CA7">
              <w:rPr>
                <w:rFonts w:ascii="Arial" w:hAnsi="Arial" w:cs="Arial"/>
                <w:sz w:val="24"/>
                <w:szCs w:val="24"/>
                <w:lang w:val="en-US"/>
              </w:rPr>
              <w:t>3</w:t>
            </w:r>
            <w:r w:rsidRPr="007F1CA7">
              <w:rPr>
                <w:rFonts w:ascii="Arial" w:hAnsi="Arial" w:cs="Arial"/>
                <w:sz w:val="24"/>
                <w:szCs w:val="24"/>
                <w:lang w:val="en-US"/>
              </w:rPr>
              <w:t>]</w:t>
            </w:r>
            <w:r w:rsidRPr="007F1CA7">
              <w:rPr>
                <w:rFonts w:ascii="Arial" w:hAnsi="Arial" w:cs="Arial"/>
                <w:sz w:val="24"/>
                <w:szCs w:val="24"/>
                <w:lang w:val="en-US"/>
              </w:rPr>
              <w:tab/>
            </w:r>
            <w:r w:rsidR="00B11A47">
              <w:rPr>
                <w:rFonts w:ascii="Arial" w:hAnsi="Arial" w:cs="Arial"/>
                <w:sz w:val="24"/>
                <w:szCs w:val="24"/>
                <w:lang w:val="en-US"/>
              </w:rPr>
              <w:t>In their replying papers, the respondents reply thus: ‘</w:t>
            </w:r>
            <w:proofErr w:type="spellStart"/>
            <w:r w:rsidR="00B11A47">
              <w:rPr>
                <w:rFonts w:ascii="Arial" w:hAnsi="Arial" w:cs="Arial"/>
                <w:sz w:val="24"/>
                <w:szCs w:val="24"/>
                <w:lang w:val="en-US"/>
              </w:rPr>
              <w:t>Mr</w:t>
            </w:r>
            <w:proofErr w:type="spellEnd"/>
            <w:r w:rsidR="00B11A47">
              <w:rPr>
                <w:rFonts w:ascii="Arial" w:hAnsi="Arial" w:cs="Arial"/>
                <w:sz w:val="24"/>
                <w:szCs w:val="24"/>
                <w:lang w:val="en-US"/>
              </w:rPr>
              <w:t xml:space="preserve"> Francois </w:t>
            </w:r>
            <w:proofErr w:type="spellStart"/>
            <w:r w:rsidR="00B11A47">
              <w:rPr>
                <w:rFonts w:ascii="Arial" w:hAnsi="Arial" w:cs="Arial"/>
                <w:sz w:val="24"/>
                <w:szCs w:val="24"/>
                <w:lang w:val="en-US"/>
              </w:rPr>
              <w:t>Kotze</w:t>
            </w:r>
            <w:proofErr w:type="spellEnd"/>
            <w:r w:rsidR="00B11A47">
              <w:rPr>
                <w:rFonts w:ascii="Arial" w:hAnsi="Arial" w:cs="Arial"/>
                <w:sz w:val="24"/>
                <w:szCs w:val="24"/>
                <w:lang w:val="en-US"/>
              </w:rPr>
              <w:t xml:space="preserve"> clearly stated (to </w:t>
            </w:r>
            <w:proofErr w:type="spellStart"/>
            <w:r w:rsidR="00B11A47">
              <w:rPr>
                <w:rFonts w:ascii="Arial" w:hAnsi="Arial" w:cs="Arial"/>
                <w:sz w:val="24"/>
                <w:szCs w:val="24"/>
                <w:lang w:val="en-US"/>
              </w:rPr>
              <w:t>Mr</w:t>
            </w:r>
            <w:proofErr w:type="spellEnd"/>
            <w:r w:rsidR="00B11A47">
              <w:rPr>
                <w:rFonts w:ascii="Arial" w:hAnsi="Arial" w:cs="Arial"/>
                <w:sz w:val="24"/>
                <w:szCs w:val="24"/>
                <w:lang w:val="en-US"/>
              </w:rPr>
              <w:t xml:space="preserve"> </w:t>
            </w:r>
            <w:proofErr w:type="spellStart"/>
            <w:r w:rsidR="00B11A47">
              <w:rPr>
                <w:rFonts w:ascii="Arial" w:hAnsi="Arial" w:cs="Arial"/>
                <w:sz w:val="24"/>
                <w:szCs w:val="24"/>
                <w:lang w:val="en-US"/>
              </w:rPr>
              <w:t>Bangamwabo</w:t>
            </w:r>
            <w:proofErr w:type="spellEnd"/>
            <w:r w:rsidR="00B11A47">
              <w:rPr>
                <w:rFonts w:ascii="Arial" w:hAnsi="Arial" w:cs="Arial"/>
                <w:sz w:val="24"/>
                <w:szCs w:val="24"/>
                <w:lang w:val="en-US"/>
              </w:rPr>
              <w:t xml:space="preserve">) that </w:t>
            </w:r>
            <w:proofErr w:type="spellStart"/>
            <w:r w:rsidR="00B11A47">
              <w:rPr>
                <w:rFonts w:ascii="Arial" w:hAnsi="Arial" w:cs="Arial"/>
                <w:sz w:val="24"/>
                <w:szCs w:val="24"/>
                <w:lang w:val="en-US"/>
              </w:rPr>
              <w:t>Mr</w:t>
            </w:r>
            <w:proofErr w:type="spellEnd"/>
            <w:r w:rsidR="00B11A47">
              <w:rPr>
                <w:rFonts w:ascii="Arial" w:hAnsi="Arial" w:cs="Arial"/>
                <w:sz w:val="24"/>
                <w:szCs w:val="24"/>
                <w:lang w:val="en-US"/>
              </w:rPr>
              <w:t xml:space="preserve"> Neves would sign the revised settlement agreement at (the) court on the </w:t>
            </w:r>
            <w:r w:rsidR="00B11A47">
              <w:rPr>
                <w:rFonts w:ascii="Arial" w:hAnsi="Arial" w:cs="Arial"/>
                <w:sz w:val="24"/>
                <w:szCs w:val="24"/>
                <w:lang w:val="en-US"/>
              </w:rPr>
              <w:lastRenderedPageBreak/>
              <w:t>morning of 6</w:t>
            </w:r>
            <w:r w:rsidR="00B11A47" w:rsidRPr="00B11A47">
              <w:rPr>
                <w:rFonts w:ascii="Arial" w:hAnsi="Arial" w:cs="Arial"/>
                <w:sz w:val="24"/>
                <w:szCs w:val="24"/>
                <w:vertAlign w:val="superscript"/>
                <w:lang w:val="en-US"/>
              </w:rPr>
              <w:t>th</w:t>
            </w:r>
            <w:r w:rsidR="00B11A47">
              <w:rPr>
                <w:rFonts w:ascii="Arial" w:hAnsi="Arial" w:cs="Arial"/>
                <w:sz w:val="24"/>
                <w:szCs w:val="24"/>
                <w:lang w:val="en-US"/>
              </w:rPr>
              <w:t xml:space="preserve"> June 2023</w:t>
            </w:r>
            <w:r w:rsidR="00360DBA" w:rsidRPr="007F1CA7">
              <w:rPr>
                <w:rFonts w:ascii="Arial" w:hAnsi="Arial" w:cs="Arial"/>
                <w:sz w:val="24"/>
                <w:szCs w:val="24"/>
                <w:lang w:val="en-US"/>
              </w:rPr>
              <w:t>.</w:t>
            </w:r>
            <w:r w:rsidR="00B11A47">
              <w:rPr>
                <w:rFonts w:ascii="Arial" w:hAnsi="Arial" w:cs="Arial"/>
                <w:sz w:val="24"/>
                <w:szCs w:val="24"/>
                <w:lang w:val="en-US"/>
              </w:rPr>
              <w:t xml:space="preserve">’ In my view, the statement attributed to </w:t>
            </w:r>
            <w:proofErr w:type="spellStart"/>
            <w:r w:rsidR="00B11A47">
              <w:rPr>
                <w:rFonts w:ascii="Arial" w:hAnsi="Arial" w:cs="Arial"/>
                <w:sz w:val="24"/>
                <w:szCs w:val="24"/>
                <w:lang w:val="en-US"/>
              </w:rPr>
              <w:t>Mr</w:t>
            </w:r>
            <w:proofErr w:type="spellEnd"/>
            <w:r w:rsidR="00B11A47">
              <w:rPr>
                <w:rFonts w:ascii="Arial" w:hAnsi="Arial" w:cs="Arial"/>
                <w:sz w:val="24"/>
                <w:szCs w:val="24"/>
                <w:lang w:val="en-US"/>
              </w:rPr>
              <w:t xml:space="preserve"> </w:t>
            </w:r>
            <w:proofErr w:type="spellStart"/>
            <w:r w:rsidR="00B11A47">
              <w:rPr>
                <w:rFonts w:ascii="Arial" w:hAnsi="Arial" w:cs="Arial"/>
                <w:sz w:val="24"/>
                <w:szCs w:val="24"/>
                <w:lang w:val="en-US"/>
              </w:rPr>
              <w:t>Kotze</w:t>
            </w:r>
            <w:proofErr w:type="spellEnd"/>
            <w:r w:rsidR="00B11A47">
              <w:rPr>
                <w:rFonts w:ascii="Arial" w:hAnsi="Arial" w:cs="Arial"/>
                <w:sz w:val="24"/>
                <w:szCs w:val="24"/>
                <w:lang w:val="en-US"/>
              </w:rPr>
              <w:t xml:space="preserve"> cannot by any legal imagination be said to be an unequivocal and inexorable statement that Mr Neves shall sign the settlement agreement </w:t>
            </w:r>
            <w:r w:rsidR="00CE000F">
              <w:rPr>
                <w:rFonts w:ascii="Arial" w:hAnsi="Arial" w:cs="Arial"/>
                <w:sz w:val="24"/>
                <w:szCs w:val="24"/>
                <w:lang w:val="en-US"/>
              </w:rPr>
              <w:t xml:space="preserve">by hook or by crook </w:t>
            </w:r>
            <w:r w:rsidR="00B11A47">
              <w:rPr>
                <w:rFonts w:ascii="Arial" w:hAnsi="Arial" w:cs="Arial"/>
                <w:sz w:val="24"/>
                <w:szCs w:val="24"/>
                <w:lang w:val="en-US"/>
              </w:rPr>
              <w:t>without further negotiations by the parties and without further consideration by the respondents.</w:t>
            </w:r>
          </w:p>
          <w:p w:rsidR="00FD14A0" w:rsidRPr="007F1CA7" w:rsidRDefault="00FD14A0" w:rsidP="00DC6D53">
            <w:pPr>
              <w:tabs>
                <w:tab w:val="left" w:pos="729"/>
              </w:tabs>
              <w:spacing w:line="360" w:lineRule="auto"/>
              <w:jc w:val="both"/>
              <w:rPr>
                <w:rFonts w:ascii="Arial" w:hAnsi="Arial" w:cs="Arial"/>
                <w:sz w:val="24"/>
                <w:szCs w:val="24"/>
                <w:lang w:val="en-US"/>
              </w:rPr>
            </w:pPr>
          </w:p>
          <w:p w:rsidR="00FD14A0" w:rsidRPr="007F1CA7" w:rsidRDefault="00FD14A0" w:rsidP="00DC6D53">
            <w:pPr>
              <w:tabs>
                <w:tab w:val="left" w:pos="729"/>
              </w:tabs>
              <w:spacing w:line="360" w:lineRule="auto"/>
              <w:jc w:val="both"/>
              <w:rPr>
                <w:rFonts w:ascii="Arial" w:hAnsi="Arial" w:cs="Arial"/>
                <w:sz w:val="24"/>
                <w:szCs w:val="24"/>
              </w:rPr>
            </w:pPr>
            <w:r w:rsidRPr="007F1CA7">
              <w:rPr>
                <w:rFonts w:ascii="Arial" w:hAnsi="Arial" w:cs="Arial"/>
                <w:sz w:val="24"/>
                <w:szCs w:val="24"/>
                <w:lang w:val="en-US"/>
              </w:rPr>
              <w:t>[14]</w:t>
            </w:r>
            <w:r w:rsidRPr="007F1CA7">
              <w:rPr>
                <w:rFonts w:ascii="Arial" w:hAnsi="Arial" w:cs="Arial"/>
                <w:sz w:val="24"/>
                <w:szCs w:val="24"/>
              </w:rPr>
              <w:tab/>
            </w:r>
            <w:r w:rsidR="00B11A47">
              <w:rPr>
                <w:rFonts w:ascii="Arial" w:hAnsi="Arial" w:cs="Arial"/>
                <w:sz w:val="24"/>
                <w:szCs w:val="24"/>
              </w:rPr>
              <w:t xml:space="preserve">The statement must be understood in the context in which and the circumstances under which it was made. Mr </w:t>
            </w:r>
            <w:proofErr w:type="spellStart"/>
            <w:r w:rsidR="00B11A47">
              <w:rPr>
                <w:rFonts w:ascii="Arial" w:hAnsi="Arial" w:cs="Arial"/>
                <w:sz w:val="24"/>
                <w:szCs w:val="24"/>
              </w:rPr>
              <w:t>Bangamwabo</w:t>
            </w:r>
            <w:proofErr w:type="spellEnd"/>
            <w:r w:rsidR="00B11A47">
              <w:rPr>
                <w:rFonts w:ascii="Arial" w:hAnsi="Arial" w:cs="Arial"/>
                <w:sz w:val="24"/>
                <w:szCs w:val="24"/>
              </w:rPr>
              <w:t xml:space="preserve"> had phoned to speak to Mr Neves but Mr Neves was not in his chambers, and so Mr </w:t>
            </w:r>
            <w:proofErr w:type="spellStart"/>
            <w:r w:rsidR="00B11A47">
              <w:rPr>
                <w:rFonts w:ascii="Arial" w:hAnsi="Arial" w:cs="Arial"/>
                <w:sz w:val="24"/>
                <w:szCs w:val="24"/>
              </w:rPr>
              <w:t>Bangamwabo</w:t>
            </w:r>
            <w:proofErr w:type="spellEnd"/>
            <w:r w:rsidR="00B11A47">
              <w:rPr>
                <w:rFonts w:ascii="Arial" w:hAnsi="Arial" w:cs="Arial"/>
                <w:sz w:val="24"/>
                <w:szCs w:val="24"/>
              </w:rPr>
              <w:t xml:space="preserve"> spoke to Mr </w:t>
            </w:r>
            <w:proofErr w:type="spellStart"/>
            <w:r w:rsidR="00B11A47">
              <w:rPr>
                <w:rFonts w:ascii="Arial" w:hAnsi="Arial" w:cs="Arial"/>
                <w:sz w:val="24"/>
                <w:szCs w:val="24"/>
              </w:rPr>
              <w:t>Kotze</w:t>
            </w:r>
            <w:proofErr w:type="spellEnd"/>
            <w:r w:rsidR="00B11A47">
              <w:rPr>
                <w:rFonts w:ascii="Arial" w:hAnsi="Arial" w:cs="Arial"/>
                <w:sz w:val="24"/>
                <w:szCs w:val="24"/>
              </w:rPr>
              <w:t xml:space="preserve"> who </w:t>
            </w:r>
            <w:r w:rsidR="00CE000F">
              <w:rPr>
                <w:rFonts w:ascii="Arial" w:hAnsi="Arial" w:cs="Arial"/>
                <w:sz w:val="24"/>
                <w:szCs w:val="24"/>
              </w:rPr>
              <w:t xml:space="preserve">in the first place </w:t>
            </w:r>
            <w:r w:rsidR="00B11A47">
              <w:rPr>
                <w:rFonts w:ascii="Arial" w:hAnsi="Arial" w:cs="Arial"/>
                <w:sz w:val="24"/>
                <w:szCs w:val="24"/>
              </w:rPr>
              <w:t>had sent the revised settlement agreement to him on behalf of Mr Neves.</w:t>
            </w:r>
          </w:p>
          <w:p w:rsidR="00FD14A0" w:rsidRPr="007F1CA7" w:rsidRDefault="00FD14A0" w:rsidP="00DC6D53">
            <w:pPr>
              <w:tabs>
                <w:tab w:val="left" w:pos="729"/>
              </w:tabs>
              <w:spacing w:line="360" w:lineRule="auto"/>
              <w:jc w:val="both"/>
              <w:rPr>
                <w:rFonts w:ascii="Arial" w:hAnsi="Arial" w:cs="Arial"/>
                <w:sz w:val="24"/>
                <w:szCs w:val="24"/>
              </w:rPr>
            </w:pPr>
          </w:p>
          <w:p w:rsidR="00FD14A0" w:rsidRPr="007F1CA7" w:rsidRDefault="00FD14A0" w:rsidP="00DC6D53">
            <w:pPr>
              <w:tabs>
                <w:tab w:val="left" w:pos="729"/>
              </w:tabs>
              <w:spacing w:line="360" w:lineRule="auto"/>
              <w:jc w:val="both"/>
              <w:rPr>
                <w:rFonts w:ascii="Arial" w:hAnsi="Arial" w:cs="Arial"/>
                <w:sz w:val="24"/>
                <w:szCs w:val="24"/>
              </w:rPr>
            </w:pPr>
            <w:r w:rsidRPr="007F1CA7">
              <w:rPr>
                <w:rFonts w:ascii="Arial" w:hAnsi="Arial" w:cs="Arial"/>
                <w:sz w:val="24"/>
                <w:szCs w:val="24"/>
              </w:rPr>
              <w:t>[15]</w:t>
            </w:r>
            <w:r w:rsidRPr="007F1CA7">
              <w:rPr>
                <w:rFonts w:ascii="Arial" w:hAnsi="Arial" w:cs="Arial"/>
                <w:sz w:val="24"/>
                <w:szCs w:val="24"/>
              </w:rPr>
              <w:tab/>
            </w:r>
            <w:r w:rsidR="005860DF">
              <w:rPr>
                <w:rFonts w:ascii="Arial" w:hAnsi="Arial" w:cs="Arial"/>
                <w:sz w:val="24"/>
                <w:szCs w:val="24"/>
              </w:rPr>
              <w:t xml:space="preserve">I have considered the history of the instant matter where the parties are unrelentingly at each other’s throat and where the parties have taken intractable and unyielding positions in the dispute. Having done that, I find it inexplicable that one would rush to the conclusion that the parties have reached a settlement agreement based on the lone and naked statement by a third party who was not involved in the negotiations. I am referring to Mr </w:t>
            </w:r>
            <w:proofErr w:type="spellStart"/>
            <w:r w:rsidR="005860DF">
              <w:rPr>
                <w:rFonts w:ascii="Arial" w:hAnsi="Arial" w:cs="Arial"/>
                <w:sz w:val="24"/>
                <w:szCs w:val="24"/>
              </w:rPr>
              <w:t>Kotze</w:t>
            </w:r>
            <w:proofErr w:type="spellEnd"/>
            <w:r w:rsidR="005860DF">
              <w:rPr>
                <w:rFonts w:ascii="Arial" w:hAnsi="Arial" w:cs="Arial"/>
                <w:sz w:val="24"/>
                <w:szCs w:val="24"/>
              </w:rPr>
              <w:t>.</w:t>
            </w:r>
          </w:p>
          <w:p w:rsidR="000251A0" w:rsidRPr="007F1CA7" w:rsidRDefault="000251A0" w:rsidP="00DC6D53">
            <w:pPr>
              <w:tabs>
                <w:tab w:val="left" w:pos="729"/>
              </w:tabs>
              <w:spacing w:line="360" w:lineRule="auto"/>
              <w:jc w:val="both"/>
              <w:rPr>
                <w:rFonts w:ascii="Arial" w:hAnsi="Arial" w:cs="Arial"/>
                <w:sz w:val="24"/>
                <w:szCs w:val="24"/>
              </w:rPr>
            </w:pPr>
          </w:p>
          <w:p w:rsidR="00FD14A0" w:rsidRPr="007F1CA7" w:rsidRDefault="00FD14A0" w:rsidP="00DC6D53">
            <w:pPr>
              <w:tabs>
                <w:tab w:val="left" w:pos="729"/>
              </w:tabs>
              <w:spacing w:line="360" w:lineRule="auto"/>
              <w:jc w:val="both"/>
              <w:rPr>
                <w:rFonts w:ascii="Arial" w:hAnsi="Arial" w:cs="Arial"/>
                <w:sz w:val="24"/>
                <w:szCs w:val="24"/>
              </w:rPr>
            </w:pPr>
            <w:r w:rsidRPr="007F1CA7">
              <w:rPr>
                <w:rFonts w:ascii="Arial" w:hAnsi="Arial" w:cs="Arial"/>
                <w:sz w:val="24"/>
                <w:szCs w:val="24"/>
              </w:rPr>
              <w:t>[16]</w:t>
            </w:r>
            <w:r w:rsidRPr="007F1CA7">
              <w:rPr>
                <w:rFonts w:ascii="Arial" w:hAnsi="Arial" w:cs="Arial"/>
                <w:sz w:val="24"/>
                <w:szCs w:val="24"/>
              </w:rPr>
              <w:tab/>
            </w:r>
            <w:r w:rsidR="00A2772D">
              <w:rPr>
                <w:rFonts w:ascii="Arial" w:hAnsi="Arial" w:cs="Arial"/>
                <w:sz w:val="24"/>
                <w:szCs w:val="24"/>
              </w:rPr>
              <w:t xml:space="preserve">There is no satisfactory and sufficient evidence before the court tending to explain why Mr </w:t>
            </w:r>
            <w:proofErr w:type="spellStart"/>
            <w:r w:rsidR="00A2772D">
              <w:rPr>
                <w:rFonts w:ascii="Arial" w:hAnsi="Arial" w:cs="Arial"/>
                <w:sz w:val="24"/>
                <w:szCs w:val="24"/>
              </w:rPr>
              <w:t>Bangamwabo</w:t>
            </w:r>
            <w:proofErr w:type="spellEnd"/>
            <w:r w:rsidR="00A2772D">
              <w:rPr>
                <w:rFonts w:ascii="Arial" w:hAnsi="Arial" w:cs="Arial"/>
                <w:sz w:val="24"/>
                <w:szCs w:val="24"/>
              </w:rPr>
              <w:t xml:space="preserve"> could not have waited until he got hold of Mr Neves. Mind you, Mr </w:t>
            </w:r>
            <w:proofErr w:type="spellStart"/>
            <w:r w:rsidR="00A2772D">
              <w:rPr>
                <w:rFonts w:ascii="Arial" w:hAnsi="Arial" w:cs="Arial"/>
                <w:sz w:val="24"/>
                <w:szCs w:val="24"/>
              </w:rPr>
              <w:t>Kotze</w:t>
            </w:r>
            <w:proofErr w:type="spellEnd"/>
            <w:r w:rsidR="00A2772D">
              <w:rPr>
                <w:rFonts w:ascii="Arial" w:hAnsi="Arial" w:cs="Arial"/>
                <w:sz w:val="24"/>
                <w:szCs w:val="24"/>
              </w:rPr>
              <w:t xml:space="preserve"> did not inform Mr </w:t>
            </w:r>
            <w:proofErr w:type="spellStart"/>
            <w:r w:rsidR="00A2772D">
              <w:rPr>
                <w:rFonts w:ascii="Arial" w:hAnsi="Arial" w:cs="Arial"/>
                <w:sz w:val="24"/>
                <w:szCs w:val="24"/>
              </w:rPr>
              <w:t>Bangamwabo</w:t>
            </w:r>
            <w:proofErr w:type="spellEnd"/>
            <w:r w:rsidR="00A2772D">
              <w:rPr>
                <w:rFonts w:ascii="Arial" w:hAnsi="Arial" w:cs="Arial"/>
                <w:sz w:val="24"/>
                <w:szCs w:val="24"/>
              </w:rPr>
              <w:t xml:space="preserve"> that Mr Neves had left with him information about the signing of the settlement agreement with instructions that it be communicated to </w:t>
            </w:r>
            <w:r w:rsidR="00CE000F">
              <w:rPr>
                <w:rFonts w:ascii="Arial" w:hAnsi="Arial" w:cs="Arial"/>
                <w:sz w:val="24"/>
                <w:szCs w:val="24"/>
              </w:rPr>
              <w:t xml:space="preserve">Mr </w:t>
            </w:r>
            <w:proofErr w:type="spellStart"/>
            <w:r w:rsidR="00CE000F">
              <w:rPr>
                <w:rFonts w:ascii="Arial" w:hAnsi="Arial" w:cs="Arial"/>
                <w:sz w:val="24"/>
                <w:szCs w:val="24"/>
              </w:rPr>
              <w:t>Bangamwabo</w:t>
            </w:r>
            <w:proofErr w:type="spellEnd"/>
            <w:r w:rsidR="00A2772D">
              <w:rPr>
                <w:rFonts w:ascii="Arial" w:hAnsi="Arial" w:cs="Arial"/>
                <w:sz w:val="24"/>
                <w:szCs w:val="24"/>
              </w:rPr>
              <w:t xml:space="preserve">. In those circumstances, the proper and reasonable course to take was for Mr </w:t>
            </w:r>
            <w:proofErr w:type="spellStart"/>
            <w:r w:rsidR="00A2772D">
              <w:rPr>
                <w:rFonts w:ascii="Arial" w:hAnsi="Arial" w:cs="Arial"/>
                <w:sz w:val="24"/>
                <w:szCs w:val="24"/>
              </w:rPr>
              <w:t>Bangamwabo</w:t>
            </w:r>
            <w:proofErr w:type="spellEnd"/>
            <w:r w:rsidR="00A2772D">
              <w:rPr>
                <w:rFonts w:ascii="Arial" w:hAnsi="Arial" w:cs="Arial"/>
                <w:sz w:val="24"/>
                <w:szCs w:val="24"/>
              </w:rPr>
              <w:t xml:space="preserve"> to have conferred with Mr Neves about what he made of Mr </w:t>
            </w:r>
            <w:proofErr w:type="spellStart"/>
            <w:r w:rsidR="00A2772D">
              <w:rPr>
                <w:rFonts w:ascii="Arial" w:hAnsi="Arial" w:cs="Arial"/>
                <w:sz w:val="24"/>
                <w:szCs w:val="24"/>
              </w:rPr>
              <w:t>Kotze’s</w:t>
            </w:r>
            <w:proofErr w:type="spellEnd"/>
            <w:r w:rsidR="00A2772D">
              <w:rPr>
                <w:rFonts w:ascii="Arial" w:hAnsi="Arial" w:cs="Arial"/>
                <w:sz w:val="24"/>
                <w:szCs w:val="24"/>
              </w:rPr>
              <w:t xml:space="preserve"> information. Such a course was reasonably required and necessary, considering – I repeat – the insalubrious </w:t>
            </w:r>
            <w:r w:rsidR="0035394D">
              <w:rPr>
                <w:rFonts w:ascii="Arial" w:hAnsi="Arial" w:cs="Arial"/>
                <w:sz w:val="24"/>
                <w:szCs w:val="24"/>
              </w:rPr>
              <w:t>relationship between the parties and the rigid and obstinate attitudes of the parties that have bedevilled the proceedings in the instant matter</w:t>
            </w:r>
            <w:r w:rsidR="003E01ED">
              <w:rPr>
                <w:rFonts w:ascii="Arial" w:hAnsi="Arial" w:cs="Arial"/>
                <w:sz w:val="24"/>
                <w:szCs w:val="24"/>
              </w:rPr>
              <w:t>.</w:t>
            </w:r>
            <w:r w:rsidR="0035394D">
              <w:rPr>
                <w:rFonts w:ascii="Arial" w:hAnsi="Arial" w:cs="Arial"/>
                <w:sz w:val="24"/>
                <w:szCs w:val="24"/>
              </w:rPr>
              <w:t xml:space="preserve"> The fact that action was instituted as long ago as 2019 </w:t>
            </w:r>
            <w:r w:rsidR="00083D1A">
              <w:rPr>
                <w:rFonts w:ascii="Arial" w:hAnsi="Arial" w:cs="Arial"/>
                <w:sz w:val="24"/>
                <w:szCs w:val="24"/>
              </w:rPr>
              <w:t xml:space="preserve">and no end is in sight </w:t>
            </w:r>
            <w:r w:rsidR="0035394D">
              <w:rPr>
                <w:rFonts w:ascii="Arial" w:hAnsi="Arial" w:cs="Arial"/>
                <w:sz w:val="24"/>
                <w:szCs w:val="24"/>
              </w:rPr>
              <w:t>speak volumes negatively.</w:t>
            </w:r>
            <w:r w:rsidR="00083D1A">
              <w:rPr>
                <w:rFonts w:ascii="Arial" w:hAnsi="Arial" w:cs="Arial"/>
                <w:sz w:val="24"/>
                <w:szCs w:val="24"/>
              </w:rPr>
              <w:t xml:space="preserve"> Mr </w:t>
            </w:r>
            <w:proofErr w:type="spellStart"/>
            <w:r w:rsidR="00083D1A">
              <w:rPr>
                <w:rFonts w:ascii="Arial" w:hAnsi="Arial" w:cs="Arial"/>
                <w:sz w:val="24"/>
                <w:szCs w:val="24"/>
              </w:rPr>
              <w:t>Bangamwabo</w:t>
            </w:r>
            <w:proofErr w:type="spellEnd"/>
            <w:r w:rsidR="00083D1A">
              <w:rPr>
                <w:rFonts w:ascii="Arial" w:hAnsi="Arial" w:cs="Arial"/>
                <w:sz w:val="24"/>
                <w:szCs w:val="24"/>
              </w:rPr>
              <w:t xml:space="preserve"> should have acted with caution and circumspection.</w:t>
            </w:r>
          </w:p>
          <w:p w:rsidR="00FD14A0" w:rsidRDefault="00FD14A0" w:rsidP="00DC6D53">
            <w:pPr>
              <w:tabs>
                <w:tab w:val="left" w:pos="729"/>
              </w:tabs>
              <w:spacing w:line="360" w:lineRule="auto"/>
              <w:jc w:val="both"/>
              <w:rPr>
                <w:rFonts w:ascii="Arial" w:hAnsi="Arial" w:cs="Arial"/>
                <w:sz w:val="24"/>
                <w:szCs w:val="24"/>
              </w:rPr>
            </w:pPr>
          </w:p>
          <w:p w:rsidR="00FD14A0" w:rsidRDefault="00FD14A0" w:rsidP="00DC6D53">
            <w:pPr>
              <w:tabs>
                <w:tab w:val="left" w:pos="729"/>
              </w:tabs>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5394D">
              <w:rPr>
                <w:rFonts w:ascii="Arial" w:hAnsi="Arial" w:cs="Arial"/>
                <w:sz w:val="24"/>
                <w:szCs w:val="24"/>
              </w:rPr>
              <w:t xml:space="preserve">With the foregoing analysis and conclusion in my mind’s eye, I find that the counter offer made by the respondents through the revised settlement agreement (Annexure ‘RK4’) was conditional. Consequently, I </w:t>
            </w:r>
            <w:r w:rsidR="00673DB5">
              <w:rPr>
                <w:rFonts w:ascii="Arial" w:hAnsi="Arial" w:cs="Arial"/>
                <w:sz w:val="24"/>
                <w:szCs w:val="24"/>
              </w:rPr>
              <w:t>h</w:t>
            </w:r>
            <w:r w:rsidR="0035394D">
              <w:rPr>
                <w:rFonts w:ascii="Arial" w:hAnsi="Arial" w:cs="Arial"/>
                <w:sz w:val="24"/>
                <w:szCs w:val="24"/>
              </w:rPr>
              <w:t xml:space="preserve">old that the counter offer was made without </w:t>
            </w:r>
            <w:r w:rsidR="0035394D" w:rsidRPr="0035394D">
              <w:rPr>
                <w:rFonts w:ascii="Arial" w:hAnsi="Arial" w:cs="Arial"/>
                <w:i/>
                <w:sz w:val="24"/>
                <w:szCs w:val="24"/>
              </w:rPr>
              <w:t xml:space="preserve">animus </w:t>
            </w:r>
            <w:proofErr w:type="spellStart"/>
            <w:r w:rsidR="0035394D" w:rsidRPr="0035394D">
              <w:rPr>
                <w:rFonts w:ascii="Arial" w:hAnsi="Arial" w:cs="Arial"/>
                <w:i/>
                <w:sz w:val="24"/>
                <w:szCs w:val="24"/>
              </w:rPr>
              <w:t>contrahendi</w:t>
            </w:r>
            <w:proofErr w:type="spellEnd"/>
            <w:r w:rsidR="0035394D">
              <w:rPr>
                <w:rFonts w:ascii="Arial" w:hAnsi="Arial" w:cs="Arial"/>
                <w:sz w:val="24"/>
                <w:szCs w:val="24"/>
              </w:rPr>
              <w:t>.</w:t>
            </w:r>
            <w:r w:rsidR="0035394D">
              <w:rPr>
                <w:rStyle w:val="FootnoteReference"/>
                <w:rFonts w:ascii="Arial" w:hAnsi="Arial" w:cs="Arial"/>
                <w:sz w:val="24"/>
                <w:szCs w:val="24"/>
              </w:rPr>
              <w:footnoteReference w:id="6"/>
            </w:r>
            <w:r w:rsidR="0035394D">
              <w:rPr>
                <w:rFonts w:ascii="Arial" w:hAnsi="Arial" w:cs="Arial"/>
                <w:sz w:val="24"/>
                <w:szCs w:val="24"/>
              </w:rPr>
              <w:t xml:space="preserve"> Therefore, the counter offer could not bind the respondent</w:t>
            </w:r>
            <w:r w:rsidR="00B50D73">
              <w:rPr>
                <w:rFonts w:ascii="Arial" w:hAnsi="Arial" w:cs="Arial"/>
                <w:sz w:val="24"/>
                <w:szCs w:val="24"/>
              </w:rPr>
              <w:t>.</w:t>
            </w:r>
            <w:r w:rsidR="0035394D">
              <w:rPr>
                <w:rStyle w:val="FootnoteReference"/>
                <w:rFonts w:ascii="Arial" w:hAnsi="Arial" w:cs="Arial"/>
                <w:sz w:val="24"/>
                <w:szCs w:val="24"/>
              </w:rPr>
              <w:footnoteReference w:id="7"/>
            </w:r>
          </w:p>
          <w:p w:rsidR="00C97B0A" w:rsidRDefault="00C97B0A" w:rsidP="00DC6D53">
            <w:pPr>
              <w:tabs>
                <w:tab w:val="left" w:pos="729"/>
              </w:tabs>
              <w:spacing w:line="360" w:lineRule="auto"/>
              <w:jc w:val="both"/>
              <w:rPr>
                <w:rFonts w:ascii="Arial" w:hAnsi="Arial" w:cs="Arial"/>
                <w:sz w:val="24"/>
                <w:szCs w:val="24"/>
              </w:rPr>
            </w:pPr>
          </w:p>
          <w:p w:rsidR="00C97B0A" w:rsidRDefault="00C97B0A" w:rsidP="00C97B0A">
            <w:pPr>
              <w:tabs>
                <w:tab w:val="left" w:pos="729"/>
              </w:tabs>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65500F">
              <w:rPr>
                <w:rFonts w:ascii="Arial" w:hAnsi="Arial" w:cs="Arial"/>
                <w:sz w:val="24"/>
                <w:szCs w:val="24"/>
              </w:rPr>
              <w:t xml:space="preserve">Consequently, I </w:t>
            </w:r>
            <w:r w:rsidR="00673DB5">
              <w:rPr>
                <w:rFonts w:ascii="Arial" w:hAnsi="Arial" w:cs="Arial"/>
                <w:sz w:val="24"/>
                <w:szCs w:val="24"/>
              </w:rPr>
              <w:t>find</w:t>
            </w:r>
            <w:r w:rsidR="0065500F">
              <w:rPr>
                <w:rFonts w:ascii="Arial" w:hAnsi="Arial" w:cs="Arial"/>
                <w:sz w:val="24"/>
                <w:szCs w:val="24"/>
              </w:rPr>
              <w:t xml:space="preserve"> that the applicants have failed to prove the existence of a settlement agreement on the basis of consensus or reasonable reliance</w:t>
            </w:r>
            <w:r>
              <w:rPr>
                <w:rFonts w:ascii="Arial" w:hAnsi="Arial" w:cs="Arial"/>
                <w:sz w:val="24"/>
                <w:szCs w:val="24"/>
              </w:rPr>
              <w:t>.</w:t>
            </w:r>
            <w:r w:rsidR="0065500F">
              <w:rPr>
                <w:rStyle w:val="FootnoteReference"/>
                <w:rFonts w:ascii="Arial" w:hAnsi="Arial" w:cs="Arial"/>
                <w:sz w:val="24"/>
                <w:szCs w:val="24"/>
              </w:rPr>
              <w:footnoteReference w:id="8"/>
            </w:r>
          </w:p>
          <w:p w:rsidR="00C97B0A" w:rsidRDefault="00C97B0A" w:rsidP="00DC6D53">
            <w:pPr>
              <w:tabs>
                <w:tab w:val="left" w:pos="729"/>
              </w:tabs>
              <w:spacing w:line="360" w:lineRule="auto"/>
              <w:jc w:val="both"/>
              <w:rPr>
                <w:rFonts w:ascii="Arial" w:hAnsi="Arial" w:cs="Arial"/>
                <w:sz w:val="24"/>
                <w:szCs w:val="24"/>
              </w:rPr>
            </w:pPr>
          </w:p>
          <w:p w:rsidR="00C97B0A" w:rsidRDefault="00C97B0A" w:rsidP="00C97B0A">
            <w:pPr>
              <w:tabs>
                <w:tab w:val="left" w:pos="729"/>
              </w:tabs>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proofErr w:type="spellStart"/>
            <w:r w:rsidR="00944B22" w:rsidRPr="003F0DD3">
              <w:rPr>
                <w:rFonts w:ascii="Arial" w:hAnsi="Arial" w:cs="Arial"/>
                <w:i/>
                <w:sz w:val="24"/>
                <w:szCs w:val="24"/>
              </w:rPr>
              <w:t>Erongo</w:t>
            </w:r>
            <w:proofErr w:type="spellEnd"/>
            <w:r w:rsidR="00944B22" w:rsidRPr="003F0DD3">
              <w:rPr>
                <w:rFonts w:ascii="Arial" w:hAnsi="Arial" w:cs="Arial"/>
                <w:i/>
                <w:sz w:val="24"/>
                <w:szCs w:val="24"/>
              </w:rPr>
              <w:t xml:space="preserve"> Regional Council and Others v </w:t>
            </w:r>
            <w:proofErr w:type="spellStart"/>
            <w:r w:rsidR="00944B22" w:rsidRPr="003F0DD3">
              <w:rPr>
                <w:rFonts w:ascii="Arial" w:hAnsi="Arial" w:cs="Arial"/>
                <w:i/>
                <w:sz w:val="24"/>
                <w:szCs w:val="24"/>
              </w:rPr>
              <w:t>Wlotzkasbaken</w:t>
            </w:r>
            <w:proofErr w:type="spellEnd"/>
            <w:r w:rsidR="00944B22" w:rsidRPr="003F0DD3">
              <w:rPr>
                <w:rFonts w:ascii="Arial" w:hAnsi="Arial" w:cs="Arial"/>
                <w:i/>
                <w:sz w:val="24"/>
                <w:szCs w:val="24"/>
              </w:rPr>
              <w:t xml:space="preserve"> Home Owners Association and Another</w:t>
            </w:r>
            <w:r w:rsidR="00944B22">
              <w:rPr>
                <w:rStyle w:val="FootnoteReference"/>
                <w:rFonts w:ascii="Arial" w:hAnsi="Arial" w:cs="Arial"/>
                <w:sz w:val="24"/>
                <w:szCs w:val="24"/>
              </w:rPr>
              <w:footnoteReference w:id="9"/>
            </w:r>
            <w:r w:rsidR="003F0DD3">
              <w:rPr>
                <w:rFonts w:ascii="Arial" w:hAnsi="Arial" w:cs="Arial"/>
                <w:sz w:val="24"/>
                <w:szCs w:val="24"/>
              </w:rPr>
              <w:t xml:space="preserve"> is of no assistance on the point under consideration. There, the respondents (applicants in the High Court) had approached the court to enforce a valid agreement that had already been made an order of court. Similarly, </w:t>
            </w:r>
            <w:r w:rsidR="003F0DD3" w:rsidRPr="003F0DD3">
              <w:rPr>
                <w:rFonts w:ascii="Arial" w:hAnsi="Arial" w:cs="Arial"/>
                <w:i/>
                <w:sz w:val="24"/>
                <w:szCs w:val="24"/>
              </w:rPr>
              <w:t>A N v P N</w:t>
            </w:r>
            <w:r w:rsidR="003F0DD3">
              <w:rPr>
                <w:rStyle w:val="FootnoteReference"/>
                <w:rFonts w:ascii="Arial" w:hAnsi="Arial" w:cs="Arial"/>
                <w:sz w:val="24"/>
                <w:szCs w:val="24"/>
              </w:rPr>
              <w:footnoteReference w:id="10"/>
            </w:r>
            <w:r w:rsidR="003F0DD3">
              <w:rPr>
                <w:rFonts w:ascii="Arial" w:hAnsi="Arial" w:cs="Arial"/>
                <w:sz w:val="24"/>
                <w:szCs w:val="24"/>
              </w:rPr>
              <w:t xml:space="preserve">, referred to the court by Mr </w:t>
            </w:r>
            <w:proofErr w:type="spellStart"/>
            <w:r w:rsidR="003F0DD3">
              <w:rPr>
                <w:rFonts w:ascii="Arial" w:hAnsi="Arial" w:cs="Arial"/>
                <w:sz w:val="24"/>
                <w:szCs w:val="24"/>
              </w:rPr>
              <w:t>Bangamwabo</w:t>
            </w:r>
            <w:proofErr w:type="spellEnd"/>
            <w:r w:rsidR="003F0DD3">
              <w:rPr>
                <w:rFonts w:ascii="Arial" w:hAnsi="Arial" w:cs="Arial"/>
                <w:sz w:val="24"/>
                <w:szCs w:val="24"/>
              </w:rPr>
              <w:t>, is distinguishable on the facts. There, a valid agreement had been reached during a court-connected mediation</w:t>
            </w:r>
            <w:r>
              <w:rPr>
                <w:rFonts w:ascii="Arial" w:hAnsi="Arial" w:cs="Arial"/>
                <w:sz w:val="24"/>
                <w:szCs w:val="24"/>
              </w:rPr>
              <w:t>.</w:t>
            </w:r>
            <w:r w:rsidR="00F36245">
              <w:rPr>
                <w:rFonts w:ascii="Arial" w:hAnsi="Arial" w:cs="Arial"/>
                <w:sz w:val="24"/>
                <w:szCs w:val="24"/>
              </w:rPr>
              <w:t xml:space="preserve"> Therefore, the authority there is of no application in the instant matter, as Mr Mouton submitted.</w:t>
            </w:r>
          </w:p>
          <w:p w:rsidR="00C97B0A" w:rsidRDefault="00C97B0A" w:rsidP="00DC6D53">
            <w:pPr>
              <w:tabs>
                <w:tab w:val="left" w:pos="729"/>
              </w:tabs>
              <w:spacing w:line="360" w:lineRule="auto"/>
              <w:jc w:val="both"/>
              <w:rPr>
                <w:rFonts w:ascii="Arial" w:hAnsi="Arial" w:cs="Arial"/>
                <w:sz w:val="24"/>
                <w:szCs w:val="24"/>
              </w:rPr>
            </w:pPr>
          </w:p>
          <w:p w:rsidR="004B2315" w:rsidRDefault="004B2315" w:rsidP="00DC6D53">
            <w:pPr>
              <w:tabs>
                <w:tab w:val="left" w:pos="729"/>
              </w:tabs>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86BD5">
              <w:rPr>
                <w:rFonts w:ascii="Arial" w:hAnsi="Arial" w:cs="Arial"/>
                <w:sz w:val="24"/>
                <w:szCs w:val="24"/>
              </w:rPr>
              <w:t>The applicants have prayed for a declaratory order in para 1 of the notice of motion. The mandatory relief sought in para 2 and the order sought in para 3 of the notice of motion may</w:t>
            </w:r>
            <w:r w:rsidR="00673DB5">
              <w:rPr>
                <w:rFonts w:ascii="Arial" w:hAnsi="Arial" w:cs="Arial"/>
                <w:sz w:val="24"/>
                <w:szCs w:val="24"/>
              </w:rPr>
              <w:t xml:space="preserve"> </w:t>
            </w:r>
            <w:r w:rsidR="00886BD5">
              <w:rPr>
                <w:rFonts w:ascii="Arial" w:hAnsi="Arial" w:cs="Arial"/>
                <w:sz w:val="24"/>
                <w:szCs w:val="24"/>
              </w:rPr>
              <w:t>be granted only if the court granted the declaratory order.</w:t>
            </w:r>
          </w:p>
          <w:p w:rsidR="004B2315" w:rsidRDefault="004B2315" w:rsidP="00DC6D53">
            <w:pPr>
              <w:tabs>
                <w:tab w:val="left" w:pos="729"/>
              </w:tabs>
              <w:spacing w:line="360" w:lineRule="auto"/>
              <w:jc w:val="both"/>
              <w:rPr>
                <w:rFonts w:ascii="Arial" w:hAnsi="Arial" w:cs="Arial"/>
                <w:sz w:val="24"/>
                <w:szCs w:val="24"/>
              </w:rPr>
            </w:pPr>
          </w:p>
          <w:p w:rsidR="004B2315" w:rsidRDefault="004B2315" w:rsidP="00DC6D53">
            <w:pPr>
              <w:tabs>
                <w:tab w:val="left" w:pos="729"/>
              </w:tabs>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86BD5">
              <w:rPr>
                <w:rFonts w:ascii="Arial" w:hAnsi="Arial" w:cs="Arial"/>
                <w:sz w:val="24"/>
                <w:szCs w:val="24"/>
              </w:rPr>
              <w:t xml:space="preserve">The power of the court to grant declaratory orders </w:t>
            </w:r>
            <w:r w:rsidR="00673DB5">
              <w:rPr>
                <w:rFonts w:ascii="Arial" w:hAnsi="Arial" w:cs="Arial"/>
                <w:sz w:val="24"/>
                <w:szCs w:val="24"/>
              </w:rPr>
              <w:t>is</w:t>
            </w:r>
            <w:r w:rsidR="00886BD5">
              <w:rPr>
                <w:rFonts w:ascii="Arial" w:hAnsi="Arial" w:cs="Arial"/>
                <w:sz w:val="24"/>
                <w:szCs w:val="24"/>
              </w:rPr>
              <w:t xml:space="preserve"> found in s 16 of the High Court Act 16 of 1990, and it provides that the court has the power -</w:t>
            </w:r>
          </w:p>
          <w:p w:rsidR="004B2315" w:rsidRDefault="004B2315" w:rsidP="00DC6D53">
            <w:pPr>
              <w:tabs>
                <w:tab w:val="left" w:pos="729"/>
              </w:tabs>
              <w:spacing w:line="360" w:lineRule="auto"/>
              <w:jc w:val="both"/>
              <w:rPr>
                <w:rFonts w:ascii="Arial" w:hAnsi="Arial" w:cs="Arial"/>
                <w:sz w:val="24"/>
                <w:szCs w:val="24"/>
              </w:rPr>
            </w:pPr>
          </w:p>
          <w:p w:rsidR="00886BD5" w:rsidRDefault="00886BD5" w:rsidP="00886BD5">
            <w:pPr>
              <w:tabs>
                <w:tab w:val="left" w:pos="729"/>
              </w:tabs>
              <w:spacing w:line="360" w:lineRule="auto"/>
              <w:ind w:firstLine="743"/>
              <w:jc w:val="both"/>
              <w:rPr>
                <w:rFonts w:ascii="Arial" w:hAnsi="Arial" w:cs="Arial"/>
              </w:rPr>
            </w:pPr>
            <w:r w:rsidRPr="00886BD5">
              <w:rPr>
                <w:rFonts w:ascii="Arial" w:hAnsi="Arial" w:cs="Arial"/>
              </w:rPr>
              <w:t>‘</w:t>
            </w:r>
            <w:r>
              <w:rPr>
                <w:rFonts w:ascii="Arial" w:hAnsi="Arial" w:cs="Arial"/>
              </w:rPr>
              <w:t xml:space="preserve">(d) … in its </w:t>
            </w:r>
            <w:r w:rsidRPr="00886BD5">
              <w:rPr>
                <w:rFonts w:ascii="Arial" w:hAnsi="Arial" w:cs="Arial"/>
                <w:i/>
              </w:rPr>
              <w:t>discretion</w:t>
            </w:r>
            <w:r w:rsidR="00AC43A2">
              <w:rPr>
                <w:rFonts w:ascii="Arial" w:hAnsi="Arial" w:cs="Arial"/>
              </w:rPr>
              <w:t xml:space="preserve">, and at the instance of </w:t>
            </w:r>
            <w:r>
              <w:rPr>
                <w:rFonts w:ascii="Arial" w:hAnsi="Arial" w:cs="Arial"/>
              </w:rPr>
              <w:t>a</w:t>
            </w:r>
            <w:r w:rsidR="00AC43A2">
              <w:rPr>
                <w:rFonts w:ascii="Arial" w:hAnsi="Arial" w:cs="Arial"/>
              </w:rPr>
              <w:t>n</w:t>
            </w:r>
            <w:r>
              <w:rPr>
                <w:rFonts w:ascii="Arial" w:hAnsi="Arial" w:cs="Arial"/>
              </w:rPr>
              <w:t xml:space="preserve">y interested person, to enquire into and determine any </w:t>
            </w:r>
            <w:r w:rsidRPr="00886BD5">
              <w:rPr>
                <w:rFonts w:ascii="Arial" w:hAnsi="Arial" w:cs="Arial"/>
                <w:i/>
              </w:rPr>
              <w:t>existing, future or contingent</w:t>
            </w:r>
            <w:r>
              <w:rPr>
                <w:rFonts w:ascii="Arial" w:hAnsi="Arial" w:cs="Arial"/>
              </w:rPr>
              <w:t xml:space="preserve"> right or obligation, notwithstanding that such person cannot claim any relief consequential upon the determination.</w:t>
            </w:r>
            <w:r w:rsidRPr="00886BD5">
              <w:rPr>
                <w:rFonts w:ascii="Arial" w:hAnsi="Arial" w:cs="Arial"/>
              </w:rPr>
              <w:t>’</w:t>
            </w:r>
          </w:p>
          <w:p w:rsidR="00886BD5" w:rsidRPr="00886BD5" w:rsidRDefault="00886BD5" w:rsidP="00DC6D53">
            <w:pPr>
              <w:tabs>
                <w:tab w:val="left" w:pos="729"/>
              </w:tabs>
              <w:spacing w:line="360" w:lineRule="auto"/>
              <w:jc w:val="both"/>
              <w:rPr>
                <w:rFonts w:ascii="Arial" w:hAnsi="Arial" w:cs="Arial"/>
                <w:sz w:val="24"/>
                <w:szCs w:val="24"/>
              </w:rPr>
            </w:pPr>
            <w:r w:rsidRPr="00886BD5">
              <w:rPr>
                <w:rFonts w:ascii="Arial" w:hAnsi="Arial" w:cs="Arial"/>
                <w:sz w:val="24"/>
                <w:szCs w:val="24"/>
              </w:rPr>
              <w:t>[My emphasis]</w:t>
            </w:r>
          </w:p>
          <w:p w:rsidR="00886BD5" w:rsidRDefault="00886BD5" w:rsidP="00DC6D53">
            <w:pPr>
              <w:tabs>
                <w:tab w:val="left" w:pos="729"/>
              </w:tabs>
              <w:spacing w:line="360" w:lineRule="auto"/>
              <w:jc w:val="both"/>
              <w:rPr>
                <w:rFonts w:ascii="Arial" w:hAnsi="Arial" w:cs="Arial"/>
                <w:sz w:val="24"/>
                <w:szCs w:val="24"/>
              </w:rPr>
            </w:pPr>
          </w:p>
          <w:p w:rsidR="004B2315" w:rsidRDefault="004B2315" w:rsidP="00DC6D53">
            <w:pPr>
              <w:tabs>
                <w:tab w:val="left" w:pos="729"/>
              </w:tabs>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14BC7">
              <w:rPr>
                <w:rFonts w:ascii="Arial" w:hAnsi="Arial" w:cs="Arial"/>
                <w:sz w:val="24"/>
                <w:szCs w:val="24"/>
              </w:rPr>
              <w:t>Thus, s 16 of Act 16 of 1990 contains the power by which the court may grant a declaratory order and the requirements which the applicant must satisfy in order to succeed. The important element in this section is that the power of the court is limited to a question concerning a right. The crucial element in s 16 of Act 16 of 1990 is that the exercise of the court’s power is limited to the question concerning a right – existing, future or contingent – which the applicant claims.</w:t>
            </w:r>
            <w:r w:rsidR="00014BC7">
              <w:rPr>
                <w:rStyle w:val="FootnoteReference"/>
                <w:rFonts w:ascii="Arial" w:hAnsi="Arial" w:cs="Arial"/>
                <w:sz w:val="24"/>
                <w:szCs w:val="24"/>
              </w:rPr>
              <w:footnoteReference w:id="11"/>
            </w:r>
          </w:p>
          <w:p w:rsidR="004B2315" w:rsidRDefault="004B2315" w:rsidP="00DC6D53">
            <w:pPr>
              <w:tabs>
                <w:tab w:val="left" w:pos="729"/>
              </w:tabs>
              <w:spacing w:line="360" w:lineRule="auto"/>
              <w:jc w:val="both"/>
              <w:rPr>
                <w:rFonts w:ascii="Arial" w:hAnsi="Arial" w:cs="Arial"/>
                <w:sz w:val="24"/>
                <w:szCs w:val="24"/>
              </w:rPr>
            </w:pPr>
          </w:p>
          <w:p w:rsidR="004B2315" w:rsidRDefault="004B2315" w:rsidP="00DC6D53">
            <w:pPr>
              <w:tabs>
                <w:tab w:val="left" w:pos="729"/>
              </w:tabs>
              <w:spacing w:line="360" w:lineRule="auto"/>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014BC7">
              <w:rPr>
                <w:rFonts w:ascii="Arial" w:hAnsi="Arial" w:cs="Arial"/>
                <w:sz w:val="24"/>
                <w:szCs w:val="24"/>
              </w:rPr>
              <w:t xml:space="preserve">Additionally, it is trite that a declaration is a discretionary order that ought to be granted with care, caution and judicially, having regard to all the circumstances of </w:t>
            </w:r>
            <w:r w:rsidR="00673DB5">
              <w:rPr>
                <w:rFonts w:ascii="Arial" w:hAnsi="Arial" w:cs="Arial"/>
                <w:sz w:val="24"/>
                <w:szCs w:val="24"/>
              </w:rPr>
              <w:t xml:space="preserve">the </w:t>
            </w:r>
            <w:r w:rsidR="00014BC7">
              <w:rPr>
                <w:rFonts w:ascii="Arial" w:hAnsi="Arial" w:cs="Arial"/>
                <w:sz w:val="24"/>
                <w:szCs w:val="24"/>
              </w:rPr>
              <w:t>case at hand. It will not be granted, for instance, where the relief claimed would be unlawful or inequitable for the court to grant.</w:t>
            </w:r>
            <w:r w:rsidR="00014BC7">
              <w:rPr>
                <w:rStyle w:val="FootnoteReference"/>
                <w:rFonts w:ascii="Arial" w:hAnsi="Arial" w:cs="Arial"/>
                <w:sz w:val="24"/>
                <w:szCs w:val="24"/>
              </w:rPr>
              <w:footnoteReference w:id="12"/>
            </w:r>
          </w:p>
          <w:p w:rsidR="004B2315" w:rsidRDefault="004B2315" w:rsidP="00DC6D53">
            <w:pPr>
              <w:tabs>
                <w:tab w:val="left" w:pos="729"/>
              </w:tabs>
              <w:spacing w:line="360" w:lineRule="auto"/>
              <w:jc w:val="both"/>
              <w:rPr>
                <w:rFonts w:ascii="Arial" w:hAnsi="Arial" w:cs="Arial"/>
                <w:sz w:val="24"/>
                <w:szCs w:val="24"/>
              </w:rPr>
            </w:pPr>
          </w:p>
          <w:p w:rsidR="004B2315" w:rsidRDefault="004B2315" w:rsidP="00DC6D53">
            <w:pPr>
              <w:tabs>
                <w:tab w:val="left" w:pos="729"/>
              </w:tabs>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2551F">
              <w:rPr>
                <w:rFonts w:ascii="Arial" w:hAnsi="Arial" w:cs="Arial"/>
                <w:sz w:val="24"/>
                <w:szCs w:val="24"/>
              </w:rPr>
              <w:t>I have found that no oral settlement agreement was concluded by the parties and the revised settlement agreement cannot bind the respondents. Having so found, I conclude that the applicants have not proved any right that could be protected by a declaratory order in terms of s 16</w:t>
            </w:r>
            <w:r w:rsidR="00F2551F" w:rsidRPr="00F2551F">
              <w:rPr>
                <w:rFonts w:ascii="Arial" w:hAnsi="Arial" w:cs="Arial"/>
                <w:i/>
                <w:sz w:val="24"/>
                <w:szCs w:val="24"/>
              </w:rPr>
              <w:t>(d)</w:t>
            </w:r>
            <w:r w:rsidR="00F2551F">
              <w:rPr>
                <w:rFonts w:ascii="Arial" w:hAnsi="Arial" w:cs="Arial"/>
                <w:sz w:val="24"/>
                <w:szCs w:val="24"/>
              </w:rPr>
              <w:t xml:space="preserve"> of the High Court Act 16 of 1990.</w:t>
            </w:r>
          </w:p>
          <w:p w:rsidR="004B2315" w:rsidRDefault="004B2315" w:rsidP="00DC6D53">
            <w:pPr>
              <w:tabs>
                <w:tab w:val="left" w:pos="729"/>
              </w:tabs>
              <w:spacing w:line="360" w:lineRule="auto"/>
              <w:jc w:val="both"/>
              <w:rPr>
                <w:rFonts w:ascii="Arial" w:hAnsi="Arial" w:cs="Arial"/>
                <w:sz w:val="24"/>
                <w:szCs w:val="24"/>
              </w:rPr>
            </w:pPr>
          </w:p>
          <w:p w:rsidR="004B2315" w:rsidRDefault="004B2315" w:rsidP="00DC6D53">
            <w:pPr>
              <w:tabs>
                <w:tab w:val="left" w:pos="729"/>
              </w:tabs>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F36AD">
              <w:rPr>
                <w:rFonts w:ascii="Arial" w:hAnsi="Arial" w:cs="Arial"/>
                <w:sz w:val="24"/>
                <w:szCs w:val="24"/>
              </w:rPr>
              <w:t>It would, therefore, be unlawful and inequitable for the court to grant the declaratory order sought. It follows as a matter of course and inordinately, as intimated previously, that the court cannot grant the relief sought in paras 2 and 3 of the notice of motion.</w:t>
            </w:r>
          </w:p>
          <w:p w:rsidR="004B2315" w:rsidRDefault="004B2315" w:rsidP="00DC6D53">
            <w:pPr>
              <w:tabs>
                <w:tab w:val="left" w:pos="729"/>
              </w:tabs>
              <w:spacing w:line="360" w:lineRule="auto"/>
              <w:jc w:val="both"/>
              <w:rPr>
                <w:rFonts w:ascii="Arial" w:hAnsi="Arial" w:cs="Arial"/>
                <w:sz w:val="24"/>
                <w:szCs w:val="24"/>
              </w:rPr>
            </w:pPr>
          </w:p>
          <w:p w:rsidR="004B2315" w:rsidRDefault="004B2315" w:rsidP="00DC6D53">
            <w:pPr>
              <w:tabs>
                <w:tab w:val="left" w:pos="729"/>
              </w:tabs>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8B244F">
              <w:rPr>
                <w:rFonts w:ascii="Arial" w:hAnsi="Arial" w:cs="Arial"/>
                <w:sz w:val="24"/>
                <w:szCs w:val="24"/>
              </w:rPr>
              <w:t xml:space="preserve">It remains the matter of costs. Considering the unyielding attitudes and rigid positions of the parties, I do not think a teleconference </w:t>
            </w:r>
            <w:r w:rsidR="00673DB5">
              <w:rPr>
                <w:rFonts w:ascii="Arial" w:hAnsi="Arial" w:cs="Arial"/>
                <w:sz w:val="24"/>
                <w:szCs w:val="24"/>
              </w:rPr>
              <w:t>was</w:t>
            </w:r>
            <w:r w:rsidR="008B244F">
              <w:rPr>
                <w:rFonts w:ascii="Arial" w:hAnsi="Arial" w:cs="Arial"/>
                <w:sz w:val="24"/>
                <w:szCs w:val="24"/>
              </w:rPr>
              <w:t xml:space="preserve"> the most prudent way to go to reach a settlement agreement. None of the parties themselves deposed to the founding affidavit and the replying affidavit and the answering affidavit. Was it not proper and efficacious that the parties who participated in the meetings called to discuss and negotiate a settlement agreement </w:t>
            </w:r>
            <w:r w:rsidR="00673DB5">
              <w:rPr>
                <w:rFonts w:ascii="Arial" w:hAnsi="Arial" w:cs="Arial"/>
                <w:sz w:val="24"/>
                <w:szCs w:val="24"/>
              </w:rPr>
              <w:t>should be</w:t>
            </w:r>
            <w:r w:rsidR="008B244F">
              <w:rPr>
                <w:rFonts w:ascii="Arial" w:hAnsi="Arial" w:cs="Arial"/>
                <w:sz w:val="24"/>
                <w:szCs w:val="24"/>
              </w:rPr>
              <w:t xml:space="preserve"> the ones to have deposed to those affidavits.</w:t>
            </w:r>
          </w:p>
          <w:p w:rsidR="004B2315" w:rsidRDefault="004B2315" w:rsidP="00DC6D53">
            <w:pPr>
              <w:tabs>
                <w:tab w:val="left" w:pos="729"/>
              </w:tabs>
              <w:spacing w:line="360" w:lineRule="auto"/>
              <w:jc w:val="both"/>
              <w:rPr>
                <w:rFonts w:ascii="Arial" w:hAnsi="Arial" w:cs="Arial"/>
                <w:sz w:val="24"/>
                <w:szCs w:val="24"/>
              </w:rPr>
            </w:pPr>
          </w:p>
          <w:p w:rsidR="004B2315" w:rsidRDefault="004B2315" w:rsidP="00DC6D53">
            <w:pPr>
              <w:tabs>
                <w:tab w:val="left" w:pos="729"/>
              </w:tabs>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8B244F">
              <w:rPr>
                <w:rFonts w:ascii="Arial" w:hAnsi="Arial" w:cs="Arial"/>
                <w:sz w:val="24"/>
                <w:szCs w:val="24"/>
              </w:rPr>
              <w:t xml:space="preserve">It matters tuppence that Mr Neves doubles as a legal representative of the respondents and a director of the first respondent. The axiom that the lawyer who represents himself or herself </w:t>
            </w:r>
            <w:r w:rsidR="005B6240">
              <w:rPr>
                <w:rFonts w:ascii="Arial" w:hAnsi="Arial" w:cs="Arial"/>
                <w:sz w:val="24"/>
                <w:szCs w:val="24"/>
              </w:rPr>
              <w:t>cheats his or her client is as true today in Namibia as it was in Seventee</w:t>
            </w:r>
            <w:r w:rsidR="007242A2">
              <w:rPr>
                <w:rFonts w:ascii="Arial" w:hAnsi="Arial" w:cs="Arial"/>
                <w:sz w:val="24"/>
                <w:szCs w:val="24"/>
              </w:rPr>
              <w:t>n</w:t>
            </w:r>
            <w:r w:rsidR="005B6240">
              <w:rPr>
                <w:rFonts w:ascii="Arial" w:hAnsi="Arial" w:cs="Arial"/>
                <w:sz w:val="24"/>
                <w:szCs w:val="24"/>
              </w:rPr>
              <w:t>th Century England. The court has not heard them, and that complicate</w:t>
            </w:r>
            <w:r w:rsidR="00673DB5">
              <w:rPr>
                <w:rFonts w:ascii="Arial" w:hAnsi="Arial" w:cs="Arial"/>
                <w:sz w:val="24"/>
                <w:szCs w:val="24"/>
              </w:rPr>
              <w:t>d</w:t>
            </w:r>
            <w:r w:rsidR="005B6240">
              <w:rPr>
                <w:rFonts w:ascii="Arial" w:hAnsi="Arial" w:cs="Arial"/>
                <w:sz w:val="24"/>
                <w:szCs w:val="24"/>
              </w:rPr>
              <w:t xml:space="preserve"> matters, leading to a protracted and a never ending proceeding.</w:t>
            </w:r>
          </w:p>
          <w:p w:rsidR="004B2315" w:rsidRDefault="004B2315" w:rsidP="00DC6D53">
            <w:pPr>
              <w:tabs>
                <w:tab w:val="left" w:pos="729"/>
              </w:tabs>
              <w:spacing w:line="360" w:lineRule="auto"/>
              <w:jc w:val="both"/>
              <w:rPr>
                <w:rFonts w:ascii="Arial" w:hAnsi="Arial" w:cs="Arial"/>
                <w:sz w:val="24"/>
                <w:szCs w:val="24"/>
              </w:rPr>
            </w:pPr>
          </w:p>
          <w:p w:rsidR="004B2315" w:rsidRDefault="004B2315" w:rsidP="00DC6D53">
            <w:pPr>
              <w:tabs>
                <w:tab w:val="left" w:pos="729"/>
              </w:tabs>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B6240">
              <w:rPr>
                <w:rFonts w:ascii="Arial" w:hAnsi="Arial" w:cs="Arial"/>
                <w:sz w:val="24"/>
                <w:szCs w:val="24"/>
              </w:rPr>
              <w:t>Consequently, I do not think I should order any costs in an application, though complex, that does not take us to the conclusion of the action. The granting of a favourable costs order could be a brake</w:t>
            </w:r>
            <w:r w:rsidR="008B244F">
              <w:rPr>
                <w:rFonts w:ascii="Arial" w:hAnsi="Arial" w:cs="Arial"/>
                <w:sz w:val="24"/>
                <w:szCs w:val="24"/>
              </w:rPr>
              <w:t xml:space="preserve"> on the parties’ desire to bring the action to its conclusion.</w:t>
            </w:r>
          </w:p>
          <w:p w:rsidR="000E5171" w:rsidRDefault="000E5171" w:rsidP="00F639A4">
            <w:pPr>
              <w:tabs>
                <w:tab w:val="left" w:pos="729"/>
              </w:tabs>
              <w:spacing w:line="360" w:lineRule="auto"/>
              <w:jc w:val="both"/>
              <w:rPr>
                <w:rFonts w:ascii="Arial" w:eastAsia="Times New Roman" w:hAnsi="Arial" w:cs="Arial"/>
                <w:sz w:val="24"/>
                <w:szCs w:val="24"/>
                <w:lang w:val="en-US"/>
              </w:rPr>
            </w:pPr>
          </w:p>
          <w:p w:rsidR="00673DB5" w:rsidRDefault="00673DB5" w:rsidP="00F639A4">
            <w:pPr>
              <w:tabs>
                <w:tab w:val="left" w:pos="729"/>
              </w:tabs>
              <w:spacing w:line="360" w:lineRule="auto"/>
              <w:jc w:val="both"/>
              <w:rPr>
                <w:rFonts w:ascii="Arial" w:eastAsia="Times New Roman" w:hAnsi="Arial" w:cs="Arial"/>
                <w:sz w:val="24"/>
                <w:szCs w:val="24"/>
                <w:lang w:val="en-US"/>
              </w:rPr>
            </w:pPr>
          </w:p>
          <w:p w:rsidR="00673DB5" w:rsidRDefault="00673DB5" w:rsidP="00F639A4">
            <w:pPr>
              <w:tabs>
                <w:tab w:val="left" w:pos="729"/>
              </w:tabs>
              <w:spacing w:line="360" w:lineRule="auto"/>
              <w:jc w:val="both"/>
              <w:rPr>
                <w:rFonts w:ascii="Arial" w:eastAsia="Times New Roman" w:hAnsi="Arial" w:cs="Arial"/>
                <w:sz w:val="24"/>
                <w:szCs w:val="24"/>
                <w:lang w:val="en-US"/>
              </w:rPr>
            </w:pPr>
          </w:p>
          <w:p w:rsidR="00673DB5" w:rsidRPr="00F639A4" w:rsidRDefault="00673DB5" w:rsidP="00F639A4">
            <w:pPr>
              <w:tabs>
                <w:tab w:val="left" w:pos="729"/>
              </w:tabs>
              <w:spacing w:line="360" w:lineRule="auto"/>
              <w:jc w:val="both"/>
              <w:rPr>
                <w:rFonts w:ascii="Arial" w:eastAsia="Times New Roman" w:hAnsi="Arial" w:cs="Arial"/>
                <w:sz w:val="24"/>
                <w:szCs w:val="24"/>
                <w:lang w:val="en-US"/>
              </w:rPr>
            </w:pPr>
          </w:p>
        </w:tc>
      </w:tr>
      <w:tr w:rsidR="00CA7995" w:rsidRPr="00CA7995" w:rsidTr="003B0F1E">
        <w:tc>
          <w:tcPr>
            <w:tcW w:w="5209"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3B0F1E">
        <w:trPr>
          <w:trHeight w:val="1114"/>
        </w:trPr>
        <w:tc>
          <w:tcPr>
            <w:tcW w:w="5209" w:type="dxa"/>
          </w:tcPr>
          <w:p w:rsidR="00B40844" w:rsidRDefault="00B40844" w:rsidP="00937C89">
            <w:pPr>
              <w:spacing w:line="360" w:lineRule="auto"/>
              <w:jc w:val="both"/>
              <w:rPr>
                <w:rFonts w:ascii="Arial" w:hAnsi="Arial" w:cs="Arial"/>
                <w:sz w:val="24"/>
                <w:szCs w:val="24"/>
              </w:rPr>
            </w:pPr>
          </w:p>
          <w:p w:rsidR="00F31BD5" w:rsidRPr="00CA7995" w:rsidRDefault="00F31BD5"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C71A4D">
        <w:trPr>
          <w:trHeight w:val="499"/>
        </w:trPr>
        <w:tc>
          <w:tcPr>
            <w:tcW w:w="10632" w:type="dxa"/>
            <w:gridSpan w:val="3"/>
            <w:vAlign w:val="center"/>
          </w:tcPr>
          <w:p w:rsidR="00B40844" w:rsidRPr="00CA7995" w:rsidRDefault="00B40844" w:rsidP="00C71A4D">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C71A4D">
        <w:trPr>
          <w:trHeight w:val="462"/>
        </w:trPr>
        <w:tc>
          <w:tcPr>
            <w:tcW w:w="5209" w:type="dxa"/>
            <w:vAlign w:val="center"/>
          </w:tcPr>
          <w:p w:rsidR="00B40844" w:rsidRPr="00CA7995" w:rsidRDefault="00C97B0A" w:rsidP="00C97B0A">
            <w:pPr>
              <w:spacing w:line="360" w:lineRule="auto"/>
              <w:jc w:val="center"/>
              <w:rPr>
                <w:rFonts w:ascii="Arial" w:hAnsi="Arial" w:cs="Arial"/>
                <w:b/>
                <w:sz w:val="24"/>
                <w:szCs w:val="24"/>
              </w:rPr>
            </w:pPr>
            <w:r>
              <w:rPr>
                <w:rFonts w:ascii="Arial" w:hAnsi="Arial" w:cs="Arial"/>
                <w:b/>
                <w:sz w:val="24"/>
                <w:szCs w:val="24"/>
              </w:rPr>
              <w:t>PLAINTIFFS</w:t>
            </w:r>
          </w:p>
        </w:tc>
        <w:tc>
          <w:tcPr>
            <w:tcW w:w="5423" w:type="dxa"/>
            <w:gridSpan w:val="2"/>
            <w:vAlign w:val="center"/>
          </w:tcPr>
          <w:p w:rsidR="00B40844" w:rsidRPr="00CA7995" w:rsidRDefault="00C97B0A" w:rsidP="00C97B0A">
            <w:pPr>
              <w:spacing w:line="360" w:lineRule="auto"/>
              <w:jc w:val="center"/>
              <w:rPr>
                <w:rFonts w:ascii="Arial" w:hAnsi="Arial" w:cs="Arial"/>
                <w:b/>
                <w:sz w:val="24"/>
                <w:szCs w:val="24"/>
              </w:rPr>
            </w:pPr>
            <w:r>
              <w:rPr>
                <w:rFonts w:ascii="Arial" w:hAnsi="Arial" w:cs="Arial"/>
                <w:b/>
                <w:sz w:val="24"/>
                <w:szCs w:val="24"/>
              </w:rPr>
              <w:t>DEFENDANT</w:t>
            </w:r>
            <w:r w:rsidR="00CF21C0">
              <w:rPr>
                <w:rFonts w:ascii="Arial" w:hAnsi="Arial" w:cs="Arial"/>
                <w:b/>
                <w:sz w:val="24"/>
                <w:szCs w:val="24"/>
              </w:rPr>
              <w:t>(</w:t>
            </w:r>
            <w:r w:rsidR="002A5C0F">
              <w:rPr>
                <w:rFonts w:ascii="Arial" w:hAnsi="Arial" w:cs="Arial"/>
                <w:b/>
                <w:sz w:val="24"/>
                <w:szCs w:val="24"/>
              </w:rPr>
              <w:t>S</w:t>
            </w:r>
            <w:r w:rsidR="00CF21C0">
              <w:rPr>
                <w:rFonts w:ascii="Arial" w:hAnsi="Arial" w:cs="Arial"/>
                <w:b/>
                <w:sz w:val="24"/>
                <w:szCs w:val="24"/>
              </w:rPr>
              <w:t>)</w:t>
            </w:r>
          </w:p>
        </w:tc>
      </w:tr>
      <w:tr w:rsidR="00CA7995" w:rsidRPr="00CA7995" w:rsidTr="003B0F1E">
        <w:tc>
          <w:tcPr>
            <w:tcW w:w="5209" w:type="dxa"/>
          </w:tcPr>
          <w:p w:rsidR="00F639A4" w:rsidRPr="00C97B0A" w:rsidRDefault="00C97B0A" w:rsidP="000E5171">
            <w:pPr>
              <w:spacing w:line="360" w:lineRule="auto"/>
              <w:jc w:val="center"/>
              <w:rPr>
                <w:rFonts w:ascii="Arial" w:hAnsi="Arial" w:cs="Arial"/>
                <w:sz w:val="24"/>
                <w:szCs w:val="24"/>
              </w:rPr>
            </w:pPr>
            <w:r w:rsidRPr="00C97B0A">
              <w:rPr>
                <w:rFonts w:ascii="Arial" w:hAnsi="Arial" w:cs="Arial"/>
                <w:sz w:val="24"/>
                <w:szCs w:val="24"/>
              </w:rPr>
              <w:t>F BANGAMWABO</w:t>
            </w:r>
          </w:p>
          <w:p w:rsidR="00206B05" w:rsidRPr="00AC43A2" w:rsidRDefault="00206B05" w:rsidP="00206B05">
            <w:pPr>
              <w:spacing w:line="360" w:lineRule="auto"/>
              <w:jc w:val="center"/>
              <w:rPr>
                <w:rFonts w:ascii="Arial" w:hAnsi="Arial" w:cs="Arial"/>
                <w:sz w:val="24"/>
                <w:szCs w:val="24"/>
              </w:rPr>
            </w:pPr>
            <w:r w:rsidRPr="00AC43A2">
              <w:rPr>
                <w:rFonts w:ascii="Arial" w:hAnsi="Arial" w:cs="Arial"/>
                <w:sz w:val="24"/>
                <w:szCs w:val="24"/>
              </w:rPr>
              <w:t>of</w:t>
            </w:r>
          </w:p>
          <w:p w:rsidR="000E5171" w:rsidRPr="00C97B0A" w:rsidRDefault="00C97B0A" w:rsidP="00206B05">
            <w:pPr>
              <w:spacing w:line="360" w:lineRule="auto"/>
              <w:jc w:val="center"/>
              <w:rPr>
                <w:rFonts w:ascii="Arial" w:hAnsi="Arial" w:cs="Arial"/>
                <w:sz w:val="24"/>
                <w:szCs w:val="24"/>
              </w:rPr>
            </w:pPr>
            <w:r w:rsidRPr="00C97B0A">
              <w:rPr>
                <w:rFonts w:ascii="Arial" w:hAnsi="Arial" w:cs="Arial"/>
                <w:sz w:val="24"/>
                <w:szCs w:val="24"/>
                <w:shd w:val="clear" w:color="auto" w:fill="FFFFFF"/>
              </w:rPr>
              <w:t>FB Law Chambers</w:t>
            </w:r>
            <w:r w:rsidR="003F3D99" w:rsidRPr="00C97B0A">
              <w:rPr>
                <w:rFonts w:ascii="Arial" w:hAnsi="Arial" w:cs="Arial"/>
                <w:sz w:val="24"/>
                <w:szCs w:val="24"/>
              </w:rPr>
              <w:t>, Windhoek</w:t>
            </w:r>
          </w:p>
          <w:p w:rsidR="00F639A4" w:rsidRPr="00C97B0A" w:rsidRDefault="00F639A4" w:rsidP="003F3D99">
            <w:pPr>
              <w:spacing w:line="360" w:lineRule="auto"/>
              <w:rPr>
                <w:rFonts w:ascii="Arial" w:hAnsi="Arial" w:cs="Arial"/>
                <w:sz w:val="24"/>
                <w:szCs w:val="24"/>
              </w:rPr>
            </w:pPr>
          </w:p>
        </w:tc>
        <w:tc>
          <w:tcPr>
            <w:tcW w:w="5423" w:type="dxa"/>
            <w:gridSpan w:val="2"/>
          </w:tcPr>
          <w:p w:rsidR="003F3D99" w:rsidRPr="00C97B0A" w:rsidRDefault="00C97B0A" w:rsidP="007C34C0">
            <w:pPr>
              <w:tabs>
                <w:tab w:val="center" w:pos="2603"/>
                <w:tab w:val="left" w:pos="4476"/>
              </w:tabs>
              <w:spacing w:line="360" w:lineRule="auto"/>
              <w:jc w:val="center"/>
              <w:rPr>
                <w:rFonts w:ascii="Arial" w:hAnsi="Arial" w:cs="Arial"/>
                <w:sz w:val="24"/>
                <w:szCs w:val="24"/>
              </w:rPr>
            </w:pPr>
            <w:r>
              <w:rPr>
                <w:rFonts w:ascii="Arial" w:hAnsi="Arial" w:cs="Arial"/>
                <w:sz w:val="24"/>
                <w:szCs w:val="24"/>
              </w:rPr>
              <w:t>C J MOUTON</w:t>
            </w:r>
          </w:p>
          <w:p w:rsidR="00CD605F" w:rsidRPr="00AC43A2" w:rsidRDefault="00C97B0A" w:rsidP="007C34C0">
            <w:pPr>
              <w:tabs>
                <w:tab w:val="center" w:pos="2603"/>
                <w:tab w:val="left" w:pos="4476"/>
              </w:tabs>
              <w:spacing w:line="360" w:lineRule="auto"/>
              <w:jc w:val="center"/>
              <w:rPr>
                <w:rFonts w:ascii="Arial" w:hAnsi="Arial" w:cs="Arial"/>
                <w:sz w:val="24"/>
                <w:szCs w:val="24"/>
              </w:rPr>
            </w:pPr>
            <w:r w:rsidRPr="00AC43A2">
              <w:rPr>
                <w:rFonts w:ascii="Arial" w:hAnsi="Arial" w:cs="Arial"/>
                <w:sz w:val="24"/>
                <w:szCs w:val="24"/>
              </w:rPr>
              <w:t>Instructed by</w:t>
            </w:r>
          </w:p>
          <w:p w:rsidR="000E5171" w:rsidRDefault="00C97B0A" w:rsidP="00CD605F">
            <w:pPr>
              <w:spacing w:line="360" w:lineRule="auto"/>
              <w:jc w:val="center"/>
              <w:rPr>
                <w:rFonts w:ascii="Arial" w:hAnsi="Arial" w:cs="Arial"/>
                <w:sz w:val="24"/>
                <w:szCs w:val="24"/>
              </w:rPr>
            </w:pPr>
            <w:r w:rsidRPr="00C97B0A">
              <w:rPr>
                <w:rFonts w:ascii="Arial" w:hAnsi="Arial" w:cs="Arial"/>
                <w:sz w:val="24"/>
                <w:szCs w:val="24"/>
                <w:shd w:val="clear" w:color="auto" w:fill="FFFFFF"/>
              </w:rPr>
              <w:t>Neves Legal Practitioners</w:t>
            </w:r>
            <w:r w:rsidR="00FD14A0" w:rsidRPr="00C97B0A">
              <w:rPr>
                <w:rFonts w:ascii="Arial" w:hAnsi="Arial" w:cs="Arial"/>
                <w:sz w:val="24"/>
                <w:szCs w:val="24"/>
              </w:rPr>
              <w:t>, Windhoek</w:t>
            </w:r>
          </w:p>
          <w:p w:rsidR="002A5C0F" w:rsidRPr="002A5C0F" w:rsidRDefault="002A5C0F" w:rsidP="002A5C0F">
            <w:pPr>
              <w:spacing w:line="360" w:lineRule="auto"/>
              <w:jc w:val="center"/>
              <w:rPr>
                <w:rFonts w:ascii="Arial" w:hAnsi="Arial" w:cs="Arial"/>
                <w:sz w:val="24"/>
                <w:szCs w:val="24"/>
                <w:shd w:val="clear" w:color="auto" w:fill="FFFFFF"/>
              </w:rPr>
            </w:pPr>
            <w:bookmarkStart w:id="0" w:name="_GoBack"/>
            <w:bookmarkEnd w:id="0"/>
          </w:p>
        </w:tc>
      </w:tr>
    </w:tbl>
    <w:p w:rsidR="00B845CF" w:rsidRPr="00883004" w:rsidRDefault="00B845CF" w:rsidP="00883004">
      <w:pPr>
        <w:jc w:val="both"/>
        <w:rPr>
          <w:rFonts w:ascii="Arial" w:hAnsi="Arial" w:cs="Arial"/>
          <w:sz w:val="24"/>
          <w:szCs w:val="24"/>
        </w:rPr>
      </w:pPr>
    </w:p>
    <w:sectPr w:rsidR="00B845CF" w:rsidRPr="00883004" w:rsidSect="00C97B0A">
      <w:headerReference w:type="default" r:id="rId9"/>
      <w:footerReference w:type="default" r:id="rId10"/>
      <w:pgSz w:w="11906" w:h="16838"/>
      <w:pgMar w:top="1440" w:right="1440" w:bottom="1440"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0E" w:rsidRDefault="00FF7F0E" w:rsidP="00B40844">
      <w:pPr>
        <w:spacing w:after="0" w:line="240" w:lineRule="auto"/>
      </w:pPr>
      <w:r>
        <w:separator/>
      </w:r>
    </w:p>
  </w:endnote>
  <w:endnote w:type="continuationSeparator" w:id="0">
    <w:p w:rsidR="00FF7F0E" w:rsidRDefault="00FF7F0E"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0E" w:rsidRDefault="00FF7F0E" w:rsidP="00B40844">
      <w:pPr>
        <w:spacing w:after="0" w:line="240" w:lineRule="auto"/>
      </w:pPr>
      <w:r>
        <w:separator/>
      </w:r>
    </w:p>
  </w:footnote>
  <w:footnote w:type="continuationSeparator" w:id="0">
    <w:p w:rsidR="00FF7F0E" w:rsidRDefault="00FF7F0E" w:rsidP="00B40844">
      <w:pPr>
        <w:spacing w:after="0" w:line="240" w:lineRule="auto"/>
      </w:pPr>
      <w:r>
        <w:continuationSeparator/>
      </w:r>
    </w:p>
  </w:footnote>
  <w:footnote w:id="1">
    <w:p w:rsidR="009A2D54" w:rsidRPr="009A2D54" w:rsidRDefault="009A2D54" w:rsidP="009A2D54">
      <w:pPr>
        <w:pStyle w:val="FootnoteText"/>
        <w:jc w:val="both"/>
        <w:rPr>
          <w:rFonts w:ascii="Arial" w:hAnsi="Arial" w:cs="Arial"/>
        </w:rPr>
      </w:pPr>
      <w:r w:rsidRPr="009A2D54">
        <w:rPr>
          <w:rStyle w:val="FootnoteReference"/>
          <w:rFonts w:ascii="Arial" w:hAnsi="Arial" w:cs="Arial"/>
        </w:rPr>
        <w:footnoteRef/>
      </w:r>
      <w:r w:rsidRPr="009A2D54">
        <w:rPr>
          <w:rFonts w:ascii="Arial" w:hAnsi="Arial" w:cs="Arial"/>
        </w:rPr>
        <w:t xml:space="preserve"> </w:t>
      </w:r>
      <w:proofErr w:type="spellStart"/>
      <w:r w:rsidRPr="009A2D54">
        <w:rPr>
          <w:rFonts w:ascii="Arial" w:hAnsi="Arial" w:cs="Arial"/>
          <w:i/>
        </w:rPr>
        <w:t>Geomar</w:t>
      </w:r>
      <w:proofErr w:type="spellEnd"/>
      <w:r w:rsidRPr="009A2D54">
        <w:rPr>
          <w:rFonts w:ascii="Arial" w:hAnsi="Arial" w:cs="Arial"/>
          <w:i/>
        </w:rPr>
        <w:t xml:space="preserve"> Consult CC v China Harbour Engineering Company Ltd Namibia</w:t>
      </w:r>
      <w:r>
        <w:rPr>
          <w:rFonts w:ascii="Arial" w:hAnsi="Arial" w:cs="Arial"/>
        </w:rPr>
        <w:t xml:space="preserve"> [2021] NAHCMD 455 (5 October 2021) para 4.</w:t>
      </w:r>
    </w:p>
  </w:footnote>
  <w:footnote w:id="2">
    <w:p w:rsidR="00282DB5" w:rsidRPr="00CE15C7" w:rsidRDefault="00282DB5" w:rsidP="00CE15C7">
      <w:pPr>
        <w:pStyle w:val="FootnoteText"/>
        <w:jc w:val="both"/>
        <w:rPr>
          <w:rFonts w:ascii="Arial" w:hAnsi="Arial" w:cs="Arial"/>
        </w:rPr>
      </w:pPr>
      <w:r w:rsidRPr="00CE15C7">
        <w:rPr>
          <w:rStyle w:val="FootnoteReference"/>
          <w:rFonts w:ascii="Arial" w:hAnsi="Arial" w:cs="Arial"/>
        </w:rPr>
        <w:footnoteRef/>
      </w:r>
      <w:r w:rsidRPr="00CE15C7">
        <w:rPr>
          <w:rFonts w:ascii="Arial" w:hAnsi="Arial" w:cs="Arial"/>
        </w:rPr>
        <w:t xml:space="preserve"> </w:t>
      </w:r>
      <w:proofErr w:type="spellStart"/>
      <w:r w:rsidR="00CE15C7" w:rsidRPr="00CE15C7">
        <w:rPr>
          <w:rFonts w:ascii="Arial" w:hAnsi="Arial" w:cs="Arial"/>
          <w:i/>
        </w:rPr>
        <w:t>Geomar</w:t>
      </w:r>
      <w:proofErr w:type="spellEnd"/>
      <w:r w:rsidR="00CE15C7" w:rsidRPr="00CE15C7">
        <w:rPr>
          <w:rFonts w:ascii="Arial" w:hAnsi="Arial" w:cs="Arial"/>
          <w:i/>
        </w:rPr>
        <w:t xml:space="preserve"> Consult CC</w:t>
      </w:r>
      <w:r w:rsidR="00CE15C7">
        <w:rPr>
          <w:rFonts w:ascii="Arial" w:hAnsi="Arial" w:cs="Arial"/>
        </w:rPr>
        <w:t xml:space="preserve"> footnote 1 loc. cit., </w:t>
      </w:r>
      <w:proofErr w:type="spellStart"/>
      <w:r w:rsidR="00CE15C7" w:rsidRPr="00CE15C7">
        <w:rPr>
          <w:rFonts w:ascii="Arial" w:hAnsi="Arial" w:cs="Arial"/>
          <w:i/>
        </w:rPr>
        <w:t>Palastus</w:t>
      </w:r>
      <w:proofErr w:type="spellEnd"/>
      <w:r w:rsidR="00CE15C7" w:rsidRPr="00CE15C7">
        <w:rPr>
          <w:rFonts w:ascii="Arial" w:hAnsi="Arial" w:cs="Arial"/>
          <w:i/>
        </w:rPr>
        <w:t xml:space="preserve"> v </w:t>
      </w:r>
      <w:proofErr w:type="spellStart"/>
      <w:r w:rsidR="00CE15C7" w:rsidRPr="00CE15C7">
        <w:rPr>
          <w:rFonts w:ascii="Arial" w:hAnsi="Arial" w:cs="Arial"/>
          <w:i/>
        </w:rPr>
        <w:t>Palastus</w:t>
      </w:r>
      <w:proofErr w:type="spellEnd"/>
      <w:r w:rsidR="00CE15C7">
        <w:rPr>
          <w:rFonts w:ascii="Arial" w:hAnsi="Arial" w:cs="Arial"/>
        </w:rPr>
        <w:t xml:space="preserve"> [2015] NAHCNLD 29 (8 July 2015).</w:t>
      </w:r>
    </w:p>
  </w:footnote>
  <w:footnote w:id="3">
    <w:p w:rsidR="00742AB6" w:rsidRPr="00742AB6" w:rsidRDefault="00742AB6" w:rsidP="00742AB6">
      <w:pPr>
        <w:pStyle w:val="FootnoteText"/>
        <w:jc w:val="both"/>
        <w:rPr>
          <w:rFonts w:ascii="Arial" w:hAnsi="Arial" w:cs="Arial"/>
        </w:rPr>
      </w:pPr>
      <w:r w:rsidRPr="00742AB6">
        <w:rPr>
          <w:rStyle w:val="FootnoteReference"/>
          <w:rFonts w:ascii="Arial" w:hAnsi="Arial" w:cs="Arial"/>
        </w:rPr>
        <w:footnoteRef/>
      </w:r>
      <w:r w:rsidRPr="00742AB6">
        <w:rPr>
          <w:rFonts w:ascii="Arial" w:hAnsi="Arial" w:cs="Arial"/>
        </w:rPr>
        <w:t xml:space="preserve"> </w:t>
      </w:r>
      <w:proofErr w:type="spellStart"/>
      <w:r w:rsidRPr="00742AB6">
        <w:rPr>
          <w:rFonts w:ascii="Arial" w:hAnsi="Arial" w:cs="Arial"/>
          <w:i/>
        </w:rPr>
        <w:t>Geomar</w:t>
      </w:r>
      <w:proofErr w:type="spellEnd"/>
      <w:r w:rsidRPr="00742AB6">
        <w:rPr>
          <w:rFonts w:ascii="Arial" w:hAnsi="Arial" w:cs="Arial"/>
          <w:i/>
        </w:rPr>
        <w:t xml:space="preserve"> Consult CC</w:t>
      </w:r>
      <w:r>
        <w:rPr>
          <w:rFonts w:ascii="Arial" w:hAnsi="Arial" w:cs="Arial"/>
        </w:rPr>
        <w:t xml:space="preserve"> footnote 1 loc. cit.</w:t>
      </w:r>
    </w:p>
  </w:footnote>
  <w:footnote w:id="4">
    <w:p w:rsidR="00087C9A" w:rsidRPr="00087C9A" w:rsidRDefault="00087C9A" w:rsidP="00087C9A">
      <w:pPr>
        <w:pStyle w:val="FootnoteText"/>
        <w:jc w:val="both"/>
        <w:rPr>
          <w:rFonts w:ascii="Arial" w:hAnsi="Arial" w:cs="Arial"/>
        </w:rPr>
      </w:pPr>
      <w:r w:rsidRPr="00087C9A">
        <w:rPr>
          <w:rStyle w:val="FootnoteReference"/>
          <w:rFonts w:ascii="Arial" w:hAnsi="Arial" w:cs="Arial"/>
        </w:rPr>
        <w:footnoteRef/>
      </w:r>
      <w:r w:rsidRPr="00087C9A">
        <w:rPr>
          <w:rFonts w:ascii="Arial" w:hAnsi="Arial" w:cs="Arial"/>
        </w:rPr>
        <w:t xml:space="preserve"> </w:t>
      </w:r>
      <w:r>
        <w:rPr>
          <w:rFonts w:ascii="Arial" w:hAnsi="Arial" w:cs="Arial"/>
        </w:rPr>
        <w:t>Loc. cit.</w:t>
      </w:r>
    </w:p>
  </w:footnote>
  <w:footnote w:id="5">
    <w:p w:rsidR="006C37BD" w:rsidRPr="006C37BD" w:rsidRDefault="006C37BD" w:rsidP="006C37BD">
      <w:pPr>
        <w:pStyle w:val="FootnoteText"/>
        <w:jc w:val="both"/>
        <w:rPr>
          <w:rFonts w:ascii="Arial" w:hAnsi="Arial" w:cs="Arial"/>
        </w:rPr>
      </w:pPr>
      <w:r w:rsidRPr="006C37BD">
        <w:rPr>
          <w:rStyle w:val="FootnoteReference"/>
          <w:rFonts w:ascii="Arial" w:hAnsi="Arial" w:cs="Arial"/>
        </w:rPr>
        <w:footnoteRef/>
      </w:r>
      <w:r w:rsidRPr="006C37BD">
        <w:rPr>
          <w:rFonts w:ascii="Arial" w:hAnsi="Arial" w:cs="Arial"/>
        </w:rPr>
        <w:t xml:space="preserve"> </w:t>
      </w:r>
      <w:proofErr w:type="spellStart"/>
      <w:r w:rsidRPr="006C37BD">
        <w:rPr>
          <w:rFonts w:ascii="Arial" w:hAnsi="Arial" w:cs="Arial"/>
          <w:i/>
        </w:rPr>
        <w:t>Hayter</w:t>
      </w:r>
      <w:proofErr w:type="spellEnd"/>
      <w:r w:rsidRPr="006C37BD">
        <w:rPr>
          <w:rFonts w:ascii="Arial" w:hAnsi="Arial" w:cs="Arial"/>
          <w:i/>
        </w:rPr>
        <w:t xml:space="preserve"> v Ford</w:t>
      </w:r>
      <w:r>
        <w:rPr>
          <w:rFonts w:ascii="Arial" w:hAnsi="Arial" w:cs="Arial"/>
        </w:rPr>
        <w:t xml:space="preserve"> (1895) 10 EDC 61 at 69.</w:t>
      </w:r>
    </w:p>
  </w:footnote>
  <w:footnote w:id="6">
    <w:p w:rsidR="0035394D" w:rsidRPr="0035394D" w:rsidRDefault="0035394D" w:rsidP="0035394D">
      <w:pPr>
        <w:pStyle w:val="FootnoteText"/>
        <w:jc w:val="both"/>
        <w:rPr>
          <w:rFonts w:ascii="Arial" w:hAnsi="Arial" w:cs="Arial"/>
        </w:rPr>
      </w:pPr>
      <w:r w:rsidRPr="0035394D">
        <w:rPr>
          <w:rStyle w:val="FootnoteReference"/>
          <w:rFonts w:ascii="Arial" w:hAnsi="Arial" w:cs="Arial"/>
        </w:rPr>
        <w:footnoteRef/>
      </w:r>
      <w:r w:rsidRPr="0035394D">
        <w:rPr>
          <w:rFonts w:ascii="Arial" w:hAnsi="Arial" w:cs="Arial"/>
        </w:rPr>
        <w:t xml:space="preserve"> </w:t>
      </w:r>
      <w:r w:rsidRPr="0035394D">
        <w:rPr>
          <w:rFonts w:ascii="Arial" w:hAnsi="Arial" w:cs="Arial"/>
          <w:i/>
        </w:rPr>
        <w:t>Robinson v Randfontein Estates Gold Mining Co Ltd</w:t>
      </w:r>
      <w:r>
        <w:rPr>
          <w:rFonts w:ascii="Arial" w:hAnsi="Arial" w:cs="Arial"/>
        </w:rPr>
        <w:t xml:space="preserve"> 1921 AD 168.</w:t>
      </w:r>
    </w:p>
  </w:footnote>
  <w:footnote w:id="7">
    <w:p w:rsidR="0035394D" w:rsidRPr="0035394D" w:rsidRDefault="0035394D" w:rsidP="0035394D">
      <w:pPr>
        <w:pStyle w:val="FootnoteText"/>
        <w:jc w:val="both"/>
        <w:rPr>
          <w:rFonts w:ascii="Arial" w:hAnsi="Arial" w:cs="Arial"/>
        </w:rPr>
      </w:pPr>
      <w:r w:rsidRPr="0035394D">
        <w:rPr>
          <w:rStyle w:val="FootnoteReference"/>
          <w:rFonts w:ascii="Arial" w:hAnsi="Arial" w:cs="Arial"/>
        </w:rPr>
        <w:footnoteRef/>
      </w:r>
      <w:r w:rsidRPr="0035394D">
        <w:rPr>
          <w:rFonts w:ascii="Arial" w:hAnsi="Arial" w:cs="Arial"/>
        </w:rPr>
        <w:t xml:space="preserve"> </w:t>
      </w:r>
      <w:proofErr w:type="spellStart"/>
      <w:r w:rsidRPr="0035394D">
        <w:rPr>
          <w:rFonts w:ascii="Arial" w:hAnsi="Arial" w:cs="Arial"/>
          <w:i/>
        </w:rPr>
        <w:t>Hayter</w:t>
      </w:r>
      <w:proofErr w:type="spellEnd"/>
      <w:r w:rsidRPr="0035394D">
        <w:rPr>
          <w:rFonts w:ascii="Arial" w:hAnsi="Arial" w:cs="Arial"/>
          <w:i/>
        </w:rPr>
        <w:t xml:space="preserve"> v Ford</w:t>
      </w:r>
      <w:r>
        <w:rPr>
          <w:rFonts w:ascii="Arial" w:hAnsi="Arial" w:cs="Arial"/>
        </w:rPr>
        <w:t xml:space="preserve"> footnote 3 loc</w:t>
      </w:r>
      <w:r w:rsidR="0065500F">
        <w:rPr>
          <w:rFonts w:ascii="Arial" w:hAnsi="Arial" w:cs="Arial"/>
        </w:rPr>
        <w:t>.</w:t>
      </w:r>
      <w:r>
        <w:rPr>
          <w:rFonts w:ascii="Arial" w:hAnsi="Arial" w:cs="Arial"/>
        </w:rPr>
        <w:t xml:space="preserve"> cit.</w:t>
      </w:r>
    </w:p>
  </w:footnote>
  <w:footnote w:id="8">
    <w:p w:rsidR="0065500F" w:rsidRPr="0065500F" w:rsidRDefault="0065500F" w:rsidP="0065500F">
      <w:pPr>
        <w:pStyle w:val="FootnoteText"/>
        <w:jc w:val="both"/>
        <w:rPr>
          <w:rFonts w:ascii="Arial" w:hAnsi="Arial" w:cs="Arial"/>
        </w:rPr>
      </w:pPr>
      <w:r w:rsidRPr="0065500F">
        <w:rPr>
          <w:rStyle w:val="FootnoteReference"/>
          <w:rFonts w:ascii="Arial" w:hAnsi="Arial" w:cs="Arial"/>
        </w:rPr>
        <w:footnoteRef/>
      </w:r>
      <w:r w:rsidRPr="0065500F">
        <w:rPr>
          <w:rFonts w:ascii="Arial" w:hAnsi="Arial" w:cs="Arial"/>
        </w:rPr>
        <w:t xml:space="preserve"> </w:t>
      </w:r>
      <w:proofErr w:type="spellStart"/>
      <w:r w:rsidRPr="0065500F">
        <w:rPr>
          <w:rFonts w:ascii="Arial" w:hAnsi="Arial" w:cs="Arial"/>
          <w:i/>
        </w:rPr>
        <w:t>Geomar</w:t>
      </w:r>
      <w:proofErr w:type="spellEnd"/>
      <w:r w:rsidRPr="0065500F">
        <w:rPr>
          <w:rFonts w:ascii="Arial" w:hAnsi="Arial" w:cs="Arial"/>
          <w:i/>
        </w:rPr>
        <w:t xml:space="preserve"> Consult CC v China Harbour Engineering Company Ltd Namibia</w:t>
      </w:r>
      <w:r>
        <w:rPr>
          <w:rFonts w:ascii="Arial" w:hAnsi="Arial" w:cs="Arial"/>
        </w:rPr>
        <w:t xml:space="preserve"> footnote 1 loc. cit.</w:t>
      </w:r>
    </w:p>
  </w:footnote>
  <w:footnote w:id="9">
    <w:p w:rsidR="00944B22" w:rsidRPr="003F0DD3" w:rsidRDefault="00944B22" w:rsidP="00944B22">
      <w:pPr>
        <w:pStyle w:val="FootnoteText"/>
        <w:jc w:val="both"/>
        <w:rPr>
          <w:rFonts w:ascii="Arial" w:hAnsi="Arial" w:cs="Arial"/>
        </w:rPr>
      </w:pPr>
      <w:r w:rsidRPr="003F0DD3">
        <w:rPr>
          <w:rStyle w:val="FootnoteReference"/>
          <w:rFonts w:ascii="Arial" w:hAnsi="Arial" w:cs="Arial"/>
        </w:rPr>
        <w:footnoteRef/>
      </w:r>
      <w:r w:rsidRPr="003F0DD3">
        <w:rPr>
          <w:rFonts w:ascii="Arial" w:hAnsi="Arial" w:cs="Arial"/>
        </w:rPr>
        <w:t xml:space="preserve"> </w:t>
      </w:r>
      <w:proofErr w:type="spellStart"/>
      <w:r w:rsidRPr="003F0DD3">
        <w:rPr>
          <w:rFonts w:ascii="Arial" w:hAnsi="Arial" w:cs="Arial"/>
          <w:i/>
        </w:rPr>
        <w:t>Erongo</w:t>
      </w:r>
      <w:proofErr w:type="spellEnd"/>
      <w:r w:rsidRPr="003F0DD3">
        <w:rPr>
          <w:rFonts w:ascii="Arial" w:hAnsi="Arial" w:cs="Arial"/>
          <w:i/>
        </w:rPr>
        <w:t xml:space="preserve"> Regional Council and Others v </w:t>
      </w:r>
      <w:proofErr w:type="spellStart"/>
      <w:r w:rsidRPr="003F0DD3">
        <w:rPr>
          <w:rFonts w:ascii="Arial" w:hAnsi="Arial" w:cs="Arial"/>
          <w:i/>
        </w:rPr>
        <w:t>Wlotzkasbaken</w:t>
      </w:r>
      <w:proofErr w:type="spellEnd"/>
      <w:r w:rsidRPr="003F0DD3">
        <w:rPr>
          <w:rFonts w:ascii="Arial" w:hAnsi="Arial" w:cs="Arial"/>
          <w:i/>
        </w:rPr>
        <w:t xml:space="preserve"> Home Owners Association and Others</w:t>
      </w:r>
      <w:r w:rsidRPr="003F0DD3">
        <w:rPr>
          <w:rFonts w:ascii="Arial" w:hAnsi="Arial" w:cs="Arial"/>
        </w:rPr>
        <w:t>.</w:t>
      </w:r>
    </w:p>
  </w:footnote>
  <w:footnote w:id="10">
    <w:p w:rsidR="003F0DD3" w:rsidRPr="003F0DD3" w:rsidRDefault="003F0DD3" w:rsidP="003F0DD3">
      <w:pPr>
        <w:pStyle w:val="FootnoteText"/>
        <w:jc w:val="both"/>
        <w:rPr>
          <w:rFonts w:ascii="Arial" w:hAnsi="Arial" w:cs="Arial"/>
        </w:rPr>
      </w:pPr>
      <w:r w:rsidRPr="003F0DD3">
        <w:rPr>
          <w:rStyle w:val="FootnoteReference"/>
          <w:rFonts w:ascii="Arial" w:hAnsi="Arial" w:cs="Arial"/>
        </w:rPr>
        <w:footnoteRef/>
      </w:r>
      <w:r w:rsidRPr="003F0DD3">
        <w:rPr>
          <w:rFonts w:ascii="Arial" w:hAnsi="Arial" w:cs="Arial"/>
        </w:rPr>
        <w:t xml:space="preserve"> </w:t>
      </w:r>
      <w:proofErr w:type="gramStart"/>
      <w:r w:rsidRPr="003F0DD3">
        <w:rPr>
          <w:rFonts w:ascii="Arial" w:hAnsi="Arial" w:cs="Arial"/>
          <w:i/>
        </w:rPr>
        <w:t>A</w:t>
      </w:r>
      <w:proofErr w:type="gramEnd"/>
      <w:r w:rsidRPr="003F0DD3">
        <w:rPr>
          <w:rFonts w:ascii="Arial" w:hAnsi="Arial" w:cs="Arial"/>
          <w:i/>
        </w:rPr>
        <w:t xml:space="preserve"> N v P N</w:t>
      </w:r>
      <w:r w:rsidRPr="003F0DD3">
        <w:rPr>
          <w:rFonts w:ascii="Arial" w:hAnsi="Arial" w:cs="Arial"/>
        </w:rPr>
        <w:t xml:space="preserve"> [2017]</w:t>
      </w:r>
      <w:r>
        <w:rPr>
          <w:rFonts w:ascii="Arial" w:hAnsi="Arial" w:cs="Arial"/>
        </w:rPr>
        <w:t xml:space="preserve"> NAHCMD 275 (27 September 2017).</w:t>
      </w:r>
    </w:p>
  </w:footnote>
  <w:footnote w:id="11">
    <w:p w:rsidR="00014BC7" w:rsidRPr="003F0DD3" w:rsidRDefault="00014BC7" w:rsidP="00014BC7">
      <w:pPr>
        <w:pStyle w:val="FootnoteText"/>
        <w:jc w:val="both"/>
        <w:rPr>
          <w:rFonts w:ascii="Arial" w:hAnsi="Arial" w:cs="Arial"/>
        </w:rPr>
      </w:pPr>
      <w:r w:rsidRPr="003F0DD3">
        <w:rPr>
          <w:rStyle w:val="FootnoteReference"/>
          <w:rFonts w:ascii="Arial" w:hAnsi="Arial" w:cs="Arial"/>
        </w:rPr>
        <w:footnoteRef/>
      </w:r>
      <w:r w:rsidRPr="003F0DD3">
        <w:rPr>
          <w:rFonts w:ascii="Arial" w:hAnsi="Arial" w:cs="Arial"/>
        </w:rPr>
        <w:t xml:space="preserve"> </w:t>
      </w:r>
      <w:r w:rsidRPr="003F0DD3">
        <w:rPr>
          <w:rFonts w:ascii="Arial" w:hAnsi="Arial" w:cs="Arial"/>
          <w:i/>
        </w:rPr>
        <w:t>Kennedy v Minister of Safety and Security</w:t>
      </w:r>
      <w:r w:rsidRPr="003F0DD3">
        <w:rPr>
          <w:rFonts w:ascii="Arial" w:hAnsi="Arial" w:cs="Arial"/>
        </w:rPr>
        <w:t xml:space="preserve"> 2020 (3) NR 731 para 18.</w:t>
      </w:r>
    </w:p>
  </w:footnote>
  <w:footnote w:id="12">
    <w:p w:rsidR="00014BC7" w:rsidRPr="00014BC7" w:rsidRDefault="00014BC7" w:rsidP="00014BC7">
      <w:pPr>
        <w:pStyle w:val="FootnoteText"/>
        <w:jc w:val="both"/>
        <w:rPr>
          <w:rFonts w:ascii="Arial" w:hAnsi="Arial" w:cs="Arial"/>
        </w:rPr>
      </w:pPr>
      <w:r w:rsidRPr="00014BC7">
        <w:rPr>
          <w:rStyle w:val="FootnoteReference"/>
          <w:rFonts w:ascii="Arial" w:hAnsi="Arial" w:cs="Arial"/>
        </w:rPr>
        <w:footnoteRef/>
      </w:r>
      <w:r w:rsidRPr="00014BC7">
        <w:rPr>
          <w:rFonts w:ascii="Arial" w:hAnsi="Arial" w:cs="Arial"/>
        </w:rPr>
        <w:t xml:space="preserve"> </w:t>
      </w:r>
      <w:r>
        <w:rPr>
          <w:rFonts w:ascii="Arial" w:hAnsi="Arial" w:cs="Arial"/>
        </w:rPr>
        <w:t>Ibid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72449738"/>
      <w:docPartObj>
        <w:docPartGallery w:val="Page Numbers (Top of Page)"/>
        <w:docPartUnique/>
      </w:docPartObj>
    </w:sdtPr>
    <w:sdtEndPr>
      <w:rPr>
        <w:noProof/>
      </w:rPr>
    </w:sdtEndPr>
    <w:sdtContent>
      <w:p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CF21C0">
          <w:rPr>
            <w:rFonts w:ascii="Arial" w:hAnsi="Arial" w:cs="Arial"/>
            <w:noProof/>
            <w:sz w:val="24"/>
            <w:szCs w:val="24"/>
          </w:rPr>
          <w:t>7</w:t>
        </w:r>
        <w:r w:rsidRPr="00D84700">
          <w:rPr>
            <w:rFonts w:ascii="Arial" w:hAnsi="Arial" w:cs="Arial"/>
            <w:noProof/>
            <w:sz w:val="24"/>
            <w:szCs w:val="24"/>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4"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4BC7"/>
    <w:rsid w:val="00015808"/>
    <w:rsid w:val="00015DC1"/>
    <w:rsid w:val="00024F0E"/>
    <w:rsid w:val="000251A0"/>
    <w:rsid w:val="000302C5"/>
    <w:rsid w:val="000307BF"/>
    <w:rsid w:val="00030A66"/>
    <w:rsid w:val="00037DF6"/>
    <w:rsid w:val="00052806"/>
    <w:rsid w:val="00053646"/>
    <w:rsid w:val="00054121"/>
    <w:rsid w:val="00054476"/>
    <w:rsid w:val="00072DED"/>
    <w:rsid w:val="00083D1A"/>
    <w:rsid w:val="00087C9A"/>
    <w:rsid w:val="000929C5"/>
    <w:rsid w:val="000A5883"/>
    <w:rsid w:val="000A66B9"/>
    <w:rsid w:val="000A6E7F"/>
    <w:rsid w:val="000B631E"/>
    <w:rsid w:val="000C242C"/>
    <w:rsid w:val="000C65B1"/>
    <w:rsid w:val="000E5171"/>
    <w:rsid w:val="000F238E"/>
    <w:rsid w:val="000F39A3"/>
    <w:rsid w:val="000F681E"/>
    <w:rsid w:val="00115ABC"/>
    <w:rsid w:val="00116AFB"/>
    <w:rsid w:val="0011768F"/>
    <w:rsid w:val="001223B7"/>
    <w:rsid w:val="00124C63"/>
    <w:rsid w:val="0012642A"/>
    <w:rsid w:val="00127391"/>
    <w:rsid w:val="00152FEA"/>
    <w:rsid w:val="00153C0E"/>
    <w:rsid w:val="00175DB1"/>
    <w:rsid w:val="0018718C"/>
    <w:rsid w:val="00194D09"/>
    <w:rsid w:val="001A4504"/>
    <w:rsid w:val="001B3825"/>
    <w:rsid w:val="001B494D"/>
    <w:rsid w:val="001D6E3B"/>
    <w:rsid w:val="001E097B"/>
    <w:rsid w:val="001E1B4A"/>
    <w:rsid w:val="001E1D33"/>
    <w:rsid w:val="001F7212"/>
    <w:rsid w:val="00200E53"/>
    <w:rsid w:val="00203716"/>
    <w:rsid w:val="00206B05"/>
    <w:rsid w:val="002124D3"/>
    <w:rsid w:val="0021762B"/>
    <w:rsid w:val="00217744"/>
    <w:rsid w:val="00217A1C"/>
    <w:rsid w:val="00224808"/>
    <w:rsid w:val="00225C54"/>
    <w:rsid w:val="00227247"/>
    <w:rsid w:val="002317B0"/>
    <w:rsid w:val="00231ABE"/>
    <w:rsid w:val="002338D0"/>
    <w:rsid w:val="0023549A"/>
    <w:rsid w:val="00236F6F"/>
    <w:rsid w:val="00241115"/>
    <w:rsid w:val="002411C1"/>
    <w:rsid w:val="002536EA"/>
    <w:rsid w:val="002547AC"/>
    <w:rsid w:val="002647A1"/>
    <w:rsid w:val="00276736"/>
    <w:rsid w:val="00282DB5"/>
    <w:rsid w:val="002836DF"/>
    <w:rsid w:val="002865F4"/>
    <w:rsid w:val="002A4AA3"/>
    <w:rsid w:val="002A5C0F"/>
    <w:rsid w:val="002B38E0"/>
    <w:rsid w:val="002B397D"/>
    <w:rsid w:val="002B5BB9"/>
    <w:rsid w:val="002C1EF6"/>
    <w:rsid w:val="002D0359"/>
    <w:rsid w:val="002D20C5"/>
    <w:rsid w:val="002D6167"/>
    <w:rsid w:val="002E1151"/>
    <w:rsid w:val="002E123F"/>
    <w:rsid w:val="002E738E"/>
    <w:rsid w:val="002F0692"/>
    <w:rsid w:val="00307DB3"/>
    <w:rsid w:val="00312E51"/>
    <w:rsid w:val="0031523D"/>
    <w:rsid w:val="00322F39"/>
    <w:rsid w:val="00323AAF"/>
    <w:rsid w:val="00323E22"/>
    <w:rsid w:val="00325533"/>
    <w:rsid w:val="00340EA6"/>
    <w:rsid w:val="00346B7A"/>
    <w:rsid w:val="0035394D"/>
    <w:rsid w:val="00360DBA"/>
    <w:rsid w:val="00371B8F"/>
    <w:rsid w:val="003750B1"/>
    <w:rsid w:val="0038382D"/>
    <w:rsid w:val="00386207"/>
    <w:rsid w:val="00387B29"/>
    <w:rsid w:val="003917AF"/>
    <w:rsid w:val="003A06B6"/>
    <w:rsid w:val="003A18AD"/>
    <w:rsid w:val="003B09B0"/>
    <w:rsid w:val="003B0F1E"/>
    <w:rsid w:val="003C2574"/>
    <w:rsid w:val="003D165C"/>
    <w:rsid w:val="003D3059"/>
    <w:rsid w:val="003E01ED"/>
    <w:rsid w:val="003F0DD3"/>
    <w:rsid w:val="003F3D99"/>
    <w:rsid w:val="00404B70"/>
    <w:rsid w:val="00412278"/>
    <w:rsid w:val="004163B1"/>
    <w:rsid w:val="0041723B"/>
    <w:rsid w:val="00421B60"/>
    <w:rsid w:val="00422931"/>
    <w:rsid w:val="00426C60"/>
    <w:rsid w:val="00426F4B"/>
    <w:rsid w:val="00431A65"/>
    <w:rsid w:val="004352E5"/>
    <w:rsid w:val="004358E2"/>
    <w:rsid w:val="00436C2B"/>
    <w:rsid w:val="00440F37"/>
    <w:rsid w:val="00463486"/>
    <w:rsid w:val="004665B1"/>
    <w:rsid w:val="00466B36"/>
    <w:rsid w:val="00474C2A"/>
    <w:rsid w:val="00475B7A"/>
    <w:rsid w:val="00481A0D"/>
    <w:rsid w:val="0048441F"/>
    <w:rsid w:val="004907E4"/>
    <w:rsid w:val="004936A7"/>
    <w:rsid w:val="00493F46"/>
    <w:rsid w:val="004A2D48"/>
    <w:rsid w:val="004B2315"/>
    <w:rsid w:val="004B6C36"/>
    <w:rsid w:val="004C59BB"/>
    <w:rsid w:val="004C646F"/>
    <w:rsid w:val="004E2A2B"/>
    <w:rsid w:val="004E5347"/>
    <w:rsid w:val="004F27A8"/>
    <w:rsid w:val="004F4867"/>
    <w:rsid w:val="004F73A0"/>
    <w:rsid w:val="00501F59"/>
    <w:rsid w:val="00503F36"/>
    <w:rsid w:val="00505256"/>
    <w:rsid w:val="0052303D"/>
    <w:rsid w:val="005234D3"/>
    <w:rsid w:val="00535F29"/>
    <w:rsid w:val="00536EFF"/>
    <w:rsid w:val="005408B2"/>
    <w:rsid w:val="005629DA"/>
    <w:rsid w:val="005860DF"/>
    <w:rsid w:val="0059070D"/>
    <w:rsid w:val="00594F6C"/>
    <w:rsid w:val="005A49D3"/>
    <w:rsid w:val="005A4D90"/>
    <w:rsid w:val="005B6240"/>
    <w:rsid w:val="005B62A0"/>
    <w:rsid w:val="005C0E24"/>
    <w:rsid w:val="005C21D7"/>
    <w:rsid w:val="005C3354"/>
    <w:rsid w:val="005D0C1B"/>
    <w:rsid w:val="005D0C34"/>
    <w:rsid w:val="005D543C"/>
    <w:rsid w:val="005E066D"/>
    <w:rsid w:val="005E7FB4"/>
    <w:rsid w:val="005F325C"/>
    <w:rsid w:val="005F32EB"/>
    <w:rsid w:val="0060278E"/>
    <w:rsid w:val="00610BF1"/>
    <w:rsid w:val="006115E2"/>
    <w:rsid w:val="00622B72"/>
    <w:rsid w:val="00641331"/>
    <w:rsid w:val="00646C86"/>
    <w:rsid w:val="0065500F"/>
    <w:rsid w:val="006678D1"/>
    <w:rsid w:val="00672C76"/>
    <w:rsid w:val="00673DB5"/>
    <w:rsid w:val="00692361"/>
    <w:rsid w:val="00695745"/>
    <w:rsid w:val="006976D9"/>
    <w:rsid w:val="006979B3"/>
    <w:rsid w:val="006A0BA4"/>
    <w:rsid w:val="006A398D"/>
    <w:rsid w:val="006A3F29"/>
    <w:rsid w:val="006B5E01"/>
    <w:rsid w:val="006B7521"/>
    <w:rsid w:val="006C37BD"/>
    <w:rsid w:val="006D0991"/>
    <w:rsid w:val="006D264B"/>
    <w:rsid w:val="006D7450"/>
    <w:rsid w:val="006E0FD4"/>
    <w:rsid w:val="006E7FDA"/>
    <w:rsid w:val="007000BF"/>
    <w:rsid w:val="00702C62"/>
    <w:rsid w:val="00703171"/>
    <w:rsid w:val="00704B78"/>
    <w:rsid w:val="007054D2"/>
    <w:rsid w:val="00705A2C"/>
    <w:rsid w:val="00713CFF"/>
    <w:rsid w:val="00716E66"/>
    <w:rsid w:val="007242A2"/>
    <w:rsid w:val="00736DA4"/>
    <w:rsid w:val="00742AB6"/>
    <w:rsid w:val="00746C0C"/>
    <w:rsid w:val="00766C68"/>
    <w:rsid w:val="007752C8"/>
    <w:rsid w:val="0078274D"/>
    <w:rsid w:val="007853D8"/>
    <w:rsid w:val="00786525"/>
    <w:rsid w:val="007947F2"/>
    <w:rsid w:val="007950C8"/>
    <w:rsid w:val="007A30F6"/>
    <w:rsid w:val="007A69B7"/>
    <w:rsid w:val="007C34C0"/>
    <w:rsid w:val="007D0765"/>
    <w:rsid w:val="007D0792"/>
    <w:rsid w:val="007D6C74"/>
    <w:rsid w:val="007D7388"/>
    <w:rsid w:val="007E0387"/>
    <w:rsid w:val="007E5F04"/>
    <w:rsid w:val="007F1CA7"/>
    <w:rsid w:val="007F68C4"/>
    <w:rsid w:val="008006A3"/>
    <w:rsid w:val="00800856"/>
    <w:rsid w:val="0080541A"/>
    <w:rsid w:val="00812409"/>
    <w:rsid w:val="00812772"/>
    <w:rsid w:val="00813E24"/>
    <w:rsid w:val="00816D42"/>
    <w:rsid w:val="00816D5D"/>
    <w:rsid w:val="00821A0C"/>
    <w:rsid w:val="008275AC"/>
    <w:rsid w:val="00833B9D"/>
    <w:rsid w:val="00835300"/>
    <w:rsid w:val="0084724D"/>
    <w:rsid w:val="00881BC9"/>
    <w:rsid w:val="00881FF2"/>
    <w:rsid w:val="00882F73"/>
    <w:rsid w:val="00883004"/>
    <w:rsid w:val="00886BD5"/>
    <w:rsid w:val="00890A20"/>
    <w:rsid w:val="00892D9A"/>
    <w:rsid w:val="00895C5D"/>
    <w:rsid w:val="008A1447"/>
    <w:rsid w:val="008A21E1"/>
    <w:rsid w:val="008B244F"/>
    <w:rsid w:val="008B4C24"/>
    <w:rsid w:val="008B4F50"/>
    <w:rsid w:val="008B5600"/>
    <w:rsid w:val="008C2200"/>
    <w:rsid w:val="008C7C2D"/>
    <w:rsid w:val="008D4A1F"/>
    <w:rsid w:val="008E0730"/>
    <w:rsid w:val="008E6175"/>
    <w:rsid w:val="008F59A0"/>
    <w:rsid w:val="009018D4"/>
    <w:rsid w:val="00905359"/>
    <w:rsid w:val="009279BE"/>
    <w:rsid w:val="00932509"/>
    <w:rsid w:val="00937C89"/>
    <w:rsid w:val="00944B22"/>
    <w:rsid w:val="00945E92"/>
    <w:rsid w:val="009464D6"/>
    <w:rsid w:val="00956B2A"/>
    <w:rsid w:val="0097039F"/>
    <w:rsid w:val="009719BD"/>
    <w:rsid w:val="009733A9"/>
    <w:rsid w:val="00980C82"/>
    <w:rsid w:val="009919F6"/>
    <w:rsid w:val="00992E0B"/>
    <w:rsid w:val="00997C11"/>
    <w:rsid w:val="009A2D54"/>
    <w:rsid w:val="009A7A59"/>
    <w:rsid w:val="009C1846"/>
    <w:rsid w:val="009C35C9"/>
    <w:rsid w:val="009C516F"/>
    <w:rsid w:val="009C6F3F"/>
    <w:rsid w:val="009D1768"/>
    <w:rsid w:val="009D27E8"/>
    <w:rsid w:val="009D73D7"/>
    <w:rsid w:val="009E2D5E"/>
    <w:rsid w:val="009F1C92"/>
    <w:rsid w:val="009F773F"/>
    <w:rsid w:val="00A10E40"/>
    <w:rsid w:val="00A13B88"/>
    <w:rsid w:val="00A15CD1"/>
    <w:rsid w:val="00A22E0F"/>
    <w:rsid w:val="00A26B7B"/>
    <w:rsid w:val="00A2772D"/>
    <w:rsid w:val="00A3327E"/>
    <w:rsid w:val="00A34ECF"/>
    <w:rsid w:val="00A50F13"/>
    <w:rsid w:val="00A51D45"/>
    <w:rsid w:val="00A5520F"/>
    <w:rsid w:val="00A66511"/>
    <w:rsid w:val="00A6703B"/>
    <w:rsid w:val="00A75ED6"/>
    <w:rsid w:val="00A81112"/>
    <w:rsid w:val="00A87A60"/>
    <w:rsid w:val="00A97D01"/>
    <w:rsid w:val="00AA3ECB"/>
    <w:rsid w:val="00AA6017"/>
    <w:rsid w:val="00AB08C4"/>
    <w:rsid w:val="00AC43A2"/>
    <w:rsid w:val="00AD0B66"/>
    <w:rsid w:val="00AD1CEC"/>
    <w:rsid w:val="00AD6E6A"/>
    <w:rsid w:val="00AD72DD"/>
    <w:rsid w:val="00AE0F2B"/>
    <w:rsid w:val="00AE57BB"/>
    <w:rsid w:val="00B01B6C"/>
    <w:rsid w:val="00B05A08"/>
    <w:rsid w:val="00B11A47"/>
    <w:rsid w:val="00B121EA"/>
    <w:rsid w:val="00B16601"/>
    <w:rsid w:val="00B16A04"/>
    <w:rsid w:val="00B40844"/>
    <w:rsid w:val="00B433BD"/>
    <w:rsid w:val="00B46BB5"/>
    <w:rsid w:val="00B47800"/>
    <w:rsid w:val="00B5067C"/>
    <w:rsid w:val="00B50C99"/>
    <w:rsid w:val="00B50D73"/>
    <w:rsid w:val="00B56457"/>
    <w:rsid w:val="00B56E34"/>
    <w:rsid w:val="00B5737E"/>
    <w:rsid w:val="00B61AC7"/>
    <w:rsid w:val="00B661B7"/>
    <w:rsid w:val="00B74BBB"/>
    <w:rsid w:val="00B75ACC"/>
    <w:rsid w:val="00B75CCB"/>
    <w:rsid w:val="00B76C1F"/>
    <w:rsid w:val="00B808CB"/>
    <w:rsid w:val="00B845CF"/>
    <w:rsid w:val="00B90DA5"/>
    <w:rsid w:val="00B92DE7"/>
    <w:rsid w:val="00B9407E"/>
    <w:rsid w:val="00BB13F4"/>
    <w:rsid w:val="00BB2B54"/>
    <w:rsid w:val="00BB3273"/>
    <w:rsid w:val="00BC5931"/>
    <w:rsid w:val="00BE31AD"/>
    <w:rsid w:val="00C02E2D"/>
    <w:rsid w:val="00C033C2"/>
    <w:rsid w:val="00C04F28"/>
    <w:rsid w:val="00C066B6"/>
    <w:rsid w:val="00C06EB4"/>
    <w:rsid w:val="00C2633E"/>
    <w:rsid w:val="00C327A6"/>
    <w:rsid w:val="00C4587F"/>
    <w:rsid w:val="00C504FC"/>
    <w:rsid w:val="00C54752"/>
    <w:rsid w:val="00C71A4D"/>
    <w:rsid w:val="00C73D5D"/>
    <w:rsid w:val="00C82B7B"/>
    <w:rsid w:val="00C837FE"/>
    <w:rsid w:val="00C97B0A"/>
    <w:rsid w:val="00CA7995"/>
    <w:rsid w:val="00CA7AA0"/>
    <w:rsid w:val="00CB3530"/>
    <w:rsid w:val="00CB72A6"/>
    <w:rsid w:val="00CC3220"/>
    <w:rsid w:val="00CC5308"/>
    <w:rsid w:val="00CC57E3"/>
    <w:rsid w:val="00CC7431"/>
    <w:rsid w:val="00CD605F"/>
    <w:rsid w:val="00CD62C0"/>
    <w:rsid w:val="00CE000F"/>
    <w:rsid w:val="00CE15C7"/>
    <w:rsid w:val="00CE6B2D"/>
    <w:rsid w:val="00CF21C0"/>
    <w:rsid w:val="00D034F4"/>
    <w:rsid w:val="00D113DD"/>
    <w:rsid w:val="00D15FF5"/>
    <w:rsid w:val="00D24453"/>
    <w:rsid w:val="00D25285"/>
    <w:rsid w:val="00D30D4D"/>
    <w:rsid w:val="00D37DAA"/>
    <w:rsid w:val="00D5070E"/>
    <w:rsid w:val="00D52F48"/>
    <w:rsid w:val="00D547B6"/>
    <w:rsid w:val="00D562F3"/>
    <w:rsid w:val="00D6224D"/>
    <w:rsid w:val="00D70B13"/>
    <w:rsid w:val="00D803A8"/>
    <w:rsid w:val="00D80947"/>
    <w:rsid w:val="00D84700"/>
    <w:rsid w:val="00D95D76"/>
    <w:rsid w:val="00D960EA"/>
    <w:rsid w:val="00DB3B82"/>
    <w:rsid w:val="00DB5AA2"/>
    <w:rsid w:val="00DC12E7"/>
    <w:rsid w:val="00DC6D53"/>
    <w:rsid w:val="00DD2A57"/>
    <w:rsid w:val="00DD76E7"/>
    <w:rsid w:val="00DE2167"/>
    <w:rsid w:val="00DE4AB1"/>
    <w:rsid w:val="00DE6BDE"/>
    <w:rsid w:val="00DE6D49"/>
    <w:rsid w:val="00DE70B5"/>
    <w:rsid w:val="00DF7C91"/>
    <w:rsid w:val="00E01FD9"/>
    <w:rsid w:val="00E0573A"/>
    <w:rsid w:val="00E21198"/>
    <w:rsid w:val="00E221FD"/>
    <w:rsid w:val="00E31721"/>
    <w:rsid w:val="00E320A7"/>
    <w:rsid w:val="00E41BA4"/>
    <w:rsid w:val="00E41BE5"/>
    <w:rsid w:val="00E42E88"/>
    <w:rsid w:val="00E533BE"/>
    <w:rsid w:val="00E62DB3"/>
    <w:rsid w:val="00E71E94"/>
    <w:rsid w:val="00E7426D"/>
    <w:rsid w:val="00E8184C"/>
    <w:rsid w:val="00E8438C"/>
    <w:rsid w:val="00E85DF8"/>
    <w:rsid w:val="00E96F9E"/>
    <w:rsid w:val="00EA2DE2"/>
    <w:rsid w:val="00EB1AE0"/>
    <w:rsid w:val="00EC796F"/>
    <w:rsid w:val="00ED49EE"/>
    <w:rsid w:val="00ED5B76"/>
    <w:rsid w:val="00ED6C6C"/>
    <w:rsid w:val="00ED7008"/>
    <w:rsid w:val="00ED76B2"/>
    <w:rsid w:val="00EE2D11"/>
    <w:rsid w:val="00EF184A"/>
    <w:rsid w:val="00EF2FFD"/>
    <w:rsid w:val="00EF39B5"/>
    <w:rsid w:val="00F0235A"/>
    <w:rsid w:val="00F05272"/>
    <w:rsid w:val="00F05CAB"/>
    <w:rsid w:val="00F0783D"/>
    <w:rsid w:val="00F1221A"/>
    <w:rsid w:val="00F17C62"/>
    <w:rsid w:val="00F2551F"/>
    <w:rsid w:val="00F31BD5"/>
    <w:rsid w:val="00F36245"/>
    <w:rsid w:val="00F6380D"/>
    <w:rsid w:val="00F639A4"/>
    <w:rsid w:val="00F65529"/>
    <w:rsid w:val="00F65903"/>
    <w:rsid w:val="00F65D03"/>
    <w:rsid w:val="00F72231"/>
    <w:rsid w:val="00F75046"/>
    <w:rsid w:val="00F7691A"/>
    <w:rsid w:val="00F77081"/>
    <w:rsid w:val="00F82EDF"/>
    <w:rsid w:val="00F87F98"/>
    <w:rsid w:val="00F92D04"/>
    <w:rsid w:val="00F9321A"/>
    <w:rsid w:val="00F938EC"/>
    <w:rsid w:val="00FA208F"/>
    <w:rsid w:val="00FA2278"/>
    <w:rsid w:val="00FB2295"/>
    <w:rsid w:val="00FB2E9E"/>
    <w:rsid w:val="00FB5F14"/>
    <w:rsid w:val="00FC0D5F"/>
    <w:rsid w:val="00FC2237"/>
    <w:rsid w:val="00FC6F2E"/>
    <w:rsid w:val="00FD14A0"/>
    <w:rsid w:val="00FD1B5F"/>
    <w:rsid w:val="00FD68B7"/>
    <w:rsid w:val="00FE0905"/>
    <w:rsid w:val="00FF36AD"/>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2024-03-12T18:30:00+00:00</Judgment_x0020_Date>
    <Year xmlns="c1afb1bd-f2fb-40fd-9abb-aea55b4d7662">2024</Year>
  </documentManagement>
</p:properties>
</file>

<file path=customXml/itemProps1.xml><?xml version="1.0" encoding="utf-8"?>
<ds:datastoreItem xmlns:ds="http://schemas.openxmlformats.org/officeDocument/2006/customXml" ds:itemID="{9483C5B9-1C3E-4EF2-AEBF-FFF97EEDD05B}"/>
</file>

<file path=customXml/itemProps2.xml><?xml version="1.0" encoding="utf-8"?>
<ds:datastoreItem xmlns:ds="http://schemas.openxmlformats.org/officeDocument/2006/customXml" ds:itemID="{115AB502-1395-4A15-9319-6E5A8469A11D}"/>
</file>

<file path=customXml/itemProps3.xml><?xml version="1.0" encoding="utf-8"?>
<ds:datastoreItem xmlns:ds="http://schemas.openxmlformats.org/officeDocument/2006/customXml" ds:itemID="{32555488-4733-477B-A76B-6FF0C1B1CA9E}"/>
</file>

<file path=customXml/itemProps4.xml><?xml version="1.0" encoding="utf-8"?>
<ds:datastoreItem xmlns:ds="http://schemas.openxmlformats.org/officeDocument/2006/customXml" ds:itemID="{90676CC8-ED40-4844-884B-918F894CD976}"/>
</file>

<file path=docProps/app.xml><?xml version="1.0" encoding="utf-8"?>
<Properties xmlns="http://schemas.openxmlformats.org/officeDocument/2006/extended-properties" xmlns:vt="http://schemas.openxmlformats.org/officeDocument/2006/docPropsVTypes">
  <Template>Normal</Template>
  <TotalTime>365</TotalTime>
  <Pages>8</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K Investment CC v Union Tiles Windhoek (Pty) Ltd (HC-MD-CIV-ACT-CON-2019-04266) [2024] NAHCMD 110 (13 March 2024)</dc:title>
  <dc:subject/>
  <dc:creator>shomany keister</dc:creator>
  <cp:keywords/>
  <dc:description/>
  <cp:lastModifiedBy>Elisia Simon</cp:lastModifiedBy>
  <cp:revision>59</cp:revision>
  <cp:lastPrinted>2024-03-13T10:23:00Z</cp:lastPrinted>
  <dcterms:created xsi:type="dcterms:W3CDTF">2024-02-16T07:42:00Z</dcterms:created>
  <dcterms:modified xsi:type="dcterms:W3CDTF">2024-03-14T12:42:00Z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