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DC4FB5" w:rsidP="00AB48E0">
      <w:pPr>
        <w:pStyle w:val="Title"/>
      </w:pPr>
      <w:r w:rsidRPr="006E026B">
        <w:t xml:space="preserve">REPUBLIC </w:t>
      </w:r>
      <w:r w:rsidR="00B40844" w:rsidRPr="006E026B">
        <w:t>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080E56" w:rsidP="00AB48E0">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6A1BD0" w:rsidRDefault="00B40844" w:rsidP="00AB48E0">
      <w:pPr>
        <w:spacing w:after="0" w:line="360" w:lineRule="auto"/>
        <w:jc w:val="center"/>
        <w:rPr>
          <w:rFonts w:ascii="Arial" w:hAnsi="Arial" w:cs="Arial"/>
          <w:b/>
          <w:sz w:val="24"/>
          <w:szCs w:val="24"/>
        </w:rPr>
      </w:pPr>
    </w:p>
    <w:p w:rsidR="00B40844" w:rsidRPr="0093211F" w:rsidRDefault="008006A3" w:rsidP="00AB48E0">
      <w:pPr>
        <w:pStyle w:val="Heading3"/>
        <w:rPr>
          <w:rFonts w:eastAsiaTheme="minorHAnsi"/>
          <w:lang w:val="en-ZA"/>
        </w:rPr>
      </w:pPr>
      <w:r w:rsidRPr="0093211F">
        <w:rPr>
          <w:rFonts w:eastAsiaTheme="minorHAnsi"/>
          <w:lang w:val="en-ZA"/>
        </w:rPr>
        <w:t>RULING</w:t>
      </w:r>
    </w:p>
    <w:p w:rsidR="0093211F" w:rsidRDefault="0093211F" w:rsidP="00AB48E0">
      <w:pPr>
        <w:spacing w:after="0" w:line="276" w:lineRule="auto"/>
        <w:jc w:val="center"/>
        <w:rPr>
          <w:rFonts w:ascii="Arial" w:hAnsi="Arial" w:cs="Arial"/>
          <w:b/>
          <w:sz w:val="24"/>
          <w:szCs w:val="24"/>
        </w:rPr>
      </w:pPr>
    </w:p>
    <w:p w:rsidR="00002E9A" w:rsidRDefault="00002E9A" w:rsidP="00AB48E0">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B40844" w:rsidP="00341C0F">
            <w:pPr>
              <w:tabs>
                <w:tab w:val="left" w:pos="3564"/>
                <w:tab w:val="left" w:pos="3706"/>
                <w:tab w:val="left" w:pos="4273"/>
              </w:tabs>
              <w:spacing w:line="360" w:lineRule="auto"/>
              <w:jc w:val="both"/>
              <w:rPr>
                <w:rFonts w:ascii="Arial" w:hAnsi="Arial" w:cs="Arial"/>
                <w:sz w:val="24"/>
                <w:szCs w:val="24"/>
              </w:rPr>
            </w:pPr>
          </w:p>
          <w:p w:rsidR="00002E9A" w:rsidRDefault="006B1D5C" w:rsidP="00C43F4A">
            <w:pPr>
              <w:spacing w:line="360" w:lineRule="auto"/>
              <w:rPr>
                <w:rFonts w:ascii="Arial" w:hAnsi="Arial" w:cs="Arial"/>
                <w:sz w:val="24"/>
                <w:szCs w:val="24"/>
              </w:rPr>
            </w:pPr>
            <w:r>
              <w:rPr>
                <w:rFonts w:ascii="Arial" w:hAnsi="Arial" w:cs="Arial"/>
                <w:sz w:val="24"/>
                <w:szCs w:val="24"/>
              </w:rPr>
              <w:t>STANDARD BANK NAMIBIA LTD</w:t>
            </w:r>
            <w:r w:rsidR="00C43F4A">
              <w:rPr>
                <w:rFonts w:ascii="Arial" w:hAnsi="Arial" w:cs="Arial"/>
                <w:sz w:val="24"/>
                <w:szCs w:val="24"/>
              </w:rPr>
              <w:t xml:space="preserve">     </w:t>
            </w:r>
            <w:r>
              <w:rPr>
                <w:rFonts w:ascii="Arial" w:eastAsia="Times New Roman" w:hAnsi="Arial" w:cs="Arial"/>
                <w:sz w:val="24"/>
                <w:szCs w:val="24"/>
              </w:rPr>
              <w:t xml:space="preserve">               </w:t>
            </w:r>
            <w:r w:rsidR="00C43F4A">
              <w:rPr>
                <w:rFonts w:ascii="Arial" w:eastAsia="Times New Roman" w:hAnsi="Arial" w:cs="Arial"/>
                <w:sz w:val="24"/>
                <w:szCs w:val="24"/>
              </w:rPr>
              <w:t xml:space="preserve">PLAINTIFF      </w:t>
            </w:r>
            <w:r w:rsidR="00965C26">
              <w:rPr>
                <w:rFonts w:ascii="Arial" w:eastAsia="Times New Roman" w:hAnsi="Arial" w:cs="Arial"/>
                <w:sz w:val="24"/>
                <w:szCs w:val="24"/>
              </w:rPr>
              <w:t xml:space="preserve">              </w:t>
            </w:r>
            <w:r w:rsidR="00380DB3">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965C26">
              <w:rPr>
                <w:rFonts w:ascii="Arial" w:hAnsi="Arial" w:cs="Arial"/>
                <w:sz w:val="24"/>
                <w:szCs w:val="24"/>
              </w:rPr>
              <w:t xml:space="preserve"> </w:t>
            </w:r>
          </w:p>
          <w:p w:rsidR="009F24BF" w:rsidRDefault="009F24BF" w:rsidP="00002E9A">
            <w:pPr>
              <w:spacing w:line="360" w:lineRule="auto"/>
              <w:jc w:val="both"/>
              <w:rPr>
                <w:rFonts w:ascii="Arial" w:hAnsi="Arial" w:cs="Arial"/>
                <w:sz w:val="24"/>
                <w:szCs w:val="24"/>
              </w:rPr>
            </w:pPr>
          </w:p>
          <w:p w:rsidR="00002E9A" w:rsidRDefault="0071022A" w:rsidP="00002E9A">
            <w:pPr>
              <w:spacing w:line="360" w:lineRule="auto"/>
              <w:jc w:val="both"/>
              <w:rPr>
                <w:rFonts w:ascii="Arial" w:hAnsi="Arial" w:cs="Arial"/>
                <w:sz w:val="24"/>
                <w:szCs w:val="24"/>
              </w:rPr>
            </w:pPr>
            <w:r>
              <w:rPr>
                <w:rFonts w:ascii="Arial" w:hAnsi="Arial" w:cs="Arial"/>
                <w:sz w:val="24"/>
                <w:szCs w:val="24"/>
              </w:rPr>
              <w:t>and</w:t>
            </w:r>
          </w:p>
          <w:p w:rsidR="00002E9A" w:rsidRDefault="00002E9A" w:rsidP="00002E9A">
            <w:pPr>
              <w:spacing w:line="360" w:lineRule="auto"/>
              <w:jc w:val="both"/>
              <w:rPr>
                <w:rFonts w:ascii="Arial" w:hAnsi="Arial" w:cs="Arial"/>
                <w:sz w:val="24"/>
                <w:szCs w:val="24"/>
              </w:rPr>
            </w:pPr>
          </w:p>
          <w:p w:rsidR="00080E56" w:rsidRDefault="006B1D5C" w:rsidP="00965C26">
            <w:pPr>
              <w:spacing w:line="360" w:lineRule="auto"/>
              <w:rPr>
                <w:rFonts w:ascii="Arial" w:eastAsia="Times New Roman" w:hAnsi="Arial" w:cs="Arial"/>
                <w:sz w:val="24"/>
                <w:szCs w:val="24"/>
              </w:rPr>
            </w:pPr>
            <w:r>
              <w:rPr>
                <w:rFonts w:ascii="Arial" w:eastAsia="Times New Roman" w:hAnsi="Arial" w:cs="Arial"/>
                <w:sz w:val="24"/>
                <w:szCs w:val="24"/>
              </w:rPr>
              <w:t>FARAI HANSEN MUKUMBA</w:t>
            </w:r>
            <w:r w:rsidR="00C43F4A">
              <w:rPr>
                <w:rFonts w:ascii="Arial" w:eastAsia="Times New Roman" w:hAnsi="Arial" w:cs="Arial"/>
                <w:sz w:val="24"/>
                <w:szCs w:val="24"/>
              </w:rPr>
              <w:t xml:space="preserve">                </w:t>
            </w:r>
            <w:r>
              <w:rPr>
                <w:rFonts w:ascii="Arial" w:eastAsia="Times New Roman" w:hAnsi="Arial" w:cs="Arial"/>
                <w:sz w:val="24"/>
                <w:szCs w:val="24"/>
              </w:rPr>
              <w:t xml:space="preserve">        </w:t>
            </w:r>
            <w:r w:rsidR="00C43F4A">
              <w:rPr>
                <w:rFonts w:ascii="Arial" w:eastAsia="Times New Roman" w:hAnsi="Arial" w:cs="Arial"/>
                <w:sz w:val="24"/>
                <w:szCs w:val="24"/>
              </w:rPr>
              <w:t>DEFENDANT</w:t>
            </w:r>
          </w:p>
          <w:p w:rsidR="00002E9A" w:rsidRPr="00002E9A" w:rsidRDefault="00002E9A" w:rsidP="00965C26">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93211F" w:rsidRPr="0093211F" w:rsidRDefault="006B1D5C" w:rsidP="00965C26">
            <w:pPr>
              <w:spacing w:line="360" w:lineRule="auto"/>
              <w:jc w:val="both"/>
              <w:rPr>
                <w:rFonts w:ascii="Arial" w:hAnsi="Arial" w:cs="Arial"/>
                <w:sz w:val="24"/>
                <w:szCs w:val="24"/>
                <w:shd w:val="clear" w:color="auto" w:fill="FFFFFF"/>
              </w:rPr>
            </w:pPr>
            <w:r w:rsidRPr="006B1D5C">
              <w:rPr>
                <w:rFonts w:ascii="Arial" w:hAnsi="Arial" w:cs="Arial"/>
                <w:sz w:val="24"/>
                <w:szCs w:val="24"/>
                <w:shd w:val="clear" w:color="auto" w:fill="FFFFFF"/>
              </w:rPr>
              <w:t>HC-MD-CIV-ACT-CON-2022/00623</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8C30FD" w:rsidP="00C2633E">
            <w:pPr>
              <w:spacing w:line="360" w:lineRule="auto"/>
              <w:jc w:val="both"/>
              <w:rPr>
                <w:rFonts w:ascii="Arial" w:hAnsi="Arial" w:cs="Arial"/>
                <w:sz w:val="24"/>
                <w:szCs w:val="24"/>
              </w:rPr>
            </w:pPr>
            <w:r w:rsidRPr="00650951">
              <w:rPr>
                <w:rFonts w:ascii="Arial" w:hAnsi="Arial" w:cs="Arial"/>
                <w:sz w:val="24"/>
                <w:szCs w:val="24"/>
                <w:lang w:val="en-US"/>
              </w:rPr>
              <w:t>15</w:t>
            </w:r>
            <w:r w:rsidR="00A76107" w:rsidRPr="00E40ABB">
              <w:rPr>
                <w:rFonts w:ascii="Arial" w:hAnsi="Arial" w:cs="Arial"/>
                <w:sz w:val="24"/>
                <w:szCs w:val="24"/>
                <w:lang w:val="en-US"/>
              </w:rPr>
              <w:t xml:space="preserve"> March 2024</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6B1D5C" w:rsidP="00C2633E">
            <w:pPr>
              <w:spacing w:line="360" w:lineRule="auto"/>
              <w:jc w:val="both"/>
              <w:rPr>
                <w:rFonts w:ascii="Arial" w:hAnsi="Arial" w:cs="Arial"/>
                <w:b/>
                <w:sz w:val="24"/>
                <w:szCs w:val="24"/>
              </w:rPr>
            </w:pPr>
            <w:r>
              <w:rPr>
                <w:rFonts w:ascii="Arial" w:hAnsi="Arial" w:cs="Arial"/>
                <w:sz w:val="24"/>
                <w:szCs w:val="24"/>
                <w:lang w:val="en-US"/>
              </w:rPr>
              <w:t>12</w:t>
            </w:r>
            <w:r w:rsidR="00965C26">
              <w:rPr>
                <w:rFonts w:ascii="Arial" w:hAnsi="Arial" w:cs="Arial"/>
                <w:sz w:val="24"/>
                <w:szCs w:val="24"/>
                <w:lang w:val="en-US"/>
              </w:rPr>
              <w:t xml:space="preserve"> April</w:t>
            </w:r>
            <w:r w:rsidR="009F24BF">
              <w:rPr>
                <w:rFonts w:ascii="Arial" w:hAnsi="Arial" w:cs="Arial"/>
                <w:sz w:val="24"/>
                <w:szCs w:val="24"/>
                <w:lang w:val="en-US"/>
              </w:rPr>
              <w:t xml:space="preserve"> </w:t>
            </w:r>
            <w:r w:rsidR="00080E56">
              <w:rPr>
                <w:rFonts w:ascii="Arial" w:hAnsi="Arial" w:cs="Arial"/>
                <w:sz w:val="24"/>
                <w:szCs w:val="24"/>
                <w:lang w:val="en-US"/>
              </w:rPr>
              <w:t>2024</w:t>
            </w:r>
          </w:p>
        </w:tc>
      </w:tr>
      <w:tr w:rsidR="00CA7995" w:rsidRPr="00CA7995" w:rsidTr="00002E9A">
        <w:trPr>
          <w:trHeight w:val="876"/>
        </w:trPr>
        <w:tc>
          <w:tcPr>
            <w:tcW w:w="10476" w:type="dxa"/>
            <w:gridSpan w:val="3"/>
          </w:tcPr>
          <w:p w:rsidR="00965C26" w:rsidRDefault="00B40844" w:rsidP="00965C26">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6B1D5C">
              <w:rPr>
                <w:rFonts w:ascii="Arial" w:eastAsia="Times New Roman" w:hAnsi="Arial" w:cs="Arial"/>
                <w:i/>
                <w:sz w:val="24"/>
                <w:szCs w:val="24"/>
              </w:rPr>
              <w:t>Standard Bank Namibia Ltd v Mukumba</w:t>
            </w:r>
            <w:r w:rsidR="00C43F4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6B1D5C" w:rsidRPr="006B1D5C">
              <w:rPr>
                <w:rFonts w:ascii="Arial" w:eastAsia="Times New Roman" w:hAnsi="Arial" w:cs="Arial"/>
                <w:sz w:val="24"/>
                <w:szCs w:val="24"/>
              </w:rPr>
              <w:t>HC-MD-CIV-ACT-CON-2022/00623</w:t>
            </w:r>
            <w:r w:rsidR="00002E9A">
              <w:rPr>
                <w:rFonts w:ascii="Arial" w:hAnsi="Arial" w:cs="Arial"/>
                <w:sz w:val="24"/>
                <w:szCs w:val="24"/>
              </w:rPr>
              <w:t xml:space="preserve">) </w:t>
            </w:r>
          </w:p>
          <w:p w:rsidR="00B40844" w:rsidRPr="00CA7995" w:rsidRDefault="00965C26" w:rsidP="00AB48E0">
            <w:pPr>
              <w:spacing w:line="360" w:lineRule="auto"/>
              <w:jc w:val="both"/>
              <w:rPr>
                <w:rFonts w:ascii="Arial" w:hAnsi="Arial" w:cs="Arial"/>
                <w:sz w:val="24"/>
                <w:szCs w:val="24"/>
              </w:rPr>
            </w:pPr>
            <w:r>
              <w:rPr>
                <w:rFonts w:ascii="Arial" w:hAnsi="Arial" w:cs="Arial"/>
                <w:sz w:val="24"/>
                <w:szCs w:val="24"/>
              </w:rPr>
              <w:t xml:space="preserve">                            </w:t>
            </w:r>
            <w:r w:rsidR="00002E9A">
              <w:rPr>
                <w:rFonts w:ascii="Arial" w:hAnsi="Arial" w:cs="Arial"/>
                <w:sz w:val="24"/>
                <w:szCs w:val="24"/>
              </w:rPr>
              <w:t>[</w:t>
            </w:r>
            <w:r w:rsidR="00002E9A" w:rsidRPr="00FE3661">
              <w:rPr>
                <w:rFonts w:ascii="Arial" w:hAnsi="Arial" w:cs="Arial"/>
                <w:sz w:val="24"/>
                <w:szCs w:val="24"/>
              </w:rPr>
              <w:t>202</w:t>
            </w:r>
            <w:r w:rsidR="00080E56">
              <w:rPr>
                <w:rFonts w:ascii="Arial" w:hAnsi="Arial" w:cs="Arial"/>
                <w:sz w:val="24"/>
                <w:szCs w:val="24"/>
              </w:rPr>
              <w:t>4</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236FFD">
              <w:rPr>
                <w:rFonts w:ascii="Arial" w:hAnsi="Arial" w:cs="Arial"/>
                <w:sz w:val="24"/>
                <w:szCs w:val="24"/>
              </w:rPr>
              <w:t xml:space="preserve">NAHCMD </w:t>
            </w:r>
            <w:r w:rsidR="00AB48E0">
              <w:rPr>
                <w:rFonts w:ascii="Arial" w:hAnsi="Arial" w:cs="Arial"/>
                <w:sz w:val="24"/>
                <w:szCs w:val="24"/>
              </w:rPr>
              <w:t xml:space="preserve">168 </w:t>
            </w:r>
            <w:r w:rsidR="00080E56" w:rsidRPr="00236FFD">
              <w:rPr>
                <w:rFonts w:ascii="Arial" w:hAnsi="Arial" w:cs="Arial"/>
                <w:sz w:val="24"/>
                <w:szCs w:val="24"/>
              </w:rPr>
              <w:t>(</w:t>
            </w:r>
            <w:r w:rsidR="006B1D5C">
              <w:rPr>
                <w:rFonts w:ascii="Arial" w:hAnsi="Arial" w:cs="Arial"/>
                <w:sz w:val="24"/>
                <w:szCs w:val="24"/>
              </w:rPr>
              <w:t xml:space="preserve">12 </w:t>
            </w:r>
            <w:r>
              <w:rPr>
                <w:rFonts w:ascii="Arial" w:hAnsi="Arial" w:cs="Arial"/>
                <w:sz w:val="24"/>
                <w:szCs w:val="24"/>
              </w:rPr>
              <w:t>April</w:t>
            </w:r>
            <w:r w:rsidR="009F24BF">
              <w:rPr>
                <w:rFonts w:ascii="Arial" w:hAnsi="Arial" w:cs="Arial"/>
                <w:sz w:val="24"/>
                <w:szCs w:val="24"/>
              </w:rPr>
              <w:t xml:space="preserve"> </w:t>
            </w:r>
            <w:r w:rsidR="00080E56">
              <w:rPr>
                <w:rFonts w:ascii="Arial" w:hAnsi="Arial" w:cs="Arial"/>
                <w:sz w:val="24"/>
                <w:szCs w:val="24"/>
              </w:rPr>
              <w:t>2024</w:t>
            </w:r>
            <w:r w:rsidR="00002E9A">
              <w:rPr>
                <w:rFonts w:ascii="Arial" w:hAnsi="Arial" w:cs="Arial"/>
                <w:sz w:val="24"/>
                <w:szCs w:val="24"/>
              </w:rPr>
              <w:t>)</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1D24AC" w:rsidRPr="001D24AC" w:rsidRDefault="006916C9" w:rsidP="001D24AC">
            <w:pPr>
              <w:pStyle w:val="NormalWeb"/>
              <w:shd w:val="clear" w:color="auto" w:fill="FFFFFF"/>
              <w:spacing w:after="0" w:line="360" w:lineRule="auto"/>
              <w:jc w:val="both"/>
              <w:rPr>
                <w:rFonts w:ascii="Arial" w:hAnsi="Arial" w:cs="Arial"/>
              </w:rPr>
            </w:pPr>
            <w:r>
              <w:rPr>
                <w:rFonts w:ascii="Arial" w:hAnsi="Arial" w:cs="Arial"/>
              </w:rPr>
              <w:t>1.</w:t>
            </w:r>
            <w:r w:rsidRPr="006916C9">
              <w:rPr>
                <w:rFonts w:ascii="Arial" w:hAnsi="Arial" w:cs="Arial"/>
              </w:rPr>
              <w:tab/>
            </w:r>
            <w:r w:rsidR="001D24AC" w:rsidRPr="001D24AC">
              <w:rPr>
                <w:rFonts w:ascii="Arial" w:hAnsi="Arial" w:cs="Arial"/>
              </w:rPr>
              <w:t xml:space="preserve">The immovable property known as </w:t>
            </w:r>
            <w:r w:rsidR="00650951" w:rsidRPr="00650951">
              <w:rPr>
                <w:rFonts w:ascii="Arial" w:hAnsi="Arial" w:cs="Arial"/>
              </w:rPr>
              <w:t>Erf No 1021, Osona Village (Extension No 3</w:t>
            </w:r>
            <w:r w:rsidR="001D24AC" w:rsidRPr="00650951">
              <w:rPr>
                <w:rFonts w:ascii="Arial" w:hAnsi="Arial" w:cs="Arial"/>
              </w:rPr>
              <w:t>),</w:t>
            </w:r>
            <w:r w:rsidR="00540509">
              <w:rPr>
                <w:rFonts w:ascii="Arial" w:hAnsi="Arial" w:cs="Arial"/>
              </w:rPr>
              <w:t xml:space="preserve"> </w:t>
            </w:r>
            <w:r w:rsidR="001D24AC" w:rsidRPr="001D24AC">
              <w:rPr>
                <w:rFonts w:ascii="Arial" w:hAnsi="Arial" w:cs="Arial"/>
              </w:rPr>
              <w:t xml:space="preserve">in the Municipality of Okahandja, Registration Division “J”, Otjozondjupa Region, and held by Deed of Transfer No. T 8958/2019, </w:t>
            </w:r>
            <w:r w:rsidR="008E746B" w:rsidRPr="00650951">
              <w:rPr>
                <w:rFonts w:ascii="Arial" w:hAnsi="Arial" w:cs="Arial"/>
              </w:rPr>
              <w:t>is</w:t>
            </w:r>
            <w:r w:rsidR="001D24AC" w:rsidRPr="00650951">
              <w:rPr>
                <w:rFonts w:ascii="Arial" w:hAnsi="Arial" w:cs="Arial"/>
              </w:rPr>
              <w:t xml:space="preserve"> declared specifically executab</w:t>
            </w:r>
            <w:r w:rsidR="008E746B" w:rsidRPr="00650951">
              <w:rPr>
                <w:rFonts w:ascii="Arial" w:hAnsi="Arial" w:cs="Arial"/>
              </w:rPr>
              <w:t xml:space="preserve">le as envisaged in </w:t>
            </w:r>
            <w:r w:rsidR="00AB48E0">
              <w:rPr>
                <w:rFonts w:ascii="Arial" w:hAnsi="Arial" w:cs="Arial"/>
              </w:rPr>
              <w:t>r</w:t>
            </w:r>
            <w:r w:rsidR="008E746B" w:rsidRPr="00650951">
              <w:rPr>
                <w:rFonts w:ascii="Arial" w:hAnsi="Arial" w:cs="Arial"/>
              </w:rPr>
              <w:t>ule 108 (1)</w:t>
            </w:r>
            <w:r w:rsidR="001D24AC" w:rsidRPr="00650951">
              <w:rPr>
                <w:rFonts w:ascii="Arial" w:hAnsi="Arial" w:cs="Arial"/>
              </w:rPr>
              <w:t>(</w:t>
            </w:r>
            <w:r w:rsidR="001D24AC" w:rsidRPr="00650951">
              <w:rPr>
                <w:rFonts w:ascii="Arial" w:hAnsi="Arial" w:cs="Arial"/>
                <w:i/>
              </w:rPr>
              <w:t>b</w:t>
            </w:r>
            <w:r w:rsidR="001D24AC" w:rsidRPr="00650951">
              <w:rPr>
                <w:rFonts w:ascii="Arial" w:hAnsi="Arial" w:cs="Arial"/>
              </w:rPr>
              <w:t>).</w:t>
            </w:r>
          </w:p>
          <w:p w:rsidR="001D24AC" w:rsidRPr="001D24AC" w:rsidRDefault="001D24AC" w:rsidP="001D24AC">
            <w:pPr>
              <w:pStyle w:val="NormalWeb"/>
              <w:shd w:val="clear" w:color="auto" w:fill="FFFFFF"/>
              <w:spacing w:after="0" w:line="360" w:lineRule="auto"/>
              <w:jc w:val="both"/>
              <w:rPr>
                <w:rFonts w:ascii="Arial" w:hAnsi="Arial" w:cs="Arial"/>
              </w:rPr>
            </w:pPr>
          </w:p>
          <w:p w:rsidR="001D24AC" w:rsidRDefault="001D24AC" w:rsidP="001D24AC">
            <w:pPr>
              <w:pStyle w:val="NormalWeb"/>
              <w:shd w:val="clear" w:color="auto" w:fill="FFFFFF"/>
              <w:spacing w:after="0" w:line="360" w:lineRule="auto"/>
              <w:jc w:val="both"/>
              <w:rPr>
                <w:rFonts w:ascii="Arial" w:hAnsi="Arial" w:cs="Arial"/>
              </w:rPr>
            </w:pPr>
            <w:r>
              <w:rPr>
                <w:rFonts w:ascii="Arial" w:hAnsi="Arial" w:cs="Arial"/>
              </w:rPr>
              <w:lastRenderedPageBreak/>
              <w:t>2.</w:t>
            </w:r>
            <w:r>
              <w:rPr>
                <w:rFonts w:ascii="Arial" w:hAnsi="Arial" w:cs="Arial"/>
              </w:rPr>
              <w:tab/>
            </w:r>
            <w:r w:rsidRPr="00650951">
              <w:rPr>
                <w:rFonts w:ascii="Arial" w:hAnsi="Arial" w:cs="Arial"/>
              </w:rPr>
              <w:t xml:space="preserve">The Defendant </w:t>
            </w:r>
            <w:r w:rsidR="008E746B" w:rsidRPr="00650951">
              <w:rPr>
                <w:rFonts w:ascii="Arial" w:hAnsi="Arial" w:cs="Arial"/>
              </w:rPr>
              <w:t xml:space="preserve">must </w:t>
            </w:r>
            <w:r w:rsidR="00972EAB" w:rsidRPr="00650951">
              <w:rPr>
                <w:rFonts w:ascii="Arial" w:hAnsi="Arial" w:cs="Arial"/>
              </w:rPr>
              <w:t>pay the costs of this a</w:t>
            </w:r>
            <w:r w:rsidRPr="00650951">
              <w:rPr>
                <w:rFonts w:ascii="Arial" w:hAnsi="Arial" w:cs="Arial"/>
              </w:rPr>
              <w:t>pplication on</w:t>
            </w:r>
            <w:r w:rsidRPr="001D24AC">
              <w:rPr>
                <w:rFonts w:ascii="Arial" w:hAnsi="Arial" w:cs="Arial"/>
              </w:rPr>
              <w:t xml:space="preserve"> an attorney and client scale.</w:t>
            </w:r>
          </w:p>
          <w:p w:rsidR="00B949DE" w:rsidRPr="00B47800" w:rsidRDefault="00824E4D" w:rsidP="00D65FAA">
            <w:pPr>
              <w:pStyle w:val="NormalWeb"/>
              <w:shd w:val="clear" w:color="auto" w:fill="FFFFFF"/>
              <w:spacing w:after="0" w:line="360" w:lineRule="auto"/>
              <w:jc w:val="both"/>
              <w:rPr>
                <w:rFonts w:ascii="Arial" w:hAnsi="Arial" w:cs="Arial"/>
              </w:rPr>
            </w:pPr>
            <w:r>
              <w:rPr>
                <w:rFonts w:ascii="Arial" w:hAnsi="Arial" w:cs="Arial"/>
              </w:rPr>
              <w:t>3.</w:t>
            </w:r>
            <w:r w:rsidRPr="00824E4D">
              <w:rPr>
                <w:rFonts w:ascii="Arial" w:hAnsi="Arial" w:cs="Arial"/>
              </w:rPr>
              <w:tab/>
            </w:r>
            <w:r w:rsidR="001D24AC">
              <w:rPr>
                <w:rFonts w:ascii="Arial" w:hAnsi="Arial" w:cs="Arial"/>
              </w:rPr>
              <w:t xml:space="preserve">The matter is finalised and removed from the roll. </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CA32E6" w:rsidRDefault="00CA32E6" w:rsidP="00ED76B2">
            <w:pPr>
              <w:spacing w:line="360" w:lineRule="auto"/>
              <w:jc w:val="both"/>
              <w:rPr>
                <w:rFonts w:ascii="Arial" w:hAnsi="Arial" w:cs="Arial"/>
                <w:sz w:val="24"/>
                <w:szCs w:val="24"/>
              </w:rPr>
            </w:pPr>
          </w:p>
          <w:p w:rsidR="00CA32E6" w:rsidRDefault="00CA32E6" w:rsidP="00AB48E0">
            <w:pPr>
              <w:pStyle w:val="BodyText"/>
              <w:tabs>
                <w:tab w:val="clear" w:pos="729"/>
              </w:tabs>
            </w:pPr>
            <w:r>
              <w:t>Prinsloo J:</w:t>
            </w:r>
          </w:p>
          <w:p w:rsidR="00AB48E0" w:rsidRPr="00EA2DE2" w:rsidRDefault="00AB48E0" w:rsidP="00ED76B2">
            <w:pPr>
              <w:spacing w:line="360" w:lineRule="auto"/>
              <w:jc w:val="both"/>
              <w:rPr>
                <w:rFonts w:ascii="Arial" w:hAnsi="Arial" w:cs="Arial"/>
                <w:sz w:val="24"/>
                <w:szCs w:val="24"/>
              </w:rPr>
            </w:pPr>
          </w:p>
          <w:p w:rsidR="00B40844"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AB48E0" w:rsidRDefault="00AB48E0" w:rsidP="00ED76B2">
            <w:pPr>
              <w:spacing w:line="360" w:lineRule="auto"/>
              <w:jc w:val="both"/>
              <w:rPr>
                <w:rFonts w:ascii="Arial" w:hAnsi="Arial" w:cs="Arial"/>
                <w:sz w:val="24"/>
                <w:szCs w:val="24"/>
                <w:u w:val="single"/>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w:t>
            </w:r>
            <w:r w:rsidRPr="001D24AC">
              <w:rPr>
                <w:rFonts w:ascii="Arial" w:hAnsi="Arial" w:cs="Arial"/>
                <w:sz w:val="24"/>
                <w:szCs w:val="24"/>
              </w:rPr>
              <w:tab/>
              <w:t>Serving before this court for determination is an application in terms of rule 108, in which the applicant seeks an order declaring the immovable property</w:t>
            </w:r>
            <w:r w:rsidR="008E746B">
              <w:rPr>
                <w:rFonts w:ascii="Arial" w:hAnsi="Arial" w:cs="Arial"/>
                <w:sz w:val="24"/>
                <w:szCs w:val="24"/>
              </w:rPr>
              <w:t xml:space="preserve"> of the respondent executable. T</w:t>
            </w:r>
            <w:r w:rsidRPr="001D24AC">
              <w:rPr>
                <w:rFonts w:ascii="Arial" w:hAnsi="Arial" w:cs="Arial"/>
                <w:sz w:val="24"/>
                <w:szCs w:val="24"/>
              </w:rPr>
              <w:t>he property in question is hypothecated in favour of the applicant by the registration of a first mortgage bond under bond number B 7738/2019.</w:t>
            </w:r>
          </w:p>
          <w:p w:rsidR="001D24AC" w:rsidRPr="001D24AC" w:rsidRDefault="001D24AC" w:rsidP="001D24AC">
            <w:pPr>
              <w:spacing w:line="360" w:lineRule="auto"/>
              <w:jc w:val="both"/>
              <w:rPr>
                <w:rFonts w:ascii="Arial" w:hAnsi="Arial" w:cs="Arial"/>
                <w:sz w:val="24"/>
                <w:szCs w:val="24"/>
              </w:rPr>
            </w:pPr>
          </w:p>
          <w:p w:rsidR="001D24AC" w:rsidRPr="001D24AC" w:rsidRDefault="00073F4D" w:rsidP="001D24A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applicant instituted </w:t>
            </w:r>
            <w:r w:rsidR="001D24AC" w:rsidRPr="001D24AC">
              <w:rPr>
                <w:rFonts w:ascii="Arial" w:hAnsi="Arial" w:cs="Arial"/>
                <w:sz w:val="24"/>
                <w:szCs w:val="24"/>
              </w:rPr>
              <w:t xml:space="preserve">action against the respondent on 16 February 2022 and obtained default judgment in </w:t>
            </w:r>
            <w:r w:rsidR="00AB48E0">
              <w:rPr>
                <w:rFonts w:ascii="Arial" w:hAnsi="Arial" w:cs="Arial"/>
                <w:sz w:val="24"/>
                <w:szCs w:val="24"/>
              </w:rPr>
              <w:t xml:space="preserve">its </w:t>
            </w:r>
            <w:r w:rsidR="001D24AC" w:rsidRPr="001D24AC">
              <w:rPr>
                <w:rFonts w:ascii="Arial" w:hAnsi="Arial" w:cs="Arial"/>
                <w:sz w:val="24"/>
                <w:szCs w:val="24"/>
              </w:rPr>
              <w:t>favour on 25 April 2022</w:t>
            </w:r>
            <w:r w:rsidR="00AB48E0">
              <w:rPr>
                <w:rFonts w:ascii="Arial" w:hAnsi="Arial" w:cs="Arial"/>
                <w:sz w:val="24"/>
                <w:szCs w:val="24"/>
              </w:rPr>
              <w:t>,</w:t>
            </w:r>
            <w:r w:rsidR="001D24AC" w:rsidRPr="001D24AC">
              <w:rPr>
                <w:rFonts w:ascii="Arial" w:hAnsi="Arial" w:cs="Arial"/>
                <w:sz w:val="24"/>
                <w:szCs w:val="24"/>
              </w:rPr>
              <w:t xml:space="preserve"> in the amount of N$926 427.09, </w:t>
            </w:r>
            <w:r w:rsidR="00C75C85" w:rsidRPr="00650951">
              <w:rPr>
                <w:rFonts w:ascii="Arial" w:hAnsi="Arial" w:cs="Arial"/>
                <w:sz w:val="24"/>
                <w:szCs w:val="24"/>
              </w:rPr>
              <w:t>together with</w:t>
            </w:r>
            <w:r w:rsidR="00C75C85">
              <w:rPr>
                <w:rFonts w:ascii="Arial" w:hAnsi="Arial" w:cs="Arial"/>
                <w:sz w:val="24"/>
                <w:szCs w:val="24"/>
              </w:rPr>
              <w:t xml:space="preserve"> </w:t>
            </w:r>
            <w:r w:rsidR="00824E4D">
              <w:rPr>
                <w:rFonts w:ascii="Arial" w:hAnsi="Arial" w:cs="Arial"/>
                <w:sz w:val="24"/>
                <w:szCs w:val="24"/>
              </w:rPr>
              <w:t xml:space="preserve">interest and costs.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[3]</w:t>
            </w:r>
            <w:r w:rsidRPr="001D24AC">
              <w:rPr>
                <w:rFonts w:ascii="Arial" w:hAnsi="Arial" w:cs="Arial"/>
                <w:sz w:val="24"/>
                <w:szCs w:val="24"/>
              </w:rPr>
              <w:tab/>
              <w:t>To date, this judgment remains unsatisfied. A writ of execution of movable property was issued on 9 May 2022</w:t>
            </w:r>
            <w:r w:rsidR="00AB48E0">
              <w:rPr>
                <w:rFonts w:ascii="Arial" w:hAnsi="Arial" w:cs="Arial"/>
                <w:sz w:val="24"/>
                <w:szCs w:val="24"/>
              </w:rPr>
              <w:t>. However</w:t>
            </w:r>
            <w:r w:rsidRPr="001D24AC">
              <w:rPr>
                <w:rFonts w:ascii="Arial" w:hAnsi="Arial" w:cs="Arial"/>
                <w:sz w:val="24"/>
                <w:szCs w:val="24"/>
              </w:rPr>
              <w:t>, a nulla bona was issued on 28 November 2022.</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[4]</w:t>
            </w:r>
            <w:r w:rsidRPr="001D24AC">
              <w:rPr>
                <w:rFonts w:ascii="Arial" w:hAnsi="Arial" w:cs="Arial"/>
                <w:sz w:val="24"/>
                <w:szCs w:val="24"/>
              </w:rPr>
              <w:tab/>
              <w:t>The property sought to be declared exec</w:t>
            </w:r>
            <w:r w:rsidR="00C75C85">
              <w:rPr>
                <w:rFonts w:ascii="Arial" w:hAnsi="Arial" w:cs="Arial"/>
                <w:sz w:val="24"/>
                <w:szCs w:val="24"/>
              </w:rPr>
              <w:t xml:space="preserve">utable is described </w:t>
            </w:r>
            <w:r w:rsidR="00C75C85" w:rsidRPr="00650951">
              <w:rPr>
                <w:rFonts w:ascii="Arial" w:hAnsi="Arial" w:cs="Arial"/>
                <w:sz w:val="24"/>
                <w:szCs w:val="24"/>
              </w:rPr>
              <w:t xml:space="preserve">as Erf no. </w:t>
            </w:r>
            <w:r w:rsidRPr="00650951">
              <w:rPr>
                <w:rFonts w:ascii="Arial" w:hAnsi="Arial" w:cs="Arial"/>
                <w:sz w:val="24"/>
                <w:szCs w:val="24"/>
              </w:rPr>
              <w:t>1021</w:t>
            </w:r>
            <w:r w:rsidRPr="001D24AC">
              <w:rPr>
                <w:rFonts w:ascii="Arial" w:hAnsi="Arial" w:cs="Arial"/>
                <w:sz w:val="24"/>
                <w:szCs w:val="24"/>
              </w:rPr>
              <w:t xml:space="preserve">, Osona Village (Extension No. 3) in the Municipality of Okahandja, Registration Division “J”, Otjizondjupa Region, Namibia, and held by Deed of Transfer No. T 8958/2019. The respondent opposed the application.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C75C85">
              <w:rPr>
                <w:rFonts w:ascii="Arial" w:hAnsi="Arial" w:cs="Arial"/>
                <w:sz w:val="24"/>
                <w:szCs w:val="24"/>
                <w:u w:val="single"/>
              </w:rPr>
              <w:t>The opposition and less drastic measures proposed</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[5]</w:t>
            </w:r>
            <w:r w:rsidRPr="001D24AC">
              <w:rPr>
                <w:rFonts w:ascii="Arial" w:hAnsi="Arial" w:cs="Arial"/>
                <w:sz w:val="24"/>
                <w:szCs w:val="24"/>
              </w:rPr>
              <w:tab/>
              <w:t xml:space="preserve">The respondent’s main opposition to the application is that the immovable property in question is his primary home. The respondent contended that he was unable to pay the instalments from June 2020 as a result of the </w:t>
            </w:r>
            <w:r w:rsidRPr="00650951">
              <w:rPr>
                <w:rFonts w:ascii="Arial" w:hAnsi="Arial" w:cs="Arial"/>
                <w:sz w:val="24"/>
                <w:szCs w:val="24"/>
              </w:rPr>
              <w:t xml:space="preserve">COVID </w:t>
            </w:r>
            <w:r w:rsidR="00C75C85" w:rsidRPr="00650951">
              <w:rPr>
                <w:rFonts w:ascii="Arial" w:hAnsi="Arial" w:cs="Arial"/>
                <w:sz w:val="24"/>
                <w:szCs w:val="24"/>
              </w:rPr>
              <w:t xml:space="preserve">19 </w:t>
            </w:r>
            <w:r w:rsidRPr="00650951">
              <w:rPr>
                <w:rFonts w:ascii="Arial" w:hAnsi="Arial" w:cs="Arial"/>
                <w:sz w:val="24"/>
                <w:szCs w:val="24"/>
              </w:rPr>
              <w:t>pandemic</w:t>
            </w:r>
            <w:r w:rsidRPr="001D24AC">
              <w:rPr>
                <w:rFonts w:ascii="Arial" w:hAnsi="Arial" w:cs="Arial"/>
                <w:sz w:val="24"/>
                <w:szCs w:val="24"/>
              </w:rPr>
              <w:t xml:space="preserve">, and the school where he is employed closed down.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[6]</w:t>
            </w:r>
            <w:r w:rsidRPr="001D24AC">
              <w:rPr>
                <w:rFonts w:ascii="Arial" w:hAnsi="Arial" w:cs="Arial"/>
                <w:sz w:val="24"/>
                <w:szCs w:val="24"/>
              </w:rPr>
              <w:tab/>
              <w:t xml:space="preserve">The respondent conceded that the current arrears are approximately N$220 344 but submitted that, given the opportunity, he would be able to settle the arrears together with his monthly bond payments. The respondent indicated that he requires 36 months to catch up with </w:t>
            </w:r>
            <w:r w:rsidRPr="001D24AC">
              <w:rPr>
                <w:rFonts w:ascii="Arial" w:hAnsi="Arial" w:cs="Arial"/>
                <w:sz w:val="24"/>
                <w:szCs w:val="24"/>
              </w:rPr>
              <w:lastRenderedPageBreak/>
              <w:t xml:space="preserve">the arrears. In the alternative, he is in the process of securing a buyer for the property, and if successful, he would be able to settle the mortgage bond.  </w:t>
            </w:r>
          </w:p>
          <w:p w:rsidR="001D24AC" w:rsidRPr="001D24AC" w:rsidRDefault="001D24AC" w:rsidP="001D24AC">
            <w:pPr>
              <w:spacing w:line="360" w:lineRule="auto"/>
              <w:jc w:val="both"/>
              <w:rPr>
                <w:rFonts w:ascii="Arial" w:hAnsi="Arial" w:cs="Arial"/>
                <w:sz w:val="24"/>
                <w:szCs w:val="24"/>
              </w:rPr>
            </w:pPr>
          </w:p>
          <w:p w:rsidR="001D24AC" w:rsidRPr="00C75C85" w:rsidRDefault="001D24AC" w:rsidP="001D24AC">
            <w:pPr>
              <w:spacing w:line="360" w:lineRule="auto"/>
              <w:jc w:val="both"/>
              <w:rPr>
                <w:rFonts w:ascii="Arial" w:hAnsi="Arial" w:cs="Arial"/>
                <w:sz w:val="24"/>
                <w:szCs w:val="24"/>
                <w:u w:val="single"/>
              </w:rPr>
            </w:pPr>
            <w:r w:rsidRPr="00C75C85">
              <w:rPr>
                <w:rFonts w:ascii="Arial" w:hAnsi="Arial" w:cs="Arial"/>
                <w:sz w:val="24"/>
                <w:szCs w:val="24"/>
                <w:u w:val="single"/>
              </w:rPr>
              <w:t>Argum</w:t>
            </w:r>
            <w:r w:rsidR="00C75C85">
              <w:rPr>
                <w:rFonts w:ascii="Arial" w:hAnsi="Arial" w:cs="Arial"/>
                <w:sz w:val="24"/>
                <w:szCs w:val="24"/>
                <w:u w:val="single"/>
              </w:rPr>
              <w:t>ents advanced</w:t>
            </w:r>
          </w:p>
          <w:p w:rsidR="001D24AC" w:rsidRPr="001D24AC" w:rsidRDefault="001D24AC" w:rsidP="001D24AC">
            <w:pPr>
              <w:spacing w:line="360" w:lineRule="auto"/>
              <w:jc w:val="both"/>
              <w:rPr>
                <w:rFonts w:ascii="Arial" w:hAnsi="Arial" w:cs="Arial"/>
                <w:sz w:val="24"/>
                <w:szCs w:val="24"/>
              </w:rPr>
            </w:pPr>
          </w:p>
          <w:p w:rsidR="001D24AC" w:rsidRPr="00C75C85" w:rsidRDefault="001D24AC" w:rsidP="001D24AC">
            <w:pPr>
              <w:spacing w:line="360" w:lineRule="auto"/>
              <w:jc w:val="both"/>
              <w:rPr>
                <w:rFonts w:ascii="Arial" w:hAnsi="Arial" w:cs="Arial"/>
                <w:i/>
                <w:sz w:val="24"/>
                <w:szCs w:val="24"/>
              </w:rPr>
            </w:pPr>
            <w:r w:rsidRPr="00C75C85">
              <w:rPr>
                <w:rFonts w:ascii="Arial" w:hAnsi="Arial" w:cs="Arial"/>
                <w:i/>
                <w:sz w:val="24"/>
                <w:szCs w:val="24"/>
              </w:rPr>
              <w:t>On behalf of the applicant</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[7]</w:t>
            </w:r>
            <w:r w:rsidRPr="001D24AC">
              <w:rPr>
                <w:rFonts w:ascii="Arial" w:hAnsi="Arial" w:cs="Arial"/>
                <w:sz w:val="24"/>
                <w:szCs w:val="24"/>
              </w:rPr>
              <w:tab/>
              <w:t xml:space="preserve">Mr Gaya strongly denied that the property in question is the respondent's primary home. In support of his contention, Mr Gaya referred the court to the return of service of the Deputy Sheriff dated 30 November 2022, in which he indicated that the dwelling was vacant.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[8]</w:t>
            </w:r>
            <w:r w:rsidRPr="001D24AC">
              <w:rPr>
                <w:rFonts w:ascii="Arial" w:hAnsi="Arial" w:cs="Arial"/>
                <w:sz w:val="24"/>
                <w:szCs w:val="24"/>
              </w:rPr>
              <w:tab/>
              <w:t xml:space="preserve">Mr Gaya emphasized that all the </w:t>
            </w:r>
            <w:r w:rsidRPr="00941656">
              <w:rPr>
                <w:rFonts w:ascii="Arial" w:hAnsi="Arial" w:cs="Arial"/>
                <w:sz w:val="24"/>
                <w:szCs w:val="24"/>
              </w:rPr>
              <w:t xml:space="preserve">procedures </w:t>
            </w:r>
            <w:r w:rsidR="006A1BD0" w:rsidRPr="00941656">
              <w:rPr>
                <w:rFonts w:ascii="Arial" w:hAnsi="Arial" w:cs="Arial"/>
                <w:sz w:val="24"/>
                <w:szCs w:val="24"/>
              </w:rPr>
              <w:t xml:space="preserve">relating </w:t>
            </w:r>
            <w:r w:rsidRPr="00941656">
              <w:rPr>
                <w:rFonts w:ascii="Arial" w:hAnsi="Arial" w:cs="Arial"/>
                <w:sz w:val="24"/>
                <w:szCs w:val="24"/>
              </w:rPr>
              <w:t>to the</w:t>
            </w:r>
            <w:r w:rsidRPr="001D24AC">
              <w:rPr>
                <w:rFonts w:ascii="Arial" w:hAnsi="Arial" w:cs="Arial"/>
                <w:sz w:val="24"/>
                <w:szCs w:val="24"/>
              </w:rPr>
              <w:t xml:space="preserve"> rule 108 proceedings were personally served on the respondent at Onethindi, Ondangwa District. The documents were served in the North because the respondent works as an administrator at a private school located in Onethindi, which is approximately 500 kilometres away from the property. Everything, therefore, points to Onethindi as the respondent’s primary home</w:t>
            </w:r>
            <w:r w:rsidR="00AB48E0">
              <w:rPr>
                <w:rFonts w:ascii="Arial" w:hAnsi="Arial" w:cs="Arial"/>
                <w:sz w:val="24"/>
                <w:szCs w:val="24"/>
              </w:rPr>
              <w:t>,</w:t>
            </w:r>
            <w:r w:rsidRPr="001D24AC">
              <w:rPr>
                <w:rFonts w:ascii="Arial" w:hAnsi="Arial" w:cs="Arial"/>
                <w:sz w:val="24"/>
                <w:szCs w:val="24"/>
              </w:rPr>
              <w:t xml:space="preserve"> and </w:t>
            </w:r>
            <w:r w:rsidR="00C75C85" w:rsidRPr="00650951">
              <w:rPr>
                <w:rFonts w:ascii="Arial" w:hAnsi="Arial" w:cs="Arial"/>
                <w:sz w:val="24"/>
                <w:szCs w:val="24"/>
              </w:rPr>
              <w:t>the property in Okahandja is not the respondent’s primary home.</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[9]</w:t>
            </w:r>
            <w:r w:rsidRPr="001D24AC">
              <w:rPr>
                <w:rFonts w:ascii="Arial" w:hAnsi="Arial" w:cs="Arial"/>
                <w:sz w:val="24"/>
                <w:szCs w:val="24"/>
              </w:rPr>
              <w:tab/>
              <w:t xml:space="preserve">On the issue of less drastic measures, Mr Gaya argued that the respondent’s payment history is inconsistent with the averment that his financial position </w:t>
            </w:r>
            <w:r w:rsidR="00C75C85" w:rsidRPr="00650951">
              <w:rPr>
                <w:rFonts w:ascii="Arial" w:hAnsi="Arial" w:cs="Arial"/>
                <w:sz w:val="24"/>
                <w:szCs w:val="24"/>
              </w:rPr>
              <w:t xml:space="preserve">has improved. </w:t>
            </w:r>
            <w:r w:rsidRPr="00650951">
              <w:rPr>
                <w:rFonts w:ascii="Arial" w:hAnsi="Arial" w:cs="Arial"/>
                <w:sz w:val="24"/>
                <w:szCs w:val="24"/>
              </w:rPr>
              <w:t>The respondent failed to present anything of substance to the court to convince the court that he would be able to comply with his regular bond payment obligation</w:t>
            </w:r>
            <w:r w:rsidR="00C75C85" w:rsidRPr="00650951">
              <w:rPr>
                <w:rFonts w:ascii="Arial" w:hAnsi="Arial" w:cs="Arial"/>
                <w:sz w:val="24"/>
                <w:szCs w:val="24"/>
              </w:rPr>
              <w:t>s</w:t>
            </w:r>
            <w:r w:rsidRPr="00650951">
              <w:rPr>
                <w:rFonts w:ascii="Arial" w:hAnsi="Arial" w:cs="Arial"/>
                <w:sz w:val="24"/>
                <w:szCs w:val="24"/>
              </w:rPr>
              <w:t xml:space="preserve"> and pay the arrears.</w:t>
            </w:r>
            <w:r w:rsidRPr="001D24AC">
              <w:rPr>
                <w:rFonts w:ascii="Arial" w:hAnsi="Arial" w:cs="Arial"/>
                <w:sz w:val="24"/>
                <w:szCs w:val="24"/>
              </w:rPr>
              <w:t xml:space="preserve">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[10]</w:t>
            </w:r>
            <w:r w:rsidRPr="001D24AC">
              <w:rPr>
                <w:rFonts w:ascii="Arial" w:hAnsi="Arial" w:cs="Arial"/>
                <w:sz w:val="24"/>
                <w:szCs w:val="24"/>
              </w:rPr>
              <w:tab/>
              <w:t xml:space="preserve">Mr Gaya advanced </w:t>
            </w:r>
            <w:r w:rsidR="00AB48E0">
              <w:rPr>
                <w:rFonts w:ascii="Arial" w:hAnsi="Arial" w:cs="Arial"/>
                <w:sz w:val="24"/>
                <w:szCs w:val="24"/>
              </w:rPr>
              <w:t xml:space="preserve">the </w:t>
            </w:r>
            <w:r w:rsidRPr="001D24AC">
              <w:rPr>
                <w:rFonts w:ascii="Arial" w:hAnsi="Arial" w:cs="Arial"/>
                <w:sz w:val="24"/>
                <w:szCs w:val="24"/>
              </w:rPr>
              <w:t xml:space="preserve">argument that the respondent did not make any submissions on his income and expenditure. As a result, the court cannot determine the feasibility of the proposed less drastic measures. Mr Gaya further contended that the less drastic measures should also be in the best interest of the Bank's commercial interests. </w:t>
            </w:r>
          </w:p>
          <w:p w:rsidR="001D24AC" w:rsidRPr="001D24AC" w:rsidRDefault="001D24AC" w:rsidP="001D24AC">
            <w:pPr>
              <w:spacing w:line="360" w:lineRule="auto"/>
              <w:jc w:val="both"/>
              <w:rPr>
                <w:rFonts w:ascii="Arial" w:hAnsi="Arial" w:cs="Arial"/>
                <w:sz w:val="24"/>
                <w:szCs w:val="24"/>
              </w:rPr>
            </w:pPr>
          </w:p>
          <w:p w:rsidR="001D24AC" w:rsidRPr="00C75C85" w:rsidRDefault="001D24AC" w:rsidP="001D24AC">
            <w:pPr>
              <w:spacing w:line="360" w:lineRule="auto"/>
              <w:jc w:val="both"/>
              <w:rPr>
                <w:rFonts w:ascii="Arial" w:hAnsi="Arial" w:cs="Arial"/>
                <w:i/>
                <w:sz w:val="24"/>
                <w:szCs w:val="24"/>
              </w:rPr>
            </w:pPr>
            <w:r w:rsidRPr="00C75C85">
              <w:rPr>
                <w:rFonts w:ascii="Arial" w:hAnsi="Arial" w:cs="Arial"/>
                <w:i/>
                <w:sz w:val="24"/>
                <w:szCs w:val="24"/>
              </w:rPr>
              <w:t>On behalf of the respondent</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[11]</w:t>
            </w:r>
            <w:r w:rsidRPr="001D24AC">
              <w:rPr>
                <w:rFonts w:ascii="Arial" w:hAnsi="Arial" w:cs="Arial"/>
                <w:sz w:val="24"/>
                <w:szCs w:val="24"/>
              </w:rPr>
              <w:tab/>
              <w:t xml:space="preserve">Mr Nanhapo argued that the court must distinguish between the respondent's primary home and his temporary residence at his place of employment. He contended that the applicant </w:t>
            </w:r>
            <w:r w:rsidR="00C75C85" w:rsidRPr="00650951">
              <w:rPr>
                <w:rFonts w:ascii="Arial" w:hAnsi="Arial" w:cs="Arial"/>
                <w:sz w:val="24"/>
                <w:szCs w:val="24"/>
              </w:rPr>
              <w:t xml:space="preserve">furnished </w:t>
            </w:r>
            <w:r w:rsidRPr="00650951">
              <w:rPr>
                <w:rFonts w:ascii="Arial" w:hAnsi="Arial" w:cs="Arial"/>
                <w:sz w:val="24"/>
                <w:szCs w:val="24"/>
              </w:rPr>
              <w:t>no evidence</w:t>
            </w:r>
            <w:r w:rsidRPr="001D24AC">
              <w:rPr>
                <w:rFonts w:ascii="Arial" w:hAnsi="Arial" w:cs="Arial"/>
                <w:sz w:val="24"/>
                <w:szCs w:val="24"/>
              </w:rPr>
              <w:t xml:space="preserve"> that the Okahandja property is not the respondent’s primary home. He submitted that the court cannot find that this property is not the respondent's primary home on the </w:t>
            </w:r>
            <w:r w:rsidRPr="001D24AC">
              <w:rPr>
                <w:rFonts w:ascii="Arial" w:hAnsi="Arial" w:cs="Arial"/>
                <w:sz w:val="24"/>
                <w:szCs w:val="24"/>
              </w:rPr>
              <w:lastRenderedPageBreak/>
              <w:t xml:space="preserve">basis of the Deputy Sheriff’s return of service. The Deputy Sheriff visited the property once, but that does not mean that the property has been vacant to this day.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[12]</w:t>
            </w:r>
            <w:r w:rsidRPr="001D24AC">
              <w:rPr>
                <w:rFonts w:ascii="Arial" w:hAnsi="Arial" w:cs="Arial"/>
                <w:sz w:val="24"/>
                <w:szCs w:val="24"/>
              </w:rPr>
              <w:tab/>
              <w:t xml:space="preserve">According to counsel, the respondent is employed at Onethindi, but he does not own property there or elsewhere, apart from the Okahandja house.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[13]</w:t>
            </w:r>
            <w:r w:rsidRPr="001D24AC">
              <w:rPr>
                <w:rFonts w:ascii="Arial" w:hAnsi="Arial" w:cs="Arial"/>
                <w:sz w:val="24"/>
                <w:szCs w:val="24"/>
              </w:rPr>
              <w:tab/>
              <w:t xml:space="preserve">Mr Nanhapo argued that the Namibian economy had been severely impacted by the COVID-19 pandemic, causing financial hardship for many individuals and families. However, despite these challenges, the respondent is committed to making payments towards his mortgage bond. While acknowledging that the payments have been inconsistent, </w:t>
            </w:r>
            <w:r w:rsidR="00C75C85">
              <w:rPr>
                <w:rFonts w:ascii="Arial" w:hAnsi="Arial" w:cs="Arial"/>
                <w:sz w:val="24"/>
                <w:szCs w:val="24"/>
              </w:rPr>
              <w:t>Mr</w:t>
            </w:r>
            <w:r w:rsidRPr="001D24AC">
              <w:rPr>
                <w:rFonts w:ascii="Arial" w:hAnsi="Arial" w:cs="Arial"/>
                <w:sz w:val="24"/>
                <w:szCs w:val="24"/>
              </w:rPr>
              <w:t xml:space="preserve"> Nanhapo emphasized that the delays were not intentional </w:t>
            </w:r>
            <w:r w:rsidRPr="00650951">
              <w:rPr>
                <w:rFonts w:ascii="Arial" w:hAnsi="Arial" w:cs="Arial"/>
                <w:sz w:val="24"/>
                <w:szCs w:val="24"/>
              </w:rPr>
              <w:t xml:space="preserve">or </w:t>
            </w:r>
            <w:r w:rsidR="00C75C85" w:rsidRPr="00650951">
              <w:rPr>
                <w:rFonts w:ascii="Arial" w:hAnsi="Arial" w:cs="Arial"/>
                <w:sz w:val="24"/>
                <w:szCs w:val="24"/>
              </w:rPr>
              <w:t>wilful</w:t>
            </w:r>
            <w:r w:rsidRPr="00650951">
              <w:rPr>
                <w:rFonts w:ascii="Arial" w:hAnsi="Arial" w:cs="Arial"/>
                <w:sz w:val="24"/>
                <w:szCs w:val="24"/>
              </w:rPr>
              <w:t>.</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[14]</w:t>
            </w:r>
            <w:r w:rsidRPr="001D24AC">
              <w:rPr>
                <w:rFonts w:ascii="Arial" w:hAnsi="Arial" w:cs="Arial"/>
                <w:sz w:val="24"/>
                <w:szCs w:val="24"/>
              </w:rPr>
              <w:tab/>
              <w:t xml:space="preserve">Counsel argued that the mortgage bond spans over 20 years, and the respondent was only in his sixth year of payment towards the bond. Therefore, if the respondent is allowed to repay the arrears in 36 months together with his monthly payments, he will pay off the bond within the agreed period of 20 years. Alternatively, if the respondent is allowed to sell the house, he will be able to sell the house at approximately 85% of the house value, which would be a win-win for both parties.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[15]</w:t>
            </w:r>
            <w:r w:rsidRPr="001D24AC">
              <w:rPr>
                <w:rFonts w:ascii="Arial" w:hAnsi="Arial" w:cs="Arial"/>
                <w:sz w:val="24"/>
                <w:szCs w:val="24"/>
              </w:rPr>
              <w:tab/>
              <w:t xml:space="preserve">Mr Nanahapo contended there are thus less drastic measures available which are viable and which would not defeat the commercial interest of the Bank. However, should the </w:t>
            </w:r>
            <w:r w:rsidR="00AB48E0">
              <w:rPr>
                <w:rFonts w:ascii="Arial" w:hAnsi="Arial" w:cs="Arial"/>
                <w:sz w:val="24"/>
                <w:szCs w:val="24"/>
              </w:rPr>
              <w:t>c</w:t>
            </w:r>
            <w:r w:rsidRPr="001D24AC">
              <w:rPr>
                <w:rFonts w:ascii="Arial" w:hAnsi="Arial" w:cs="Arial"/>
                <w:sz w:val="24"/>
                <w:szCs w:val="24"/>
              </w:rPr>
              <w:t>ourt grant the order sought</w:t>
            </w:r>
            <w:r w:rsidR="00AB48E0">
              <w:rPr>
                <w:rFonts w:ascii="Arial" w:hAnsi="Arial" w:cs="Arial"/>
                <w:sz w:val="24"/>
                <w:szCs w:val="24"/>
              </w:rPr>
              <w:t>,</w:t>
            </w:r>
            <w:r w:rsidRPr="001D24AC">
              <w:rPr>
                <w:rFonts w:ascii="Arial" w:hAnsi="Arial" w:cs="Arial"/>
                <w:sz w:val="24"/>
                <w:szCs w:val="24"/>
              </w:rPr>
              <w:t xml:space="preserve"> it would leave the </w:t>
            </w:r>
            <w:r w:rsidR="00AB48E0">
              <w:rPr>
                <w:rFonts w:ascii="Arial" w:hAnsi="Arial" w:cs="Arial"/>
                <w:sz w:val="24"/>
                <w:szCs w:val="24"/>
              </w:rPr>
              <w:t>respondent</w:t>
            </w:r>
            <w:r w:rsidRPr="001D24AC">
              <w:rPr>
                <w:rFonts w:ascii="Arial" w:hAnsi="Arial" w:cs="Arial"/>
                <w:sz w:val="24"/>
                <w:szCs w:val="24"/>
              </w:rPr>
              <w:t xml:space="preserve"> and his family homeless.</w:t>
            </w:r>
          </w:p>
          <w:p w:rsidR="001D24AC" w:rsidRPr="001D24AC" w:rsidRDefault="001D24AC" w:rsidP="001D24AC">
            <w:pPr>
              <w:spacing w:line="360" w:lineRule="auto"/>
              <w:jc w:val="both"/>
              <w:rPr>
                <w:rFonts w:ascii="Arial" w:hAnsi="Arial" w:cs="Arial"/>
                <w:sz w:val="24"/>
                <w:szCs w:val="24"/>
              </w:rPr>
            </w:pPr>
          </w:p>
          <w:p w:rsidR="001D24AC" w:rsidRPr="00C75C85" w:rsidRDefault="001D24AC" w:rsidP="001D24AC">
            <w:pPr>
              <w:spacing w:line="360" w:lineRule="auto"/>
              <w:jc w:val="both"/>
              <w:rPr>
                <w:rFonts w:ascii="Arial" w:hAnsi="Arial" w:cs="Arial"/>
                <w:sz w:val="24"/>
                <w:szCs w:val="24"/>
                <w:u w:val="single"/>
              </w:rPr>
            </w:pPr>
            <w:r w:rsidRPr="00C75C85">
              <w:rPr>
                <w:rFonts w:ascii="Arial" w:hAnsi="Arial" w:cs="Arial"/>
                <w:sz w:val="24"/>
                <w:szCs w:val="24"/>
                <w:u w:val="single"/>
              </w:rPr>
              <w:t>Legal principles and the application thereof</w:t>
            </w:r>
          </w:p>
          <w:p w:rsidR="001D24AC" w:rsidRPr="001D24AC" w:rsidRDefault="001D24AC" w:rsidP="001D24AC">
            <w:pPr>
              <w:spacing w:line="360" w:lineRule="auto"/>
              <w:jc w:val="both"/>
              <w:rPr>
                <w:rFonts w:ascii="Arial" w:hAnsi="Arial" w:cs="Arial"/>
                <w:sz w:val="24"/>
                <w:szCs w:val="24"/>
              </w:rPr>
            </w:pPr>
          </w:p>
          <w:p w:rsidR="001D24AC" w:rsidRDefault="001D24AC" w:rsidP="001D24AC">
            <w:pPr>
              <w:spacing w:line="360" w:lineRule="auto"/>
              <w:jc w:val="both"/>
              <w:rPr>
                <w:rFonts w:ascii="Arial" w:hAnsi="Arial" w:cs="Arial"/>
                <w:sz w:val="24"/>
                <w:szCs w:val="24"/>
              </w:rPr>
            </w:pPr>
            <w:r w:rsidRPr="001D24AC">
              <w:rPr>
                <w:rFonts w:ascii="Arial" w:hAnsi="Arial" w:cs="Arial"/>
                <w:sz w:val="24"/>
                <w:szCs w:val="24"/>
              </w:rPr>
              <w:t>[16]</w:t>
            </w:r>
            <w:r w:rsidRPr="001D24AC">
              <w:rPr>
                <w:rFonts w:ascii="Arial" w:hAnsi="Arial" w:cs="Arial"/>
                <w:sz w:val="24"/>
                <w:szCs w:val="24"/>
              </w:rPr>
              <w:tab/>
              <w:t xml:space="preserve">When considering such an application, the court must weigh the two competing interests and reach an equitable decision. </w:t>
            </w:r>
          </w:p>
          <w:p w:rsidR="00C75C85" w:rsidRPr="001D24AC" w:rsidRDefault="00C75C85"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[17]</w:t>
            </w:r>
            <w:r w:rsidRPr="001D24AC">
              <w:rPr>
                <w:rFonts w:ascii="Arial" w:hAnsi="Arial" w:cs="Arial"/>
                <w:sz w:val="24"/>
                <w:szCs w:val="24"/>
              </w:rPr>
              <w:tab/>
              <w:t xml:space="preserve">The main point of contention between the parties is whether the property in question is the primary home of the respondent or not. It is agreed that the respondent works and lives in Onethindi. The question at hand is whether the Okahandja property can be considered </w:t>
            </w:r>
            <w:r w:rsidR="00C75C85" w:rsidRPr="00650951">
              <w:rPr>
                <w:rFonts w:ascii="Arial" w:hAnsi="Arial" w:cs="Arial"/>
                <w:sz w:val="24"/>
                <w:szCs w:val="24"/>
              </w:rPr>
              <w:t xml:space="preserve">as </w:t>
            </w:r>
            <w:r w:rsidRPr="00650951">
              <w:rPr>
                <w:rFonts w:ascii="Arial" w:hAnsi="Arial" w:cs="Arial"/>
                <w:sz w:val="24"/>
                <w:szCs w:val="24"/>
              </w:rPr>
              <w:t>the</w:t>
            </w:r>
            <w:r w:rsidRPr="001D24AC">
              <w:rPr>
                <w:rFonts w:ascii="Arial" w:hAnsi="Arial" w:cs="Arial"/>
                <w:sz w:val="24"/>
                <w:szCs w:val="24"/>
              </w:rPr>
              <w:t xml:space="preserve"> respondent's primary residence, given his work circumstances.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[18]</w:t>
            </w:r>
            <w:r w:rsidRPr="001D24AC">
              <w:rPr>
                <w:rFonts w:ascii="Arial" w:hAnsi="Arial" w:cs="Arial"/>
                <w:sz w:val="24"/>
                <w:szCs w:val="24"/>
              </w:rPr>
              <w:tab/>
              <w:t>The second issue to consider is whether the respondent discharged the evidentiary burden resting on him with respect to less drastic measures that can be followed in order to avoid on order declaring the property executable.</w:t>
            </w:r>
          </w:p>
          <w:p w:rsidR="001D24AC" w:rsidRPr="001D24AC" w:rsidRDefault="001D24AC" w:rsidP="001D24AC">
            <w:pPr>
              <w:spacing w:line="360" w:lineRule="auto"/>
              <w:jc w:val="both"/>
              <w:rPr>
                <w:rFonts w:ascii="Arial" w:hAnsi="Arial" w:cs="Arial"/>
                <w:sz w:val="24"/>
                <w:szCs w:val="24"/>
              </w:rPr>
            </w:pPr>
          </w:p>
          <w:p w:rsidR="001D24AC" w:rsidRPr="00C75C85" w:rsidRDefault="001D24AC" w:rsidP="001D24AC">
            <w:pPr>
              <w:spacing w:line="360" w:lineRule="auto"/>
              <w:jc w:val="both"/>
              <w:rPr>
                <w:rFonts w:ascii="Arial" w:hAnsi="Arial" w:cs="Arial"/>
                <w:sz w:val="24"/>
                <w:szCs w:val="24"/>
                <w:u w:val="single"/>
              </w:rPr>
            </w:pPr>
            <w:r w:rsidRPr="00C75C85">
              <w:rPr>
                <w:rFonts w:ascii="Arial" w:hAnsi="Arial" w:cs="Arial"/>
                <w:sz w:val="24"/>
                <w:szCs w:val="24"/>
                <w:u w:val="single"/>
              </w:rPr>
              <w:t>Primary home</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[19]</w:t>
            </w:r>
            <w:r w:rsidRPr="001D24AC">
              <w:rPr>
                <w:rFonts w:ascii="Arial" w:hAnsi="Arial" w:cs="Arial"/>
                <w:sz w:val="24"/>
                <w:szCs w:val="24"/>
              </w:rPr>
              <w:tab/>
              <w:t xml:space="preserve">When it comes to attachment in </w:t>
            </w:r>
            <w:r w:rsidR="00AB48E0">
              <w:rPr>
                <w:rFonts w:ascii="Arial" w:hAnsi="Arial" w:cs="Arial"/>
                <w:sz w:val="24"/>
                <w:szCs w:val="24"/>
              </w:rPr>
              <w:t>execution of immovable property, there is a distinction made between the judgment debtor’s</w:t>
            </w:r>
            <w:r w:rsidRPr="001D24AC">
              <w:rPr>
                <w:rFonts w:ascii="Arial" w:hAnsi="Arial" w:cs="Arial"/>
                <w:sz w:val="24"/>
                <w:szCs w:val="24"/>
              </w:rPr>
              <w:t xml:space="preserve"> ‘primary home’ and any other immovable property.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[20]</w:t>
            </w:r>
            <w:r w:rsidRPr="001D24AC">
              <w:rPr>
                <w:rFonts w:ascii="Arial" w:hAnsi="Arial" w:cs="Arial"/>
                <w:sz w:val="24"/>
                <w:szCs w:val="24"/>
              </w:rPr>
              <w:tab/>
              <w:t>Damaseb JP contends that although ‘primary home’ is not defined in either the High Court Act or rules of court, the manifest intent is to confine it to the home in which the judgment debtor or lessee ordinarily resides, either alone or with his or her family.</w:t>
            </w:r>
            <w:r w:rsidR="00C75C85">
              <w:rPr>
                <w:rStyle w:val="FootnoteReference"/>
                <w:rFonts w:ascii="Arial" w:hAnsi="Arial" w:cs="Arial"/>
                <w:sz w:val="24"/>
                <w:szCs w:val="24"/>
              </w:rPr>
              <w:footnoteReference w:id="1"/>
            </w:r>
            <w:r w:rsidRPr="001D24AC">
              <w:rPr>
                <w:rFonts w:ascii="Arial" w:hAnsi="Arial" w:cs="Arial"/>
                <w:sz w:val="24"/>
                <w:szCs w:val="24"/>
              </w:rPr>
              <w:t xml:space="preserve">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[21]</w:t>
            </w:r>
            <w:r w:rsidRPr="001D24AC">
              <w:rPr>
                <w:rFonts w:ascii="Arial" w:hAnsi="Arial" w:cs="Arial"/>
                <w:sz w:val="24"/>
                <w:szCs w:val="24"/>
              </w:rPr>
              <w:tab/>
              <w:t xml:space="preserve">In </w:t>
            </w:r>
            <w:r w:rsidRPr="00C75C85">
              <w:rPr>
                <w:rFonts w:ascii="Arial" w:hAnsi="Arial" w:cs="Arial"/>
                <w:i/>
                <w:sz w:val="24"/>
                <w:szCs w:val="24"/>
              </w:rPr>
              <w:t>Futeni Collection (Pty) Ltd v De Duine (Pty) Ltd</w:t>
            </w:r>
            <w:r w:rsidRPr="001D24AC">
              <w:rPr>
                <w:rFonts w:ascii="Arial" w:hAnsi="Arial" w:cs="Arial"/>
                <w:sz w:val="24"/>
                <w:szCs w:val="24"/>
              </w:rPr>
              <w:t>, Masuku J defined primary home as follows:</w:t>
            </w:r>
            <w:r w:rsidR="00C75C85">
              <w:rPr>
                <w:rStyle w:val="FootnoteReference"/>
                <w:rFonts w:ascii="Arial" w:hAnsi="Arial" w:cs="Arial"/>
                <w:sz w:val="24"/>
                <w:szCs w:val="24"/>
              </w:rPr>
              <w:footnoteReference w:id="2"/>
            </w:r>
            <w:r w:rsidRPr="001D24AC">
              <w:rPr>
                <w:rFonts w:ascii="Arial" w:hAnsi="Arial" w:cs="Arial"/>
                <w:sz w:val="24"/>
                <w:szCs w:val="24"/>
              </w:rPr>
              <w:t xml:space="preserve"> </w:t>
            </w:r>
          </w:p>
          <w:p w:rsidR="001D24AC" w:rsidRPr="001D24AC" w:rsidRDefault="001D24AC" w:rsidP="001D24AC">
            <w:pPr>
              <w:spacing w:line="360" w:lineRule="auto"/>
              <w:jc w:val="both"/>
              <w:rPr>
                <w:rFonts w:ascii="Arial" w:hAnsi="Arial" w:cs="Arial"/>
                <w:sz w:val="24"/>
                <w:szCs w:val="24"/>
              </w:rPr>
            </w:pPr>
          </w:p>
          <w:p w:rsidR="001D24AC" w:rsidRPr="001D24AC" w:rsidRDefault="00C75C85" w:rsidP="001D24AC">
            <w:pPr>
              <w:spacing w:line="360" w:lineRule="auto"/>
              <w:jc w:val="both"/>
              <w:rPr>
                <w:rFonts w:ascii="Arial" w:hAnsi="Arial" w:cs="Arial"/>
                <w:sz w:val="24"/>
                <w:szCs w:val="24"/>
              </w:rPr>
            </w:pPr>
            <w:r w:rsidRPr="00C75C85">
              <w:rPr>
                <w:rFonts w:ascii="Arial" w:hAnsi="Arial" w:cs="Arial"/>
                <w:sz w:val="24"/>
                <w:szCs w:val="24"/>
              </w:rPr>
              <w:tab/>
              <w:t xml:space="preserve"> </w:t>
            </w:r>
            <w:r w:rsidRPr="00540509">
              <w:rPr>
                <w:rFonts w:ascii="Arial" w:hAnsi="Arial" w:cs="Arial"/>
              </w:rPr>
              <w:t xml:space="preserve">‘A primary </w:t>
            </w:r>
            <w:r w:rsidRPr="00941656">
              <w:rPr>
                <w:rFonts w:ascii="Arial" w:hAnsi="Arial" w:cs="Arial"/>
              </w:rPr>
              <w:t>home</w:t>
            </w:r>
            <w:r w:rsidR="001D24AC" w:rsidRPr="00941656">
              <w:rPr>
                <w:rFonts w:ascii="Arial" w:hAnsi="Arial" w:cs="Arial"/>
              </w:rPr>
              <w:t>….would refer</w:t>
            </w:r>
            <w:r w:rsidR="001D24AC" w:rsidRPr="00540509">
              <w:rPr>
                <w:rFonts w:ascii="Arial" w:hAnsi="Arial" w:cs="Arial"/>
              </w:rPr>
              <w:t xml:space="preserve"> to a permanent structure as described above, which </w:t>
            </w:r>
            <w:r w:rsidR="001D24AC" w:rsidRPr="00540509">
              <w:rPr>
                <w:rFonts w:ascii="Arial" w:hAnsi="Arial" w:cs="Arial"/>
                <w:u w:val="single"/>
              </w:rPr>
              <w:t>constitutes the only viable place</w:t>
            </w:r>
            <w:r w:rsidR="001D24AC" w:rsidRPr="00540509">
              <w:rPr>
                <w:rFonts w:ascii="Arial" w:hAnsi="Arial" w:cs="Arial"/>
              </w:rPr>
              <w:t xml:space="preserve"> that provides shelter and protection from the vicissitudes of the weather and the elements to an individual person, family or even extended family, considering that we live in an African setting.’</w:t>
            </w:r>
            <w:r w:rsidR="001D24AC" w:rsidRPr="001D24AC">
              <w:rPr>
                <w:rFonts w:ascii="Arial" w:hAnsi="Arial" w:cs="Arial"/>
                <w:sz w:val="24"/>
                <w:szCs w:val="24"/>
              </w:rPr>
              <w:t xml:space="preserve"> </w:t>
            </w:r>
            <w:r>
              <w:rPr>
                <w:rFonts w:ascii="Arial" w:hAnsi="Arial" w:cs="Arial"/>
                <w:sz w:val="24"/>
                <w:szCs w:val="24"/>
              </w:rPr>
              <w:t xml:space="preserve"> </w:t>
            </w:r>
            <w:r w:rsidRPr="00650951">
              <w:rPr>
                <w:rFonts w:ascii="Arial" w:hAnsi="Arial" w:cs="Arial"/>
                <w:sz w:val="24"/>
                <w:szCs w:val="24"/>
              </w:rPr>
              <w:t>(emphasis added)</w:t>
            </w:r>
            <w:r w:rsidR="002A0025">
              <w:rPr>
                <w:rFonts w:ascii="Arial" w:hAnsi="Arial" w:cs="Arial"/>
                <w:sz w:val="24"/>
                <w:szCs w:val="24"/>
              </w:rPr>
              <w:t xml:space="preserve"> </w:t>
            </w:r>
            <w:bookmarkStart w:id="0" w:name="_GoBack"/>
            <w:bookmarkEnd w:id="0"/>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[22]</w:t>
            </w:r>
            <w:r w:rsidRPr="001D24AC">
              <w:rPr>
                <w:rFonts w:ascii="Arial" w:hAnsi="Arial" w:cs="Arial"/>
                <w:sz w:val="24"/>
                <w:szCs w:val="24"/>
              </w:rPr>
              <w:tab/>
              <w:t>If regard is had to the definitions above of what a ‘primary home’ would constitute, then the respondent would fail on both accounts. Firstly</w:t>
            </w:r>
            <w:r w:rsidRPr="00650951">
              <w:rPr>
                <w:rFonts w:ascii="Arial" w:hAnsi="Arial" w:cs="Arial"/>
                <w:sz w:val="24"/>
                <w:szCs w:val="24"/>
              </w:rPr>
              <w:t xml:space="preserve">, he </w:t>
            </w:r>
            <w:r w:rsidR="00C75C85" w:rsidRPr="00650951">
              <w:rPr>
                <w:rFonts w:ascii="Arial" w:hAnsi="Arial" w:cs="Arial"/>
                <w:sz w:val="24"/>
                <w:szCs w:val="24"/>
              </w:rPr>
              <w:t xml:space="preserve">does </w:t>
            </w:r>
            <w:r w:rsidR="00160ECF" w:rsidRPr="00650951">
              <w:rPr>
                <w:rFonts w:ascii="Arial" w:hAnsi="Arial" w:cs="Arial"/>
                <w:sz w:val="24"/>
                <w:szCs w:val="24"/>
              </w:rPr>
              <w:t>not</w:t>
            </w:r>
            <w:r w:rsidR="00160ECF">
              <w:rPr>
                <w:rFonts w:ascii="Arial" w:hAnsi="Arial" w:cs="Arial"/>
                <w:sz w:val="24"/>
                <w:szCs w:val="24"/>
              </w:rPr>
              <w:t xml:space="preserve"> </w:t>
            </w:r>
            <w:r w:rsidRPr="001D24AC">
              <w:rPr>
                <w:rFonts w:ascii="Arial" w:hAnsi="Arial" w:cs="Arial"/>
                <w:sz w:val="24"/>
                <w:szCs w:val="24"/>
              </w:rPr>
              <w:t xml:space="preserve">permanently stay in the said house as he works and stays 500 kilometres away, and secondly, when the Deputy Sherriff attempted to serve process on the respondent, he observed that the house was vacant.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[23]</w:t>
            </w:r>
            <w:r w:rsidRPr="001D24AC">
              <w:rPr>
                <w:rFonts w:ascii="Arial" w:hAnsi="Arial" w:cs="Arial"/>
                <w:sz w:val="24"/>
                <w:szCs w:val="24"/>
              </w:rPr>
              <w:tab/>
              <w:t>In my understanding</w:t>
            </w:r>
            <w:r w:rsidR="00AB48E0">
              <w:rPr>
                <w:rFonts w:ascii="Arial" w:hAnsi="Arial" w:cs="Arial"/>
                <w:sz w:val="24"/>
                <w:szCs w:val="24"/>
              </w:rPr>
              <w:t>,</w:t>
            </w:r>
            <w:r w:rsidRPr="001D24AC">
              <w:rPr>
                <w:rFonts w:ascii="Arial" w:hAnsi="Arial" w:cs="Arial"/>
                <w:sz w:val="24"/>
                <w:szCs w:val="24"/>
              </w:rPr>
              <w:t xml:space="preserve"> vacant means it was not occupied or empty.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[24]</w:t>
            </w:r>
            <w:r w:rsidRPr="001D24AC">
              <w:rPr>
                <w:rFonts w:ascii="Arial" w:hAnsi="Arial" w:cs="Arial"/>
                <w:sz w:val="24"/>
                <w:szCs w:val="24"/>
              </w:rPr>
              <w:tab/>
              <w:t xml:space="preserve">The respondent’s reliance on the fact that this property is his ‘primary home’ is brandished like a sword and shield to veer off the </w:t>
            </w:r>
            <w:r w:rsidR="00182EC7">
              <w:rPr>
                <w:rFonts w:ascii="Arial" w:hAnsi="Arial" w:cs="Arial"/>
                <w:sz w:val="24"/>
                <w:szCs w:val="24"/>
              </w:rPr>
              <w:t xml:space="preserve">applicant's current </w:t>
            </w:r>
            <w:r w:rsidR="00182EC7" w:rsidRPr="00650951">
              <w:rPr>
                <w:rFonts w:ascii="Arial" w:hAnsi="Arial" w:cs="Arial"/>
                <w:sz w:val="24"/>
                <w:szCs w:val="24"/>
              </w:rPr>
              <w:t xml:space="preserve">application. </w:t>
            </w:r>
            <w:r w:rsidR="00AB48E0" w:rsidRPr="00AB48E0">
              <w:rPr>
                <w:rFonts w:ascii="Arial" w:hAnsi="Arial" w:cs="Arial"/>
                <w:sz w:val="24"/>
                <w:szCs w:val="24"/>
              </w:rPr>
              <w:t>Even if the respondent's primary home is confirmed by the court, it does not guarantee the property's immunity from being declared executable.</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[25]</w:t>
            </w:r>
            <w:r w:rsidRPr="001D24AC">
              <w:rPr>
                <w:rFonts w:ascii="Arial" w:hAnsi="Arial" w:cs="Arial"/>
                <w:sz w:val="24"/>
                <w:szCs w:val="24"/>
              </w:rPr>
              <w:tab/>
              <w:t xml:space="preserve">This is </w:t>
            </w:r>
            <w:r w:rsidRPr="00650951">
              <w:rPr>
                <w:rFonts w:ascii="Arial" w:hAnsi="Arial" w:cs="Arial"/>
                <w:sz w:val="24"/>
                <w:szCs w:val="24"/>
              </w:rPr>
              <w:t xml:space="preserve">not </w:t>
            </w:r>
            <w:r w:rsidR="00182EC7" w:rsidRPr="00650951">
              <w:rPr>
                <w:rFonts w:ascii="Arial" w:hAnsi="Arial" w:cs="Arial"/>
                <w:sz w:val="24"/>
                <w:szCs w:val="24"/>
              </w:rPr>
              <w:t xml:space="preserve">an instance </w:t>
            </w:r>
            <w:r w:rsidRPr="00650951">
              <w:rPr>
                <w:rFonts w:ascii="Arial" w:hAnsi="Arial" w:cs="Arial"/>
                <w:sz w:val="24"/>
                <w:szCs w:val="24"/>
              </w:rPr>
              <w:t>where</w:t>
            </w:r>
            <w:r w:rsidRPr="001D24AC">
              <w:rPr>
                <w:rFonts w:ascii="Arial" w:hAnsi="Arial" w:cs="Arial"/>
                <w:sz w:val="24"/>
                <w:szCs w:val="24"/>
              </w:rPr>
              <w:t xml:space="preserve"> part of the respondent's family permanently resides in the house, and he commutes between his family home and his place of employment. Moreover, the fact that the house is vacant indicates that the respondent does not consider it as his primary </w:t>
            </w:r>
            <w:r w:rsidRPr="001D24AC">
              <w:rPr>
                <w:rFonts w:ascii="Arial" w:hAnsi="Arial" w:cs="Arial"/>
                <w:sz w:val="24"/>
                <w:szCs w:val="24"/>
              </w:rPr>
              <w:lastRenderedPageBreak/>
              <w:t>residence. Therefore, in my considered view, the property cannot be considered as</w:t>
            </w:r>
            <w:r w:rsidR="00182EC7">
              <w:rPr>
                <w:rFonts w:ascii="Arial" w:hAnsi="Arial" w:cs="Arial"/>
                <w:sz w:val="24"/>
                <w:szCs w:val="24"/>
              </w:rPr>
              <w:t xml:space="preserve"> the respondent's primary home.</w:t>
            </w:r>
          </w:p>
          <w:p w:rsidR="001D24AC" w:rsidRPr="001D24AC" w:rsidRDefault="001D24AC" w:rsidP="001D24AC">
            <w:pPr>
              <w:spacing w:line="360" w:lineRule="auto"/>
              <w:jc w:val="both"/>
              <w:rPr>
                <w:rFonts w:ascii="Arial" w:hAnsi="Arial" w:cs="Arial"/>
                <w:sz w:val="24"/>
                <w:szCs w:val="24"/>
              </w:rPr>
            </w:pPr>
          </w:p>
          <w:p w:rsidR="001D24AC" w:rsidRPr="00540509" w:rsidRDefault="001D24AC" w:rsidP="001D24AC">
            <w:pPr>
              <w:spacing w:line="360" w:lineRule="auto"/>
              <w:jc w:val="both"/>
              <w:rPr>
                <w:rFonts w:ascii="Arial" w:hAnsi="Arial" w:cs="Arial"/>
                <w:i/>
                <w:sz w:val="24"/>
                <w:szCs w:val="24"/>
              </w:rPr>
            </w:pPr>
            <w:r w:rsidRPr="00540509">
              <w:rPr>
                <w:rFonts w:ascii="Arial" w:hAnsi="Arial" w:cs="Arial"/>
                <w:i/>
                <w:sz w:val="24"/>
                <w:szCs w:val="24"/>
              </w:rPr>
              <w:t>Less drastic measures</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[26]</w:t>
            </w:r>
            <w:r w:rsidRPr="001D24AC">
              <w:rPr>
                <w:rFonts w:ascii="Arial" w:hAnsi="Arial" w:cs="Arial"/>
                <w:sz w:val="24"/>
                <w:szCs w:val="24"/>
              </w:rPr>
              <w:tab/>
              <w:t>The execution debtor bears the evidential burden of proving that there are reasons why the property should not be declared executable. The execution creditor is entitled to satisfaction of the judgment obtained.</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[27]</w:t>
            </w:r>
            <w:r w:rsidRPr="001D24AC">
              <w:rPr>
                <w:rFonts w:ascii="Arial" w:hAnsi="Arial" w:cs="Arial"/>
                <w:sz w:val="24"/>
                <w:szCs w:val="24"/>
              </w:rPr>
              <w:tab/>
              <w:t xml:space="preserve">Mr Nanhapo referred the court to </w:t>
            </w:r>
            <w:r w:rsidRPr="00AB48E0">
              <w:rPr>
                <w:rFonts w:ascii="Arial" w:hAnsi="Arial" w:cs="Arial"/>
                <w:i/>
                <w:sz w:val="24"/>
                <w:szCs w:val="24"/>
              </w:rPr>
              <w:t>Kisipile v First National Bank Namibia Ltd</w:t>
            </w:r>
            <w:r w:rsidRPr="001D24AC">
              <w:rPr>
                <w:rFonts w:ascii="Arial" w:hAnsi="Arial" w:cs="Arial"/>
                <w:sz w:val="24"/>
                <w:szCs w:val="24"/>
              </w:rPr>
              <w:t>,</w:t>
            </w:r>
            <w:r w:rsidR="00182EC7">
              <w:rPr>
                <w:rStyle w:val="FootnoteReference"/>
                <w:rFonts w:ascii="Arial" w:hAnsi="Arial" w:cs="Arial"/>
                <w:sz w:val="24"/>
                <w:szCs w:val="24"/>
              </w:rPr>
              <w:footnoteReference w:id="3"/>
            </w:r>
            <w:r w:rsidRPr="001D24AC">
              <w:rPr>
                <w:rFonts w:ascii="Arial" w:hAnsi="Arial" w:cs="Arial"/>
                <w:sz w:val="24"/>
                <w:szCs w:val="24"/>
              </w:rPr>
              <w:t xml:space="preserve">  wherein the Supreme Court stated that the court should also take into consideration the payment history of the debtor and greater latitude should be given to the debtor who has a reasonably good payment history. He submitted that the applicant failed to allege that the respondent has a bad payment history and that a repayment agreement is not a viable option as a result thereof.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[28]</w:t>
            </w:r>
            <w:r w:rsidRPr="001D24AC">
              <w:rPr>
                <w:rFonts w:ascii="Arial" w:hAnsi="Arial" w:cs="Arial"/>
                <w:sz w:val="24"/>
                <w:szCs w:val="24"/>
              </w:rPr>
              <w:tab/>
            </w:r>
            <w:r w:rsidR="00182EC7" w:rsidRPr="00650951">
              <w:rPr>
                <w:rFonts w:ascii="Arial" w:hAnsi="Arial" w:cs="Arial"/>
                <w:sz w:val="24"/>
                <w:szCs w:val="24"/>
              </w:rPr>
              <w:t xml:space="preserve">I have difficulty </w:t>
            </w:r>
            <w:r w:rsidRPr="00650951">
              <w:rPr>
                <w:rFonts w:ascii="Arial" w:hAnsi="Arial" w:cs="Arial"/>
                <w:sz w:val="24"/>
                <w:szCs w:val="24"/>
              </w:rPr>
              <w:t>with Mr</w:t>
            </w:r>
            <w:r w:rsidRPr="001D24AC">
              <w:rPr>
                <w:rFonts w:ascii="Arial" w:hAnsi="Arial" w:cs="Arial"/>
                <w:sz w:val="24"/>
                <w:szCs w:val="24"/>
              </w:rPr>
              <w:t xml:space="preserve"> Nanhapo's argument as he conceded during the oral argument that the respondent deliberately stopped making payments towards his bond when the applicant issued summons against him. This behaviour is </w:t>
            </w:r>
            <w:r w:rsidRPr="00650951">
              <w:rPr>
                <w:rFonts w:ascii="Arial" w:hAnsi="Arial" w:cs="Arial"/>
                <w:sz w:val="24"/>
                <w:szCs w:val="24"/>
              </w:rPr>
              <w:t xml:space="preserve">not </w:t>
            </w:r>
            <w:r w:rsidR="00182EC7" w:rsidRPr="00650951">
              <w:rPr>
                <w:rFonts w:ascii="Arial" w:hAnsi="Arial" w:cs="Arial"/>
                <w:sz w:val="24"/>
                <w:szCs w:val="24"/>
              </w:rPr>
              <w:t xml:space="preserve">a </w:t>
            </w:r>
            <w:r w:rsidRPr="00650951">
              <w:rPr>
                <w:rFonts w:ascii="Arial" w:hAnsi="Arial" w:cs="Arial"/>
                <w:sz w:val="24"/>
                <w:szCs w:val="24"/>
              </w:rPr>
              <w:t>characteristic of</w:t>
            </w:r>
            <w:r w:rsidRPr="001D24AC">
              <w:rPr>
                <w:rFonts w:ascii="Arial" w:hAnsi="Arial" w:cs="Arial"/>
                <w:sz w:val="24"/>
                <w:szCs w:val="24"/>
              </w:rPr>
              <w:t xml:space="preserve"> a responsible debtor. Therefore, the claim that the non-payment was not intentional doesn't hold any ground. To stop making payments towards the bond without any valid reason is evidence of a lack of willingness to pay. This conduct goes against the claim of having a genuine inability to pay.</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[29]</w:t>
            </w:r>
            <w:r w:rsidRPr="001D24AC">
              <w:rPr>
                <w:rFonts w:ascii="Arial" w:hAnsi="Arial" w:cs="Arial"/>
                <w:sz w:val="24"/>
                <w:szCs w:val="24"/>
              </w:rPr>
              <w:tab/>
              <w:t xml:space="preserve">I am willing to acknowledge the fact that the respondent faced financial difficulties due to the closure of the school during the COVID-19 pandemic, which resulted in him not earning any salary. I also understand that he fell behind on his payments as a result of this situation. However, the respondent failed to provide any evidence to the court regarding when his financial position improved or what his current financial situation is. Although the respondent suggests that he will repay the arrears along with his current bond payment, there is no proof to support his claim that he is capable of doing so. It is important to confirm that this proposal is not just an empty promise that he won't be able to fulfil. </w:t>
            </w:r>
          </w:p>
          <w:p w:rsidR="001D24AC" w:rsidRPr="001D24AC" w:rsidRDefault="001D24AC" w:rsidP="001D24AC">
            <w:pPr>
              <w:spacing w:line="360" w:lineRule="auto"/>
              <w:jc w:val="both"/>
              <w:rPr>
                <w:rFonts w:ascii="Arial" w:hAnsi="Arial" w:cs="Arial"/>
                <w:sz w:val="24"/>
                <w:szCs w:val="24"/>
              </w:rPr>
            </w:pPr>
          </w:p>
          <w:p w:rsidR="001D24AC" w:rsidRPr="001D24AC" w:rsidRDefault="001D24AC" w:rsidP="001D24AC">
            <w:pPr>
              <w:spacing w:line="360" w:lineRule="auto"/>
              <w:jc w:val="both"/>
              <w:rPr>
                <w:rFonts w:ascii="Arial" w:hAnsi="Arial" w:cs="Arial"/>
                <w:sz w:val="24"/>
                <w:szCs w:val="24"/>
              </w:rPr>
            </w:pPr>
            <w:r w:rsidRPr="001D24AC">
              <w:rPr>
                <w:rFonts w:ascii="Arial" w:hAnsi="Arial" w:cs="Arial"/>
                <w:sz w:val="24"/>
                <w:szCs w:val="24"/>
              </w:rPr>
              <w:t>[30]</w:t>
            </w:r>
            <w:r w:rsidRPr="001D24AC">
              <w:rPr>
                <w:rFonts w:ascii="Arial" w:hAnsi="Arial" w:cs="Arial"/>
                <w:sz w:val="24"/>
                <w:szCs w:val="24"/>
              </w:rPr>
              <w:tab/>
              <w:t>The respondent has proposed that the applicant should allow him to sell the immovable property. However, he has not provided clear information to the court regarding the efforts made to find a potential buyer. It is unclear whether any efforts were made in this regard.</w:t>
            </w:r>
          </w:p>
          <w:p w:rsidR="001D24AC" w:rsidRPr="001D24AC" w:rsidRDefault="001D24AC" w:rsidP="001D24AC">
            <w:pPr>
              <w:spacing w:line="360" w:lineRule="auto"/>
              <w:jc w:val="both"/>
              <w:rPr>
                <w:rFonts w:ascii="Arial" w:hAnsi="Arial" w:cs="Arial"/>
                <w:sz w:val="24"/>
                <w:szCs w:val="24"/>
              </w:rPr>
            </w:pPr>
          </w:p>
          <w:p w:rsidR="001D24AC" w:rsidRPr="00182EC7" w:rsidRDefault="001D24AC" w:rsidP="001D24AC">
            <w:pPr>
              <w:spacing w:line="360" w:lineRule="auto"/>
              <w:jc w:val="both"/>
              <w:rPr>
                <w:rFonts w:ascii="Arial" w:hAnsi="Arial" w:cs="Arial"/>
                <w:sz w:val="24"/>
                <w:szCs w:val="24"/>
                <w:u w:val="single"/>
              </w:rPr>
            </w:pPr>
            <w:r w:rsidRPr="00182EC7">
              <w:rPr>
                <w:rFonts w:ascii="Arial" w:hAnsi="Arial" w:cs="Arial"/>
                <w:sz w:val="24"/>
                <w:szCs w:val="24"/>
                <w:u w:val="single"/>
              </w:rPr>
              <w:t>Conclusion</w:t>
            </w:r>
          </w:p>
          <w:p w:rsidR="001D24AC" w:rsidRPr="001D24AC" w:rsidRDefault="001D24AC" w:rsidP="001D24AC">
            <w:pPr>
              <w:spacing w:line="360" w:lineRule="auto"/>
              <w:jc w:val="both"/>
              <w:rPr>
                <w:rFonts w:ascii="Arial" w:hAnsi="Arial" w:cs="Arial"/>
                <w:sz w:val="24"/>
                <w:szCs w:val="24"/>
              </w:rPr>
            </w:pPr>
          </w:p>
          <w:p w:rsidR="001D24AC" w:rsidRPr="00650951" w:rsidRDefault="001D24AC" w:rsidP="00ED76B2">
            <w:pPr>
              <w:spacing w:line="360" w:lineRule="auto"/>
              <w:jc w:val="both"/>
              <w:rPr>
                <w:rFonts w:ascii="Arial" w:hAnsi="Arial" w:cs="Arial"/>
                <w:sz w:val="24"/>
                <w:szCs w:val="24"/>
              </w:rPr>
            </w:pPr>
            <w:r w:rsidRPr="001D24AC">
              <w:rPr>
                <w:rFonts w:ascii="Arial" w:hAnsi="Arial" w:cs="Arial"/>
                <w:sz w:val="24"/>
                <w:szCs w:val="24"/>
              </w:rPr>
              <w:t>[31]</w:t>
            </w:r>
            <w:r w:rsidRPr="001D24AC">
              <w:rPr>
                <w:rFonts w:ascii="Arial" w:hAnsi="Arial" w:cs="Arial"/>
                <w:sz w:val="24"/>
                <w:szCs w:val="24"/>
              </w:rPr>
              <w:tab/>
              <w:t xml:space="preserve">Having considered all the facts placed before this court, I must find that the property in question is not the respondent's primary home and that the respondent has failed </w:t>
            </w:r>
            <w:r w:rsidRPr="00650951">
              <w:rPr>
                <w:rFonts w:ascii="Arial" w:hAnsi="Arial" w:cs="Arial"/>
                <w:sz w:val="24"/>
                <w:szCs w:val="24"/>
              </w:rPr>
              <w:t xml:space="preserve">to make </w:t>
            </w:r>
            <w:r w:rsidR="00540509" w:rsidRPr="00650951">
              <w:rPr>
                <w:rFonts w:ascii="Arial" w:hAnsi="Arial" w:cs="Arial"/>
                <w:sz w:val="24"/>
                <w:szCs w:val="24"/>
              </w:rPr>
              <w:t xml:space="preserve">out </w:t>
            </w:r>
            <w:r w:rsidRPr="00650951">
              <w:rPr>
                <w:rFonts w:ascii="Arial" w:hAnsi="Arial" w:cs="Arial"/>
                <w:sz w:val="24"/>
                <w:szCs w:val="24"/>
              </w:rPr>
              <w:t>a case for acceptable payment arrangements or other means less drastic than the sal</w:t>
            </w:r>
            <w:r w:rsidR="00F5266E" w:rsidRPr="00650951">
              <w:rPr>
                <w:rFonts w:ascii="Arial" w:hAnsi="Arial" w:cs="Arial"/>
                <w:sz w:val="24"/>
                <w:szCs w:val="24"/>
              </w:rPr>
              <w:t>e of the property in execution.</w:t>
            </w:r>
          </w:p>
          <w:p w:rsidR="00B40844" w:rsidRPr="00650951" w:rsidRDefault="00B40844" w:rsidP="00ED76B2">
            <w:pPr>
              <w:spacing w:line="360" w:lineRule="auto"/>
              <w:jc w:val="both"/>
              <w:rPr>
                <w:rFonts w:ascii="Arial" w:hAnsi="Arial" w:cs="Arial"/>
                <w:sz w:val="24"/>
                <w:szCs w:val="24"/>
              </w:rPr>
            </w:pPr>
          </w:p>
          <w:p w:rsidR="00965C26" w:rsidRPr="00650951" w:rsidRDefault="00965C26" w:rsidP="00965C26">
            <w:pPr>
              <w:pStyle w:val="ListParagraph"/>
              <w:spacing w:line="360" w:lineRule="auto"/>
              <w:ind w:left="0"/>
              <w:jc w:val="both"/>
              <w:rPr>
                <w:rFonts w:ascii="Arial" w:hAnsi="Arial" w:cs="Arial"/>
                <w:sz w:val="24"/>
                <w:szCs w:val="24"/>
                <w:u w:val="single"/>
              </w:rPr>
            </w:pPr>
            <w:r w:rsidRPr="00650951">
              <w:rPr>
                <w:rFonts w:ascii="Arial" w:hAnsi="Arial" w:cs="Arial"/>
                <w:sz w:val="24"/>
                <w:szCs w:val="24"/>
                <w:u w:val="single"/>
              </w:rPr>
              <w:t>Costs</w:t>
            </w:r>
          </w:p>
          <w:p w:rsidR="00182EC7" w:rsidRPr="00650951" w:rsidRDefault="00182EC7" w:rsidP="00182EC7">
            <w:pPr>
              <w:pStyle w:val="ListParagraph"/>
              <w:spacing w:line="360" w:lineRule="auto"/>
              <w:ind w:left="0"/>
              <w:jc w:val="both"/>
              <w:rPr>
                <w:rFonts w:ascii="Arial" w:hAnsi="Arial" w:cs="Arial"/>
                <w:sz w:val="24"/>
                <w:szCs w:val="24"/>
                <w:u w:val="single"/>
              </w:rPr>
            </w:pPr>
          </w:p>
          <w:p w:rsidR="00965C26" w:rsidRDefault="00F5266E" w:rsidP="00182EC7">
            <w:pPr>
              <w:pStyle w:val="ListParagraph"/>
              <w:spacing w:line="360" w:lineRule="auto"/>
              <w:ind w:left="0"/>
              <w:jc w:val="both"/>
              <w:rPr>
                <w:rFonts w:ascii="Arial" w:hAnsi="Arial" w:cs="Arial"/>
                <w:sz w:val="24"/>
                <w:szCs w:val="24"/>
              </w:rPr>
            </w:pPr>
            <w:r w:rsidRPr="00650951">
              <w:rPr>
                <w:rFonts w:ascii="Arial" w:hAnsi="Arial" w:cs="Arial"/>
                <w:sz w:val="24"/>
                <w:szCs w:val="24"/>
              </w:rPr>
              <w:t>[32</w:t>
            </w:r>
            <w:r w:rsidR="00182EC7" w:rsidRPr="00650951">
              <w:rPr>
                <w:rFonts w:ascii="Arial" w:hAnsi="Arial" w:cs="Arial"/>
                <w:sz w:val="24"/>
                <w:szCs w:val="24"/>
              </w:rPr>
              <w:t>]</w:t>
            </w:r>
            <w:r w:rsidR="00182EC7" w:rsidRPr="00650951">
              <w:rPr>
                <w:rFonts w:ascii="Arial" w:hAnsi="Arial" w:cs="Arial"/>
                <w:sz w:val="24"/>
                <w:szCs w:val="24"/>
              </w:rPr>
              <w:tab/>
              <w:t>T</w:t>
            </w:r>
            <w:r w:rsidR="00965C26" w:rsidRPr="00650951">
              <w:rPr>
                <w:rFonts w:ascii="Arial" w:hAnsi="Arial" w:cs="Arial"/>
                <w:sz w:val="24"/>
                <w:szCs w:val="24"/>
              </w:rPr>
              <w:t xml:space="preserve">he </w:t>
            </w:r>
            <w:r w:rsidR="00182EC7" w:rsidRPr="00650951">
              <w:rPr>
                <w:rFonts w:ascii="Arial" w:hAnsi="Arial" w:cs="Arial"/>
                <w:sz w:val="24"/>
                <w:szCs w:val="24"/>
              </w:rPr>
              <w:t>respondent</w:t>
            </w:r>
            <w:r w:rsidR="00965C26" w:rsidRPr="00650951">
              <w:rPr>
                <w:rFonts w:ascii="Arial" w:hAnsi="Arial" w:cs="Arial"/>
                <w:sz w:val="24"/>
                <w:szCs w:val="24"/>
              </w:rPr>
              <w:t xml:space="preserve"> is liable for the cost</w:t>
            </w:r>
            <w:r w:rsidR="00182EC7" w:rsidRPr="00650951">
              <w:rPr>
                <w:rFonts w:ascii="Arial" w:hAnsi="Arial" w:cs="Arial"/>
                <w:sz w:val="24"/>
                <w:szCs w:val="24"/>
              </w:rPr>
              <w:t>s</w:t>
            </w:r>
            <w:r w:rsidR="00965C26" w:rsidRPr="00650951">
              <w:rPr>
                <w:rFonts w:ascii="Arial" w:hAnsi="Arial" w:cs="Arial"/>
                <w:sz w:val="24"/>
                <w:szCs w:val="24"/>
              </w:rPr>
              <w:t xml:space="preserve"> of this appl</w:t>
            </w:r>
            <w:r w:rsidR="00FF1824" w:rsidRPr="00650951">
              <w:rPr>
                <w:rFonts w:ascii="Arial" w:hAnsi="Arial" w:cs="Arial"/>
                <w:sz w:val="24"/>
                <w:szCs w:val="24"/>
              </w:rPr>
              <w:t xml:space="preserve">ication. </w:t>
            </w:r>
          </w:p>
          <w:p w:rsidR="00965C26" w:rsidRDefault="00965C26" w:rsidP="00965C26">
            <w:pPr>
              <w:pStyle w:val="ListParagraph"/>
              <w:spacing w:line="360" w:lineRule="auto"/>
              <w:ind w:left="0"/>
              <w:jc w:val="both"/>
              <w:rPr>
                <w:rFonts w:ascii="Arial" w:hAnsi="Arial" w:cs="Arial"/>
                <w:sz w:val="24"/>
                <w:szCs w:val="24"/>
              </w:rPr>
            </w:pPr>
          </w:p>
          <w:p w:rsidR="00965C26" w:rsidRPr="00965C26" w:rsidRDefault="00965C26" w:rsidP="00965C26">
            <w:pPr>
              <w:pStyle w:val="ListParagraph"/>
              <w:spacing w:line="360" w:lineRule="auto"/>
              <w:ind w:left="0"/>
              <w:jc w:val="both"/>
              <w:rPr>
                <w:rFonts w:ascii="Arial" w:hAnsi="Arial" w:cs="Arial"/>
                <w:sz w:val="24"/>
                <w:szCs w:val="24"/>
                <w:u w:val="single"/>
              </w:rPr>
            </w:pPr>
            <w:r w:rsidRPr="00965C26">
              <w:rPr>
                <w:rFonts w:ascii="Arial" w:hAnsi="Arial" w:cs="Arial"/>
                <w:sz w:val="24"/>
                <w:szCs w:val="24"/>
                <w:u w:val="single"/>
              </w:rPr>
              <w:t>Order</w:t>
            </w:r>
          </w:p>
          <w:p w:rsidR="00965C26" w:rsidRDefault="00965C26" w:rsidP="00965C26">
            <w:pPr>
              <w:pStyle w:val="ListParagraph"/>
              <w:spacing w:line="360" w:lineRule="auto"/>
              <w:ind w:left="0"/>
              <w:jc w:val="both"/>
              <w:rPr>
                <w:rFonts w:ascii="Arial" w:hAnsi="Arial" w:cs="Arial"/>
                <w:sz w:val="24"/>
                <w:szCs w:val="24"/>
              </w:rPr>
            </w:pPr>
          </w:p>
          <w:p w:rsidR="00965C26" w:rsidRPr="00182EC7" w:rsidRDefault="00F5266E" w:rsidP="00182EC7">
            <w:pPr>
              <w:spacing w:line="360" w:lineRule="auto"/>
              <w:jc w:val="both"/>
              <w:rPr>
                <w:rFonts w:ascii="Arial" w:hAnsi="Arial" w:cs="Arial"/>
                <w:sz w:val="24"/>
                <w:szCs w:val="24"/>
              </w:rPr>
            </w:pPr>
            <w:r>
              <w:rPr>
                <w:rFonts w:ascii="Arial" w:hAnsi="Arial" w:cs="Arial"/>
                <w:sz w:val="24"/>
                <w:szCs w:val="24"/>
              </w:rPr>
              <w:t>[33</w:t>
            </w:r>
            <w:r w:rsidR="00182EC7" w:rsidRPr="00182EC7">
              <w:rPr>
                <w:rFonts w:ascii="Arial" w:hAnsi="Arial" w:cs="Arial"/>
                <w:sz w:val="24"/>
                <w:szCs w:val="24"/>
              </w:rPr>
              <w:t>]</w:t>
            </w:r>
            <w:r w:rsidR="00182EC7" w:rsidRPr="00182EC7">
              <w:rPr>
                <w:rFonts w:ascii="Arial" w:hAnsi="Arial" w:cs="Arial"/>
                <w:sz w:val="24"/>
                <w:szCs w:val="24"/>
              </w:rPr>
              <w:tab/>
            </w:r>
            <w:r w:rsidR="00965C26" w:rsidRPr="00182EC7">
              <w:rPr>
                <w:rFonts w:ascii="Arial" w:hAnsi="Arial" w:cs="Arial"/>
                <w:sz w:val="24"/>
                <w:szCs w:val="24"/>
              </w:rPr>
              <w:t>My order is set out above.</w:t>
            </w:r>
          </w:p>
          <w:p w:rsidR="00C04F28" w:rsidRPr="00CA7995" w:rsidRDefault="00C04F28" w:rsidP="008C3F75">
            <w:pPr>
              <w:pStyle w:val="BodyText"/>
            </w:pPr>
          </w:p>
        </w:tc>
      </w:tr>
      <w:tr w:rsidR="00CA7995" w:rsidRPr="00CA7995" w:rsidTr="0000513F">
        <w:tc>
          <w:tcPr>
            <w:tcW w:w="5232" w:type="dxa"/>
          </w:tcPr>
          <w:p w:rsidR="00B40844" w:rsidRPr="00CA7995" w:rsidRDefault="005A127F" w:rsidP="00ED76B2">
            <w:pPr>
              <w:spacing w:line="360" w:lineRule="auto"/>
              <w:jc w:val="center"/>
              <w:rPr>
                <w:rFonts w:ascii="Arial" w:hAnsi="Arial" w:cs="Arial"/>
                <w:b/>
                <w:sz w:val="24"/>
                <w:szCs w:val="24"/>
              </w:rPr>
            </w:pPr>
            <w:r>
              <w:rPr>
                <w:rFonts w:ascii="Arial" w:hAnsi="Arial" w:cs="Arial"/>
                <w:b/>
                <w:sz w:val="24"/>
                <w:szCs w:val="24"/>
              </w:rPr>
              <w:lastRenderedPageBreak/>
              <w:t xml:space="preserve"> </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650951" w:rsidTr="00002E9A">
        <w:tc>
          <w:tcPr>
            <w:tcW w:w="10476" w:type="dxa"/>
            <w:gridSpan w:val="3"/>
          </w:tcPr>
          <w:p w:rsidR="00B40844" w:rsidRPr="00650951" w:rsidRDefault="00B40844" w:rsidP="00937C89">
            <w:pPr>
              <w:spacing w:line="360" w:lineRule="auto"/>
              <w:jc w:val="center"/>
              <w:rPr>
                <w:rFonts w:ascii="Arial" w:hAnsi="Arial" w:cs="Arial"/>
                <w:b/>
                <w:sz w:val="24"/>
                <w:szCs w:val="24"/>
              </w:rPr>
            </w:pPr>
            <w:r w:rsidRPr="00650951">
              <w:rPr>
                <w:rFonts w:ascii="Arial" w:hAnsi="Arial" w:cs="Arial"/>
                <w:b/>
                <w:sz w:val="24"/>
                <w:szCs w:val="24"/>
              </w:rPr>
              <w:t>Counsel:</w:t>
            </w:r>
          </w:p>
        </w:tc>
      </w:tr>
      <w:tr w:rsidR="00CA7995" w:rsidRPr="00650951" w:rsidTr="0000513F">
        <w:tc>
          <w:tcPr>
            <w:tcW w:w="5232" w:type="dxa"/>
          </w:tcPr>
          <w:p w:rsidR="00B40844" w:rsidRPr="00650951" w:rsidRDefault="00540509" w:rsidP="00937C89">
            <w:pPr>
              <w:spacing w:line="360" w:lineRule="auto"/>
              <w:jc w:val="center"/>
              <w:rPr>
                <w:rFonts w:ascii="Arial" w:hAnsi="Arial" w:cs="Arial"/>
                <w:b/>
                <w:sz w:val="24"/>
                <w:szCs w:val="24"/>
              </w:rPr>
            </w:pPr>
            <w:r w:rsidRPr="00650951">
              <w:rPr>
                <w:rFonts w:ascii="Arial" w:hAnsi="Arial" w:cs="Arial"/>
                <w:b/>
                <w:sz w:val="24"/>
                <w:szCs w:val="24"/>
              </w:rPr>
              <w:t>Applicant</w:t>
            </w:r>
          </w:p>
        </w:tc>
        <w:tc>
          <w:tcPr>
            <w:tcW w:w="5244" w:type="dxa"/>
            <w:gridSpan w:val="2"/>
          </w:tcPr>
          <w:p w:rsidR="00B40844" w:rsidRPr="00650951" w:rsidRDefault="00540509" w:rsidP="00937C89">
            <w:pPr>
              <w:spacing w:line="360" w:lineRule="auto"/>
              <w:jc w:val="center"/>
              <w:rPr>
                <w:rFonts w:ascii="Arial" w:hAnsi="Arial" w:cs="Arial"/>
                <w:b/>
                <w:sz w:val="24"/>
                <w:szCs w:val="24"/>
              </w:rPr>
            </w:pPr>
            <w:r w:rsidRPr="00650951">
              <w:rPr>
                <w:rFonts w:ascii="Arial" w:hAnsi="Arial" w:cs="Arial"/>
                <w:b/>
                <w:sz w:val="24"/>
                <w:szCs w:val="24"/>
              </w:rPr>
              <w:t>Respondent</w:t>
            </w:r>
          </w:p>
        </w:tc>
      </w:tr>
      <w:tr w:rsidR="00CA7995" w:rsidRPr="00650951" w:rsidTr="0000513F">
        <w:tc>
          <w:tcPr>
            <w:tcW w:w="5232" w:type="dxa"/>
          </w:tcPr>
          <w:p w:rsidR="00E43BE5" w:rsidRPr="00650951" w:rsidRDefault="00E43BE5" w:rsidP="00E43BE5">
            <w:pPr>
              <w:spacing w:line="360" w:lineRule="auto"/>
              <w:jc w:val="center"/>
              <w:rPr>
                <w:rFonts w:ascii="Arial" w:hAnsi="Arial" w:cs="Arial"/>
                <w:sz w:val="24"/>
                <w:szCs w:val="24"/>
              </w:rPr>
            </w:pPr>
            <w:r w:rsidRPr="00650951">
              <w:rPr>
                <w:rFonts w:ascii="Arial" w:hAnsi="Arial" w:cs="Arial"/>
                <w:sz w:val="24"/>
                <w:szCs w:val="24"/>
              </w:rPr>
              <w:t>J Gaya</w:t>
            </w:r>
          </w:p>
          <w:p w:rsidR="00394F42" w:rsidRPr="00650951" w:rsidRDefault="00E43BE5" w:rsidP="00E43BE5">
            <w:pPr>
              <w:spacing w:line="360" w:lineRule="auto"/>
              <w:jc w:val="center"/>
              <w:rPr>
                <w:rFonts w:ascii="Arial" w:hAnsi="Arial" w:cs="Arial"/>
                <w:sz w:val="24"/>
                <w:szCs w:val="24"/>
              </w:rPr>
            </w:pPr>
            <w:r w:rsidRPr="00650951">
              <w:rPr>
                <w:rFonts w:ascii="Arial" w:hAnsi="Arial" w:cs="Arial"/>
                <w:sz w:val="24"/>
                <w:szCs w:val="24"/>
              </w:rPr>
              <w:t>Fisher, Quarmby &amp; Pfeifer</w:t>
            </w:r>
          </w:p>
          <w:p w:rsidR="00B40844" w:rsidRPr="00650951" w:rsidRDefault="0078733C" w:rsidP="00937C89">
            <w:pPr>
              <w:spacing w:line="360" w:lineRule="auto"/>
              <w:jc w:val="center"/>
              <w:rPr>
                <w:rFonts w:ascii="Arial" w:hAnsi="Arial" w:cs="Arial"/>
                <w:sz w:val="24"/>
                <w:szCs w:val="24"/>
              </w:rPr>
            </w:pPr>
            <w:r w:rsidRPr="00650951">
              <w:rPr>
                <w:rFonts w:ascii="Arial" w:hAnsi="Arial" w:cs="Arial"/>
                <w:sz w:val="24"/>
                <w:szCs w:val="24"/>
              </w:rPr>
              <w:t xml:space="preserve">Windhoek </w:t>
            </w:r>
          </w:p>
          <w:p w:rsidR="00B40844" w:rsidRPr="00650951" w:rsidRDefault="00B40844" w:rsidP="00937C89">
            <w:pPr>
              <w:spacing w:line="360" w:lineRule="auto"/>
              <w:jc w:val="center"/>
              <w:rPr>
                <w:rFonts w:ascii="Arial" w:hAnsi="Arial" w:cs="Arial"/>
                <w:sz w:val="24"/>
                <w:szCs w:val="24"/>
              </w:rPr>
            </w:pPr>
          </w:p>
        </w:tc>
        <w:tc>
          <w:tcPr>
            <w:tcW w:w="5244" w:type="dxa"/>
            <w:gridSpan w:val="2"/>
          </w:tcPr>
          <w:p w:rsidR="00E43BE5" w:rsidRPr="00650951" w:rsidRDefault="00E43BE5" w:rsidP="00E43BE5">
            <w:pPr>
              <w:spacing w:line="360" w:lineRule="auto"/>
              <w:jc w:val="center"/>
              <w:rPr>
                <w:rFonts w:ascii="Arial" w:hAnsi="Arial" w:cs="Arial"/>
                <w:sz w:val="24"/>
                <w:szCs w:val="24"/>
              </w:rPr>
            </w:pPr>
            <w:r w:rsidRPr="00650951">
              <w:rPr>
                <w:rFonts w:ascii="Arial" w:hAnsi="Arial" w:cs="Arial"/>
                <w:sz w:val="24"/>
                <w:szCs w:val="24"/>
              </w:rPr>
              <w:t>T Nanhapo</w:t>
            </w:r>
          </w:p>
          <w:p w:rsidR="00692710" w:rsidRPr="00650951" w:rsidRDefault="00E43BE5" w:rsidP="00E43BE5">
            <w:pPr>
              <w:spacing w:line="360" w:lineRule="auto"/>
              <w:jc w:val="center"/>
              <w:rPr>
                <w:rFonts w:ascii="Arial" w:hAnsi="Arial" w:cs="Arial"/>
                <w:sz w:val="24"/>
                <w:szCs w:val="24"/>
              </w:rPr>
            </w:pPr>
            <w:r w:rsidRPr="00650951">
              <w:rPr>
                <w:rFonts w:ascii="Arial" w:hAnsi="Arial" w:cs="Arial"/>
                <w:sz w:val="24"/>
                <w:szCs w:val="24"/>
              </w:rPr>
              <w:t>T Nanhapo Inc.</w:t>
            </w:r>
          </w:p>
          <w:p w:rsidR="0000513F" w:rsidRPr="00650951" w:rsidRDefault="00692710" w:rsidP="00734146">
            <w:pPr>
              <w:pStyle w:val="BodyText2"/>
              <w:jc w:val="center"/>
              <w:rPr>
                <w:i/>
                <w:color w:val="auto"/>
              </w:rPr>
            </w:pPr>
            <w:r w:rsidRPr="00650951">
              <w:rPr>
                <w:color w:val="auto"/>
              </w:rPr>
              <w:t>Windhoek</w:t>
            </w:r>
          </w:p>
        </w:tc>
      </w:tr>
    </w:tbl>
    <w:p w:rsidR="00B845CF" w:rsidRDefault="00B845CF"/>
    <w:sectPr w:rsidR="00B845CF" w:rsidSect="00002E9A">
      <w:head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43" w:rsidRDefault="00E11343" w:rsidP="00B40844">
      <w:pPr>
        <w:spacing w:after="0" w:line="240" w:lineRule="auto"/>
      </w:pPr>
      <w:r>
        <w:separator/>
      </w:r>
    </w:p>
  </w:endnote>
  <w:endnote w:type="continuationSeparator" w:id="0">
    <w:p w:rsidR="00E11343" w:rsidRDefault="00E11343"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43" w:rsidRDefault="00E11343" w:rsidP="00B40844">
      <w:pPr>
        <w:spacing w:after="0" w:line="240" w:lineRule="auto"/>
      </w:pPr>
      <w:r>
        <w:separator/>
      </w:r>
    </w:p>
  </w:footnote>
  <w:footnote w:type="continuationSeparator" w:id="0">
    <w:p w:rsidR="00E11343" w:rsidRDefault="00E11343" w:rsidP="00B40844">
      <w:pPr>
        <w:spacing w:after="0" w:line="240" w:lineRule="auto"/>
      </w:pPr>
      <w:r>
        <w:continuationSeparator/>
      </w:r>
    </w:p>
  </w:footnote>
  <w:footnote w:id="1">
    <w:p w:rsidR="00C75C85" w:rsidRPr="00C75C85" w:rsidRDefault="00C75C85">
      <w:pPr>
        <w:pStyle w:val="FootnoteText"/>
        <w:rPr>
          <w:lang w:val="en-US"/>
        </w:rPr>
      </w:pPr>
      <w:r>
        <w:rPr>
          <w:rStyle w:val="FootnoteReference"/>
        </w:rPr>
        <w:footnoteRef/>
      </w:r>
      <w:r>
        <w:t xml:space="preserve"> </w:t>
      </w:r>
      <w:r w:rsidRPr="00C75C85">
        <w:rPr>
          <w:rFonts w:ascii="Arial" w:hAnsi="Arial" w:cs="Arial"/>
        </w:rPr>
        <w:t xml:space="preserve">PT Damaseb, </w:t>
      </w:r>
      <w:r w:rsidRPr="00C75C85">
        <w:rPr>
          <w:rFonts w:ascii="Arial" w:hAnsi="Arial" w:cs="Arial"/>
          <w:i/>
        </w:rPr>
        <w:t>Court-Managed Civil Procedure of the High Court of Namibia,</w:t>
      </w:r>
      <w:r w:rsidRPr="00C75C85">
        <w:rPr>
          <w:rFonts w:ascii="Arial" w:hAnsi="Arial" w:cs="Arial"/>
        </w:rPr>
        <w:t xml:space="preserve"> 1</w:t>
      </w:r>
      <w:r w:rsidR="00AB48E0" w:rsidRPr="00AB48E0">
        <w:rPr>
          <w:rFonts w:ascii="Arial" w:hAnsi="Arial" w:cs="Arial"/>
          <w:vertAlign w:val="superscript"/>
        </w:rPr>
        <w:t>st</w:t>
      </w:r>
      <w:r w:rsidR="00AB48E0">
        <w:rPr>
          <w:rFonts w:ascii="Arial" w:hAnsi="Arial" w:cs="Arial"/>
        </w:rPr>
        <w:t xml:space="preserve"> E</w:t>
      </w:r>
      <w:r w:rsidRPr="00C75C85">
        <w:rPr>
          <w:rFonts w:ascii="Arial" w:hAnsi="Arial" w:cs="Arial"/>
        </w:rPr>
        <w:t>d 2020, Juta at 13-020</w:t>
      </w:r>
      <w:r w:rsidRPr="00C75C85">
        <w:t>.</w:t>
      </w:r>
    </w:p>
  </w:footnote>
  <w:footnote w:id="2">
    <w:p w:rsidR="00C75C85" w:rsidRPr="00C75C85" w:rsidRDefault="00C75C85">
      <w:pPr>
        <w:pStyle w:val="FootnoteText"/>
        <w:rPr>
          <w:rFonts w:ascii="Arial" w:hAnsi="Arial" w:cs="Arial"/>
          <w:lang w:val="en-US"/>
        </w:rPr>
      </w:pPr>
      <w:r>
        <w:rPr>
          <w:rStyle w:val="FootnoteReference"/>
        </w:rPr>
        <w:footnoteRef/>
      </w:r>
      <w:r>
        <w:t xml:space="preserve"> </w:t>
      </w:r>
      <w:r w:rsidRPr="00C75C85">
        <w:rPr>
          <w:rFonts w:ascii="Arial" w:hAnsi="Arial" w:cs="Arial"/>
          <w:i/>
        </w:rPr>
        <w:t>Futeni Collection (Pty) Ltd v De Duine (Pty)</w:t>
      </w:r>
      <w:r w:rsidRPr="00C75C85">
        <w:rPr>
          <w:rFonts w:ascii="Arial" w:hAnsi="Arial" w:cs="Arial"/>
        </w:rPr>
        <w:t xml:space="preserve"> </w:t>
      </w:r>
      <w:r w:rsidRPr="00C75C85">
        <w:rPr>
          <w:rFonts w:ascii="Arial" w:hAnsi="Arial" w:cs="Arial"/>
          <w:i/>
        </w:rPr>
        <w:t>Ltd</w:t>
      </w:r>
      <w:r>
        <w:rPr>
          <w:rFonts w:ascii="Arial" w:hAnsi="Arial" w:cs="Arial"/>
        </w:rPr>
        <w:t xml:space="preserve"> 2015 (3) NR 829 (HC) at 37</w:t>
      </w:r>
      <w:r w:rsidRPr="00C75C85">
        <w:rPr>
          <w:rFonts w:ascii="Arial" w:hAnsi="Arial" w:cs="Arial"/>
        </w:rPr>
        <w:t>.</w:t>
      </w:r>
    </w:p>
  </w:footnote>
  <w:footnote w:id="3">
    <w:p w:rsidR="00182EC7" w:rsidRPr="00182EC7" w:rsidRDefault="00182EC7">
      <w:pPr>
        <w:pStyle w:val="FootnoteText"/>
        <w:rPr>
          <w:rFonts w:ascii="Arial" w:hAnsi="Arial" w:cs="Arial"/>
          <w:lang w:val="en-US"/>
        </w:rPr>
      </w:pPr>
      <w:r>
        <w:rPr>
          <w:rStyle w:val="FootnoteReference"/>
        </w:rPr>
        <w:footnoteRef/>
      </w:r>
      <w:r>
        <w:t xml:space="preserve"> </w:t>
      </w:r>
      <w:r w:rsidRPr="00182EC7">
        <w:rPr>
          <w:rFonts w:ascii="Arial" w:hAnsi="Arial" w:cs="Arial"/>
          <w:i/>
        </w:rPr>
        <w:t>Kisipile v First National Bank Namibia Ltd</w:t>
      </w:r>
      <w:r w:rsidRPr="00182EC7">
        <w:rPr>
          <w:rFonts w:ascii="Arial" w:hAnsi="Arial" w:cs="Arial"/>
        </w:rPr>
        <w:t xml:space="preserve"> (SA 65-2019) [2021] NASC (25 August 2021)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rsidR="00965C26" w:rsidRDefault="00965C26">
        <w:pPr>
          <w:pStyle w:val="Header"/>
          <w:jc w:val="right"/>
        </w:pPr>
        <w:r>
          <w:fldChar w:fldCharType="begin"/>
        </w:r>
        <w:r>
          <w:instrText xml:space="preserve"> PAGE   \* MERGEFORMAT </w:instrText>
        </w:r>
        <w:r>
          <w:fldChar w:fldCharType="separate"/>
        </w:r>
        <w:r w:rsidR="002A0025">
          <w:rPr>
            <w:noProof/>
          </w:rPr>
          <w:t>5</w:t>
        </w:r>
        <w:r>
          <w:rPr>
            <w:noProof/>
          </w:rPr>
          <w:fldChar w:fldCharType="end"/>
        </w:r>
      </w:p>
    </w:sdtContent>
  </w:sdt>
  <w:p w:rsidR="00965C26" w:rsidRDefault="0096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7FB4E9B"/>
    <w:multiLevelType w:val="hybridMultilevel"/>
    <w:tmpl w:val="A43051AC"/>
    <w:lvl w:ilvl="0" w:tplc="B31CC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E3DB1"/>
    <w:multiLevelType w:val="hybridMultilevel"/>
    <w:tmpl w:val="97AC1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BBA"/>
    <w:multiLevelType w:val="hybridMultilevel"/>
    <w:tmpl w:val="8EB64BCA"/>
    <w:lvl w:ilvl="0" w:tplc="D95642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0443"/>
    <w:multiLevelType w:val="hybridMultilevel"/>
    <w:tmpl w:val="65A6F596"/>
    <w:lvl w:ilvl="0" w:tplc="5808A720">
      <w:start w:val="17"/>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F4420"/>
    <w:multiLevelType w:val="hybridMultilevel"/>
    <w:tmpl w:val="1EA270EA"/>
    <w:lvl w:ilvl="0" w:tplc="7980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558A"/>
    <w:multiLevelType w:val="hybridMultilevel"/>
    <w:tmpl w:val="F864C16A"/>
    <w:lvl w:ilvl="0" w:tplc="31666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4B802CA4"/>
    <w:multiLevelType w:val="hybridMultilevel"/>
    <w:tmpl w:val="9E7A5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845E0"/>
    <w:multiLevelType w:val="hybridMultilevel"/>
    <w:tmpl w:val="B0D467CA"/>
    <w:lvl w:ilvl="0" w:tplc="B3461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C52CC"/>
    <w:multiLevelType w:val="hybridMultilevel"/>
    <w:tmpl w:val="A9547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C535B"/>
    <w:multiLevelType w:val="hybridMultilevel"/>
    <w:tmpl w:val="E06ACA5A"/>
    <w:lvl w:ilvl="0" w:tplc="8DEADEFE">
      <w:start w:val="1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8"/>
  </w:num>
  <w:num w:numId="4">
    <w:abstractNumId w:val="3"/>
  </w:num>
  <w:num w:numId="5">
    <w:abstractNumId w:val="1"/>
  </w:num>
  <w:num w:numId="6">
    <w:abstractNumId w:val="16"/>
  </w:num>
  <w:num w:numId="7">
    <w:abstractNumId w:val="14"/>
  </w:num>
  <w:num w:numId="8">
    <w:abstractNumId w:val="17"/>
  </w:num>
  <w:num w:numId="9">
    <w:abstractNumId w:val="9"/>
  </w:num>
  <w:num w:numId="10">
    <w:abstractNumId w:val="2"/>
  </w:num>
  <w:num w:numId="11">
    <w:abstractNumId w:val="25"/>
  </w:num>
  <w:num w:numId="12">
    <w:abstractNumId w:val="15"/>
  </w:num>
  <w:num w:numId="13">
    <w:abstractNumId w:val="5"/>
  </w:num>
  <w:num w:numId="14">
    <w:abstractNumId w:val="12"/>
  </w:num>
  <w:num w:numId="15">
    <w:abstractNumId w:val="11"/>
  </w:num>
  <w:num w:numId="16">
    <w:abstractNumId w:val="21"/>
  </w:num>
  <w:num w:numId="17">
    <w:abstractNumId w:val="10"/>
  </w:num>
  <w:num w:numId="18">
    <w:abstractNumId w:val="6"/>
  </w:num>
  <w:num w:numId="19">
    <w:abstractNumId w:val="19"/>
  </w:num>
  <w:num w:numId="20">
    <w:abstractNumId w:val="13"/>
  </w:num>
  <w:num w:numId="21">
    <w:abstractNumId w:val="4"/>
  </w:num>
  <w:num w:numId="22">
    <w:abstractNumId w:val="22"/>
  </w:num>
  <w:num w:numId="23">
    <w:abstractNumId w:val="24"/>
  </w:num>
  <w:num w:numId="24">
    <w:abstractNumId w:val="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467D"/>
    <w:rsid w:val="0000513F"/>
    <w:rsid w:val="00006D05"/>
    <w:rsid w:val="00007B32"/>
    <w:rsid w:val="000142CE"/>
    <w:rsid w:val="00015808"/>
    <w:rsid w:val="00025869"/>
    <w:rsid w:val="0002753F"/>
    <w:rsid w:val="00030A66"/>
    <w:rsid w:val="00032152"/>
    <w:rsid w:val="000373DA"/>
    <w:rsid w:val="00051C0E"/>
    <w:rsid w:val="00052806"/>
    <w:rsid w:val="00052A0F"/>
    <w:rsid w:val="00053646"/>
    <w:rsid w:val="00067499"/>
    <w:rsid w:val="000675FE"/>
    <w:rsid w:val="00073F4D"/>
    <w:rsid w:val="00074F29"/>
    <w:rsid w:val="00080C9B"/>
    <w:rsid w:val="00080E56"/>
    <w:rsid w:val="000862C9"/>
    <w:rsid w:val="000929C5"/>
    <w:rsid w:val="00093454"/>
    <w:rsid w:val="000979F3"/>
    <w:rsid w:val="000A358F"/>
    <w:rsid w:val="000A4391"/>
    <w:rsid w:val="000A6E7F"/>
    <w:rsid w:val="000B07EA"/>
    <w:rsid w:val="000B55BA"/>
    <w:rsid w:val="000C03BB"/>
    <w:rsid w:val="000C3FEC"/>
    <w:rsid w:val="000D00E4"/>
    <w:rsid w:val="000D3BDD"/>
    <w:rsid w:val="000D3C9C"/>
    <w:rsid w:val="000D732A"/>
    <w:rsid w:val="000E05A2"/>
    <w:rsid w:val="000E2366"/>
    <w:rsid w:val="000F1377"/>
    <w:rsid w:val="000F287A"/>
    <w:rsid w:val="000F3512"/>
    <w:rsid w:val="000F39A3"/>
    <w:rsid w:val="000F40F8"/>
    <w:rsid w:val="000F681E"/>
    <w:rsid w:val="00101BD9"/>
    <w:rsid w:val="00105E9E"/>
    <w:rsid w:val="001112BA"/>
    <w:rsid w:val="00113CEA"/>
    <w:rsid w:val="00116AFB"/>
    <w:rsid w:val="001223B7"/>
    <w:rsid w:val="00124C63"/>
    <w:rsid w:val="00127D04"/>
    <w:rsid w:val="001327E5"/>
    <w:rsid w:val="0013587A"/>
    <w:rsid w:val="00141F58"/>
    <w:rsid w:val="00152FEA"/>
    <w:rsid w:val="00155AA0"/>
    <w:rsid w:val="00156C35"/>
    <w:rsid w:val="00160ECF"/>
    <w:rsid w:val="001676F3"/>
    <w:rsid w:val="001744E0"/>
    <w:rsid w:val="001823E1"/>
    <w:rsid w:val="00182EC7"/>
    <w:rsid w:val="0018718C"/>
    <w:rsid w:val="001905B2"/>
    <w:rsid w:val="001B3825"/>
    <w:rsid w:val="001C3B87"/>
    <w:rsid w:val="001C5EDB"/>
    <w:rsid w:val="001D24AC"/>
    <w:rsid w:val="001D34F1"/>
    <w:rsid w:val="001E00B8"/>
    <w:rsid w:val="001E097B"/>
    <w:rsid w:val="001E0CEE"/>
    <w:rsid w:val="001E12B3"/>
    <w:rsid w:val="001E6D6B"/>
    <w:rsid w:val="001F1138"/>
    <w:rsid w:val="0020219D"/>
    <w:rsid w:val="00204DCA"/>
    <w:rsid w:val="002065A1"/>
    <w:rsid w:val="002123CA"/>
    <w:rsid w:val="00212D37"/>
    <w:rsid w:val="00217744"/>
    <w:rsid w:val="00217821"/>
    <w:rsid w:val="00224808"/>
    <w:rsid w:val="002317B0"/>
    <w:rsid w:val="002346D4"/>
    <w:rsid w:val="0023549A"/>
    <w:rsid w:val="00235A79"/>
    <w:rsid w:val="00236FFD"/>
    <w:rsid w:val="00241219"/>
    <w:rsid w:val="002457E7"/>
    <w:rsid w:val="002536EA"/>
    <w:rsid w:val="00263E30"/>
    <w:rsid w:val="0026588D"/>
    <w:rsid w:val="00266C6D"/>
    <w:rsid w:val="00272F4E"/>
    <w:rsid w:val="00276736"/>
    <w:rsid w:val="00280EB1"/>
    <w:rsid w:val="002A0025"/>
    <w:rsid w:val="002A4AA3"/>
    <w:rsid w:val="002A4D60"/>
    <w:rsid w:val="002B0E84"/>
    <w:rsid w:val="002B0FE5"/>
    <w:rsid w:val="002B38E0"/>
    <w:rsid w:val="002C1EF6"/>
    <w:rsid w:val="002D20C5"/>
    <w:rsid w:val="002E738E"/>
    <w:rsid w:val="002F5CEB"/>
    <w:rsid w:val="0031179F"/>
    <w:rsid w:val="00311D3E"/>
    <w:rsid w:val="0031523D"/>
    <w:rsid w:val="0031547D"/>
    <w:rsid w:val="00322F39"/>
    <w:rsid w:val="00323AAF"/>
    <w:rsid w:val="00323E22"/>
    <w:rsid w:val="0032410B"/>
    <w:rsid w:val="00326B51"/>
    <w:rsid w:val="00331313"/>
    <w:rsid w:val="00335443"/>
    <w:rsid w:val="00340EA6"/>
    <w:rsid w:val="003413C7"/>
    <w:rsid w:val="00341C0F"/>
    <w:rsid w:val="00344AA0"/>
    <w:rsid w:val="0035617B"/>
    <w:rsid w:val="00357914"/>
    <w:rsid w:val="00366466"/>
    <w:rsid w:val="00371B8F"/>
    <w:rsid w:val="00380DB3"/>
    <w:rsid w:val="0038382D"/>
    <w:rsid w:val="00384B95"/>
    <w:rsid w:val="0038750B"/>
    <w:rsid w:val="0039196F"/>
    <w:rsid w:val="00391CC7"/>
    <w:rsid w:val="00391DE0"/>
    <w:rsid w:val="00394F42"/>
    <w:rsid w:val="003A18AD"/>
    <w:rsid w:val="003A49EA"/>
    <w:rsid w:val="003B1871"/>
    <w:rsid w:val="003B5557"/>
    <w:rsid w:val="003C2574"/>
    <w:rsid w:val="003C4613"/>
    <w:rsid w:val="003D165C"/>
    <w:rsid w:val="003D3059"/>
    <w:rsid w:val="003D36B2"/>
    <w:rsid w:val="003D517E"/>
    <w:rsid w:val="003D7D94"/>
    <w:rsid w:val="003E1B3E"/>
    <w:rsid w:val="003F4BD4"/>
    <w:rsid w:val="00404B70"/>
    <w:rsid w:val="0041133A"/>
    <w:rsid w:val="00412278"/>
    <w:rsid w:val="004169A8"/>
    <w:rsid w:val="004200FD"/>
    <w:rsid w:val="00426C60"/>
    <w:rsid w:val="00431A65"/>
    <w:rsid w:val="004352E5"/>
    <w:rsid w:val="004358E2"/>
    <w:rsid w:val="00435953"/>
    <w:rsid w:val="00436C2B"/>
    <w:rsid w:val="00437201"/>
    <w:rsid w:val="00441476"/>
    <w:rsid w:val="0044191C"/>
    <w:rsid w:val="00442AD9"/>
    <w:rsid w:val="00445FA5"/>
    <w:rsid w:val="004531EB"/>
    <w:rsid w:val="00463486"/>
    <w:rsid w:val="00464D0A"/>
    <w:rsid w:val="004665B1"/>
    <w:rsid w:val="00466B36"/>
    <w:rsid w:val="00473F96"/>
    <w:rsid w:val="00474C2A"/>
    <w:rsid w:val="00475B7A"/>
    <w:rsid w:val="004907E4"/>
    <w:rsid w:val="004936A7"/>
    <w:rsid w:val="004A1B08"/>
    <w:rsid w:val="004A2D48"/>
    <w:rsid w:val="004A52A8"/>
    <w:rsid w:val="004B4D93"/>
    <w:rsid w:val="004C25B3"/>
    <w:rsid w:val="004C485D"/>
    <w:rsid w:val="004C646F"/>
    <w:rsid w:val="004D18F4"/>
    <w:rsid w:val="004E0908"/>
    <w:rsid w:val="004E1437"/>
    <w:rsid w:val="004E6D55"/>
    <w:rsid w:val="004F0805"/>
    <w:rsid w:val="004F3089"/>
    <w:rsid w:val="004F4FAF"/>
    <w:rsid w:val="004F6A2A"/>
    <w:rsid w:val="00503F36"/>
    <w:rsid w:val="00505444"/>
    <w:rsid w:val="005114E6"/>
    <w:rsid w:val="00514B48"/>
    <w:rsid w:val="005224F4"/>
    <w:rsid w:val="00531A71"/>
    <w:rsid w:val="00535F29"/>
    <w:rsid w:val="00536EFF"/>
    <w:rsid w:val="00540509"/>
    <w:rsid w:val="00543CE0"/>
    <w:rsid w:val="0054734C"/>
    <w:rsid w:val="00550465"/>
    <w:rsid w:val="00552964"/>
    <w:rsid w:val="00553B2A"/>
    <w:rsid w:val="00560068"/>
    <w:rsid w:val="00562322"/>
    <w:rsid w:val="005629DA"/>
    <w:rsid w:val="005642CA"/>
    <w:rsid w:val="005676AD"/>
    <w:rsid w:val="00587422"/>
    <w:rsid w:val="00594F6C"/>
    <w:rsid w:val="00595374"/>
    <w:rsid w:val="005A127F"/>
    <w:rsid w:val="005A3876"/>
    <w:rsid w:val="005A4D90"/>
    <w:rsid w:val="005A5672"/>
    <w:rsid w:val="005A6877"/>
    <w:rsid w:val="005A7989"/>
    <w:rsid w:val="005B62A0"/>
    <w:rsid w:val="005C0E24"/>
    <w:rsid w:val="005C21D7"/>
    <w:rsid w:val="005C3354"/>
    <w:rsid w:val="005C3ABD"/>
    <w:rsid w:val="005C5AB4"/>
    <w:rsid w:val="005C7050"/>
    <w:rsid w:val="005C7608"/>
    <w:rsid w:val="005D7BD0"/>
    <w:rsid w:val="005F033D"/>
    <w:rsid w:val="005F325C"/>
    <w:rsid w:val="005F32EB"/>
    <w:rsid w:val="00601890"/>
    <w:rsid w:val="00603F88"/>
    <w:rsid w:val="006056FB"/>
    <w:rsid w:val="00610BF1"/>
    <w:rsid w:val="006115E2"/>
    <w:rsid w:val="006160F2"/>
    <w:rsid w:val="006277B4"/>
    <w:rsid w:val="00633B86"/>
    <w:rsid w:val="00641030"/>
    <w:rsid w:val="00645F86"/>
    <w:rsid w:val="00650951"/>
    <w:rsid w:val="0066520E"/>
    <w:rsid w:val="00672C76"/>
    <w:rsid w:val="0067606C"/>
    <w:rsid w:val="006761B0"/>
    <w:rsid w:val="006771F2"/>
    <w:rsid w:val="00684AAE"/>
    <w:rsid w:val="006916C9"/>
    <w:rsid w:val="00692710"/>
    <w:rsid w:val="0069318B"/>
    <w:rsid w:val="00695745"/>
    <w:rsid w:val="006976D9"/>
    <w:rsid w:val="006A0BA4"/>
    <w:rsid w:val="006A1BD0"/>
    <w:rsid w:val="006A5064"/>
    <w:rsid w:val="006B1D5C"/>
    <w:rsid w:val="006B7210"/>
    <w:rsid w:val="006B7521"/>
    <w:rsid w:val="006D0991"/>
    <w:rsid w:val="006D1814"/>
    <w:rsid w:val="006D7450"/>
    <w:rsid w:val="006E0FD4"/>
    <w:rsid w:val="006E4C31"/>
    <w:rsid w:val="006E610D"/>
    <w:rsid w:val="006F0A4C"/>
    <w:rsid w:val="006F1B9B"/>
    <w:rsid w:val="006F641D"/>
    <w:rsid w:val="00702C62"/>
    <w:rsid w:val="00703171"/>
    <w:rsid w:val="0071022A"/>
    <w:rsid w:val="00710D39"/>
    <w:rsid w:val="007261C4"/>
    <w:rsid w:val="00734146"/>
    <w:rsid w:val="00736DA4"/>
    <w:rsid w:val="00737C3D"/>
    <w:rsid w:val="00742FDE"/>
    <w:rsid w:val="00746C0C"/>
    <w:rsid w:val="00746F26"/>
    <w:rsid w:val="00750584"/>
    <w:rsid w:val="0075246F"/>
    <w:rsid w:val="00766C68"/>
    <w:rsid w:val="0078274D"/>
    <w:rsid w:val="00784253"/>
    <w:rsid w:val="007853D8"/>
    <w:rsid w:val="0078733C"/>
    <w:rsid w:val="00791F57"/>
    <w:rsid w:val="00793238"/>
    <w:rsid w:val="007950C8"/>
    <w:rsid w:val="00796B9C"/>
    <w:rsid w:val="00796C6B"/>
    <w:rsid w:val="007B774E"/>
    <w:rsid w:val="007D0792"/>
    <w:rsid w:val="007D18AE"/>
    <w:rsid w:val="007D6C74"/>
    <w:rsid w:val="007E0B2C"/>
    <w:rsid w:val="007E28C5"/>
    <w:rsid w:val="007E4B40"/>
    <w:rsid w:val="007F397E"/>
    <w:rsid w:val="007F4D99"/>
    <w:rsid w:val="007F68C4"/>
    <w:rsid w:val="008006A3"/>
    <w:rsid w:val="00805692"/>
    <w:rsid w:val="00812409"/>
    <w:rsid w:val="008146A7"/>
    <w:rsid w:val="00815969"/>
    <w:rsid w:val="00816D5D"/>
    <w:rsid w:val="00821A0C"/>
    <w:rsid w:val="0082316B"/>
    <w:rsid w:val="00824E4D"/>
    <w:rsid w:val="008275AC"/>
    <w:rsid w:val="00835300"/>
    <w:rsid w:val="008365E9"/>
    <w:rsid w:val="0084650C"/>
    <w:rsid w:val="008473F9"/>
    <w:rsid w:val="008604EF"/>
    <w:rsid w:val="00882F73"/>
    <w:rsid w:val="008873A0"/>
    <w:rsid w:val="00887BFA"/>
    <w:rsid w:val="00890A20"/>
    <w:rsid w:val="00890C38"/>
    <w:rsid w:val="00892D9A"/>
    <w:rsid w:val="008943D8"/>
    <w:rsid w:val="008A1447"/>
    <w:rsid w:val="008B171D"/>
    <w:rsid w:val="008C2200"/>
    <w:rsid w:val="008C30FD"/>
    <w:rsid w:val="008C3F75"/>
    <w:rsid w:val="008C74AA"/>
    <w:rsid w:val="008D59FE"/>
    <w:rsid w:val="008E0730"/>
    <w:rsid w:val="008E14E7"/>
    <w:rsid w:val="008E746B"/>
    <w:rsid w:val="008F3CA2"/>
    <w:rsid w:val="008F5871"/>
    <w:rsid w:val="008F59A0"/>
    <w:rsid w:val="00904635"/>
    <w:rsid w:val="00905337"/>
    <w:rsid w:val="0091061F"/>
    <w:rsid w:val="009109D5"/>
    <w:rsid w:val="00916D1F"/>
    <w:rsid w:val="009279BE"/>
    <w:rsid w:val="0093211F"/>
    <w:rsid w:val="00937C89"/>
    <w:rsid w:val="00941656"/>
    <w:rsid w:val="00943501"/>
    <w:rsid w:val="0094364A"/>
    <w:rsid w:val="009617AA"/>
    <w:rsid w:val="00965C26"/>
    <w:rsid w:val="00972EAB"/>
    <w:rsid w:val="00972F1D"/>
    <w:rsid w:val="00972FA6"/>
    <w:rsid w:val="009733A9"/>
    <w:rsid w:val="009765E1"/>
    <w:rsid w:val="00987ED8"/>
    <w:rsid w:val="009919F6"/>
    <w:rsid w:val="00993484"/>
    <w:rsid w:val="00997C11"/>
    <w:rsid w:val="00997C83"/>
    <w:rsid w:val="009A4BA3"/>
    <w:rsid w:val="009A7A59"/>
    <w:rsid w:val="009A7ECE"/>
    <w:rsid w:val="009C35C9"/>
    <w:rsid w:val="009C4903"/>
    <w:rsid w:val="009C4BD7"/>
    <w:rsid w:val="009C6F3F"/>
    <w:rsid w:val="009D049E"/>
    <w:rsid w:val="009D27E8"/>
    <w:rsid w:val="009D2C2F"/>
    <w:rsid w:val="009E6375"/>
    <w:rsid w:val="009F24BF"/>
    <w:rsid w:val="00A03231"/>
    <w:rsid w:val="00A04E1C"/>
    <w:rsid w:val="00A10972"/>
    <w:rsid w:val="00A10E40"/>
    <w:rsid w:val="00A15288"/>
    <w:rsid w:val="00A15CD1"/>
    <w:rsid w:val="00A16D7F"/>
    <w:rsid w:val="00A22E0F"/>
    <w:rsid w:val="00A26B7B"/>
    <w:rsid w:val="00A3327E"/>
    <w:rsid w:val="00A33C3D"/>
    <w:rsid w:val="00A410D0"/>
    <w:rsid w:val="00A50F13"/>
    <w:rsid w:val="00A531DB"/>
    <w:rsid w:val="00A561D3"/>
    <w:rsid w:val="00A61F12"/>
    <w:rsid w:val="00A66511"/>
    <w:rsid w:val="00A71C58"/>
    <w:rsid w:val="00A75ED6"/>
    <w:rsid w:val="00A76107"/>
    <w:rsid w:val="00A92030"/>
    <w:rsid w:val="00A92CA8"/>
    <w:rsid w:val="00AA2ED1"/>
    <w:rsid w:val="00AA3ECB"/>
    <w:rsid w:val="00AA5FD6"/>
    <w:rsid w:val="00AA6DF3"/>
    <w:rsid w:val="00AB04B8"/>
    <w:rsid w:val="00AB48E0"/>
    <w:rsid w:val="00AC6531"/>
    <w:rsid w:val="00AC7F32"/>
    <w:rsid w:val="00AD0B9B"/>
    <w:rsid w:val="00AD344A"/>
    <w:rsid w:val="00AD72DD"/>
    <w:rsid w:val="00AE4E72"/>
    <w:rsid w:val="00AF482A"/>
    <w:rsid w:val="00B01B6C"/>
    <w:rsid w:val="00B11B99"/>
    <w:rsid w:val="00B121EA"/>
    <w:rsid w:val="00B13154"/>
    <w:rsid w:val="00B228C7"/>
    <w:rsid w:val="00B27B81"/>
    <w:rsid w:val="00B37723"/>
    <w:rsid w:val="00B40844"/>
    <w:rsid w:val="00B42982"/>
    <w:rsid w:val="00B44025"/>
    <w:rsid w:val="00B44C2B"/>
    <w:rsid w:val="00B45E94"/>
    <w:rsid w:val="00B463CA"/>
    <w:rsid w:val="00B47800"/>
    <w:rsid w:val="00B50C99"/>
    <w:rsid w:val="00B51514"/>
    <w:rsid w:val="00B56E34"/>
    <w:rsid w:val="00B5737E"/>
    <w:rsid w:val="00B57DF2"/>
    <w:rsid w:val="00B601AD"/>
    <w:rsid w:val="00B61AC7"/>
    <w:rsid w:val="00B66380"/>
    <w:rsid w:val="00B76012"/>
    <w:rsid w:val="00B808CB"/>
    <w:rsid w:val="00B845CF"/>
    <w:rsid w:val="00B92DE7"/>
    <w:rsid w:val="00B9407E"/>
    <w:rsid w:val="00B949DE"/>
    <w:rsid w:val="00BA2576"/>
    <w:rsid w:val="00BA31AF"/>
    <w:rsid w:val="00BB13F4"/>
    <w:rsid w:val="00BB277C"/>
    <w:rsid w:val="00BB3273"/>
    <w:rsid w:val="00BB51A9"/>
    <w:rsid w:val="00BC5503"/>
    <w:rsid w:val="00BC5931"/>
    <w:rsid w:val="00BC593B"/>
    <w:rsid w:val="00BE2BD2"/>
    <w:rsid w:val="00BE30F8"/>
    <w:rsid w:val="00BE31AD"/>
    <w:rsid w:val="00BE5BCF"/>
    <w:rsid w:val="00BF4F06"/>
    <w:rsid w:val="00C0210B"/>
    <w:rsid w:val="00C04F28"/>
    <w:rsid w:val="00C06EB4"/>
    <w:rsid w:val="00C073D6"/>
    <w:rsid w:val="00C07922"/>
    <w:rsid w:val="00C25477"/>
    <w:rsid w:val="00C2633E"/>
    <w:rsid w:val="00C3264E"/>
    <w:rsid w:val="00C333CC"/>
    <w:rsid w:val="00C40252"/>
    <w:rsid w:val="00C42987"/>
    <w:rsid w:val="00C42B6D"/>
    <w:rsid w:val="00C43F4A"/>
    <w:rsid w:val="00C545FA"/>
    <w:rsid w:val="00C7285A"/>
    <w:rsid w:val="00C73D5D"/>
    <w:rsid w:val="00C75C85"/>
    <w:rsid w:val="00C77314"/>
    <w:rsid w:val="00C92B3B"/>
    <w:rsid w:val="00C9305A"/>
    <w:rsid w:val="00C96890"/>
    <w:rsid w:val="00CA32E6"/>
    <w:rsid w:val="00CA7995"/>
    <w:rsid w:val="00CB5856"/>
    <w:rsid w:val="00CC7431"/>
    <w:rsid w:val="00CD0FB3"/>
    <w:rsid w:val="00CD62C0"/>
    <w:rsid w:val="00CE0873"/>
    <w:rsid w:val="00CE5E5B"/>
    <w:rsid w:val="00CF00D3"/>
    <w:rsid w:val="00CF413C"/>
    <w:rsid w:val="00D00F16"/>
    <w:rsid w:val="00D01723"/>
    <w:rsid w:val="00D0174E"/>
    <w:rsid w:val="00D072F5"/>
    <w:rsid w:val="00D07B3B"/>
    <w:rsid w:val="00D113DD"/>
    <w:rsid w:val="00D12350"/>
    <w:rsid w:val="00D12B62"/>
    <w:rsid w:val="00D14EF6"/>
    <w:rsid w:val="00D15A0A"/>
    <w:rsid w:val="00D24453"/>
    <w:rsid w:val="00D25285"/>
    <w:rsid w:val="00D26255"/>
    <w:rsid w:val="00D30D4D"/>
    <w:rsid w:val="00D34FA4"/>
    <w:rsid w:val="00D3724C"/>
    <w:rsid w:val="00D37DAA"/>
    <w:rsid w:val="00D5070E"/>
    <w:rsid w:val="00D535DC"/>
    <w:rsid w:val="00D547B6"/>
    <w:rsid w:val="00D6224D"/>
    <w:rsid w:val="00D63ED9"/>
    <w:rsid w:val="00D647CD"/>
    <w:rsid w:val="00D65FAA"/>
    <w:rsid w:val="00D7272F"/>
    <w:rsid w:val="00D76A2A"/>
    <w:rsid w:val="00D80947"/>
    <w:rsid w:val="00D82604"/>
    <w:rsid w:val="00D837ED"/>
    <w:rsid w:val="00D83BAD"/>
    <w:rsid w:val="00D8568E"/>
    <w:rsid w:val="00D85FB1"/>
    <w:rsid w:val="00D913E4"/>
    <w:rsid w:val="00D91FF4"/>
    <w:rsid w:val="00D92090"/>
    <w:rsid w:val="00D923E9"/>
    <w:rsid w:val="00D95D97"/>
    <w:rsid w:val="00D960EA"/>
    <w:rsid w:val="00DA1C85"/>
    <w:rsid w:val="00DA29C9"/>
    <w:rsid w:val="00DA3571"/>
    <w:rsid w:val="00DB4719"/>
    <w:rsid w:val="00DB4EF4"/>
    <w:rsid w:val="00DB5AA2"/>
    <w:rsid w:val="00DB7193"/>
    <w:rsid w:val="00DC4FB5"/>
    <w:rsid w:val="00DD40DA"/>
    <w:rsid w:val="00DD76E7"/>
    <w:rsid w:val="00DE2F19"/>
    <w:rsid w:val="00DF340A"/>
    <w:rsid w:val="00DF367C"/>
    <w:rsid w:val="00DF5778"/>
    <w:rsid w:val="00E0573A"/>
    <w:rsid w:val="00E11343"/>
    <w:rsid w:val="00E11E88"/>
    <w:rsid w:val="00E221FD"/>
    <w:rsid w:val="00E27101"/>
    <w:rsid w:val="00E2753C"/>
    <w:rsid w:val="00E31489"/>
    <w:rsid w:val="00E31539"/>
    <w:rsid w:val="00E33022"/>
    <w:rsid w:val="00E37BD0"/>
    <w:rsid w:val="00E40778"/>
    <w:rsid w:val="00E40ABB"/>
    <w:rsid w:val="00E41BE5"/>
    <w:rsid w:val="00E43BE5"/>
    <w:rsid w:val="00E47852"/>
    <w:rsid w:val="00E533BE"/>
    <w:rsid w:val="00E540B7"/>
    <w:rsid w:val="00E62DB3"/>
    <w:rsid w:val="00E6481E"/>
    <w:rsid w:val="00E70A30"/>
    <w:rsid w:val="00E71FD9"/>
    <w:rsid w:val="00E74D53"/>
    <w:rsid w:val="00E83C8A"/>
    <w:rsid w:val="00E96F9E"/>
    <w:rsid w:val="00EA2DE2"/>
    <w:rsid w:val="00EA5A80"/>
    <w:rsid w:val="00EB1AE0"/>
    <w:rsid w:val="00EC29B1"/>
    <w:rsid w:val="00EC4F7C"/>
    <w:rsid w:val="00ED5B76"/>
    <w:rsid w:val="00ED7008"/>
    <w:rsid w:val="00ED76B2"/>
    <w:rsid w:val="00EF184A"/>
    <w:rsid w:val="00EF2FFD"/>
    <w:rsid w:val="00EF32EA"/>
    <w:rsid w:val="00F0045A"/>
    <w:rsid w:val="00F0235A"/>
    <w:rsid w:val="00F02767"/>
    <w:rsid w:val="00F0488E"/>
    <w:rsid w:val="00F05CAB"/>
    <w:rsid w:val="00F0783D"/>
    <w:rsid w:val="00F17BE3"/>
    <w:rsid w:val="00F258A0"/>
    <w:rsid w:val="00F26CEA"/>
    <w:rsid w:val="00F2784F"/>
    <w:rsid w:val="00F33468"/>
    <w:rsid w:val="00F437B9"/>
    <w:rsid w:val="00F502F0"/>
    <w:rsid w:val="00F51335"/>
    <w:rsid w:val="00F5266E"/>
    <w:rsid w:val="00F52EEA"/>
    <w:rsid w:val="00F5775E"/>
    <w:rsid w:val="00F62BCA"/>
    <w:rsid w:val="00F64D44"/>
    <w:rsid w:val="00F65529"/>
    <w:rsid w:val="00F65903"/>
    <w:rsid w:val="00F65A80"/>
    <w:rsid w:val="00F72231"/>
    <w:rsid w:val="00F758E9"/>
    <w:rsid w:val="00F7691A"/>
    <w:rsid w:val="00F81CC9"/>
    <w:rsid w:val="00F82EDF"/>
    <w:rsid w:val="00F8480F"/>
    <w:rsid w:val="00F92D04"/>
    <w:rsid w:val="00F95E5F"/>
    <w:rsid w:val="00FA07D9"/>
    <w:rsid w:val="00FA45D6"/>
    <w:rsid w:val="00FB2E9E"/>
    <w:rsid w:val="00FB5F14"/>
    <w:rsid w:val="00FB7918"/>
    <w:rsid w:val="00FC2237"/>
    <w:rsid w:val="00FC6F2E"/>
    <w:rsid w:val="00FC7060"/>
    <w:rsid w:val="00FD180D"/>
    <w:rsid w:val="00FD3799"/>
    <w:rsid w:val="00FD68B7"/>
    <w:rsid w:val="00FE4B59"/>
    <w:rsid w:val="00FE64B9"/>
    <w:rsid w:val="00FE66D0"/>
    <w:rsid w:val="00FF1824"/>
    <w:rsid w:val="00FF1A73"/>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C92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B3B"/>
    <w:rPr>
      <w:sz w:val="20"/>
      <w:szCs w:val="20"/>
      <w:lang w:val="en-ZA"/>
    </w:rPr>
  </w:style>
  <w:style w:type="character" w:styleId="EndnoteReference">
    <w:name w:val="endnote reference"/>
    <w:basedOn w:val="DefaultParagraphFont"/>
    <w:uiPriority w:val="99"/>
    <w:semiHidden/>
    <w:unhideWhenUsed/>
    <w:rsid w:val="00C92B3B"/>
    <w:rPr>
      <w:vertAlign w:val="superscript"/>
    </w:rPr>
  </w:style>
  <w:style w:type="paragraph" w:styleId="NoSpacing">
    <w:name w:val="No Spacing"/>
    <w:uiPriority w:val="1"/>
    <w:qFormat/>
    <w:rsid w:val="00965C26"/>
    <w:pPr>
      <w:spacing w:after="0" w:line="240" w:lineRule="auto"/>
    </w:pPr>
    <w:rPr>
      <w:rFonts w:ascii="Calibri" w:eastAsia="Calibri" w:hAnsi="Calibri" w:cs="Times New Roman"/>
      <w:lang w:val="en-ZA"/>
    </w:rPr>
  </w:style>
  <w:style w:type="paragraph" w:styleId="Title">
    <w:name w:val="Title"/>
    <w:basedOn w:val="Normal"/>
    <w:next w:val="Normal"/>
    <w:link w:val="TitleChar"/>
    <w:uiPriority w:val="10"/>
    <w:qFormat/>
    <w:rsid w:val="00AB48E0"/>
    <w:pPr>
      <w:spacing w:after="0" w:line="360" w:lineRule="auto"/>
      <w:jc w:val="center"/>
    </w:pPr>
    <w:rPr>
      <w:rFonts w:ascii="Arial" w:hAnsi="Arial" w:cs="Arial"/>
      <w:b/>
      <w:sz w:val="24"/>
      <w:szCs w:val="24"/>
    </w:rPr>
  </w:style>
  <w:style w:type="character" w:customStyle="1" w:styleId="TitleChar">
    <w:name w:val="Title Char"/>
    <w:basedOn w:val="DefaultParagraphFont"/>
    <w:link w:val="Title"/>
    <w:uiPriority w:val="10"/>
    <w:rsid w:val="00AB48E0"/>
    <w:rPr>
      <w:rFonts w:ascii="Arial" w:hAnsi="Arial" w:cs="Arial"/>
      <w:b/>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2024-04-11T18:30:00+00:00</Judgment_x0020_Date>
    <Year xmlns="c1afb1bd-f2fb-40fd-9abb-aea55b4d7662">2024</Year>
  </documentManagement>
</p:properties>
</file>

<file path=customXml/itemProps1.xml><?xml version="1.0" encoding="utf-8"?>
<ds:datastoreItem xmlns:ds="http://schemas.openxmlformats.org/officeDocument/2006/customXml" ds:itemID="{87215CF1-C8E0-486D-B3C7-24E8CB7FC997}"/>
</file>

<file path=customXml/itemProps2.xml><?xml version="1.0" encoding="utf-8"?>
<ds:datastoreItem xmlns:ds="http://schemas.openxmlformats.org/officeDocument/2006/customXml" ds:itemID="{D9DFDE3C-52F9-4915-9A63-9768E943A92D}"/>
</file>

<file path=customXml/itemProps3.xml><?xml version="1.0" encoding="utf-8"?>
<ds:datastoreItem xmlns:ds="http://schemas.openxmlformats.org/officeDocument/2006/customXml" ds:itemID="{60AA6368-D347-450B-85F5-2BAA13CA4CEE}"/>
</file>

<file path=customXml/itemProps4.xml><?xml version="1.0" encoding="utf-8"?>
<ds:datastoreItem xmlns:ds="http://schemas.openxmlformats.org/officeDocument/2006/customXml" ds:itemID="{C6D38DEC-DBF4-44A6-97D6-A6DB0C018B5A}"/>
</file>

<file path=docProps/app.xml><?xml version="1.0" encoding="utf-8"?>
<Properties xmlns="http://schemas.openxmlformats.org/officeDocument/2006/extended-properties" xmlns:vt="http://schemas.openxmlformats.org/officeDocument/2006/docPropsVTypes">
  <Template>Normal</Template>
  <TotalTime>2</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Ltd v Mukumba (HC-MD-CIV-ACT-CON-2022-00623) [2024] NAHCMD 168 (12 April 2024)</dc:title>
  <dc:subject/>
  <dc:creator>shomany keister</dc:creator>
  <cp:keywords/>
  <dc:description/>
  <cp:lastModifiedBy>Charlet Mokomele</cp:lastModifiedBy>
  <cp:revision>3</cp:revision>
  <cp:lastPrinted>2024-04-12T12:54:00Z</cp:lastPrinted>
  <dcterms:created xsi:type="dcterms:W3CDTF">2024-04-12T14:08:00Z</dcterms:created>
  <dcterms:modified xsi:type="dcterms:W3CDTF">2024-04-12T14:09:00Z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