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B33" w:rsidRPr="00481243" w:rsidRDefault="00365571">
      <w:pPr>
        <w:spacing w:after="0" w:line="480" w:lineRule="auto"/>
        <w:ind w:left="2160"/>
        <w:jc w:val="right"/>
        <w:rPr>
          <w:rFonts w:ascii="Arial" w:hAnsi="Arial" w:cs="Arial"/>
          <w:b/>
          <w:color w:val="000000" w:themeColor="text1"/>
          <w:sz w:val="24"/>
          <w:szCs w:val="24"/>
          <w:lang w:val="en-ZA"/>
        </w:rPr>
      </w:pPr>
      <w:bookmarkStart w:id="0" w:name="_GoBack"/>
      <w:bookmarkEnd w:id="0"/>
      <w:r w:rsidRPr="00481243">
        <w:rPr>
          <w:rFonts w:ascii="Arial" w:hAnsi="Arial" w:cs="Arial"/>
          <w:noProof/>
          <w:color w:val="000000" w:themeColor="text1"/>
          <w:lang w:val="en-ZA" w:eastAsia="en-ZA"/>
        </w:rPr>
        <w:drawing>
          <wp:anchor distT="0" distB="0" distL="114300" distR="114300" simplePos="0" relativeHeight="251659264" behindDoc="0" locked="0" layoutInCell="1" allowOverlap="1">
            <wp:simplePos x="0" y="0"/>
            <wp:positionH relativeFrom="margin">
              <wp:posOffset>2171700</wp:posOffset>
            </wp:positionH>
            <wp:positionV relativeFrom="margin">
              <wp:posOffset>-714375</wp:posOffset>
            </wp:positionV>
            <wp:extent cx="1428750" cy="1485900"/>
            <wp:effectExtent l="19050" t="0" r="0" b="0"/>
            <wp:wrapSquare wrapText="bothSides"/>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428750" cy="1485900"/>
                    </a:xfrm>
                    <a:prstGeom prst="rect">
                      <a:avLst/>
                    </a:prstGeom>
                    <a:noFill/>
                    <a:ln w="9525">
                      <a:noFill/>
                      <a:miter lim="800000"/>
                    </a:ln>
                  </pic:spPr>
                </pic:pic>
              </a:graphicData>
            </a:graphic>
          </wp:anchor>
        </w:drawing>
      </w:r>
    </w:p>
    <w:p w:rsidR="00C05B33" w:rsidRPr="00481243" w:rsidRDefault="00C05B33">
      <w:pPr>
        <w:spacing w:after="0" w:line="480" w:lineRule="auto"/>
        <w:ind w:left="2160"/>
        <w:jc w:val="right"/>
        <w:rPr>
          <w:rFonts w:ascii="Arial" w:hAnsi="Arial" w:cs="Arial"/>
          <w:b/>
          <w:color w:val="000000" w:themeColor="text1"/>
          <w:sz w:val="24"/>
          <w:szCs w:val="24"/>
          <w:lang w:val="en-ZA"/>
        </w:rPr>
      </w:pPr>
    </w:p>
    <w:p w:rsidR="00C05B33" w:rsidRPr="00481243" w:rsidRDefault="00C05B33">
      <w:pPr>
        <w:spacing w:after="0" w:line="240" w:lineRule="auto"/>
        <w:ind w:left="1701"/>
        <w:jc w:val="right"/>
        <w:rPr>
          <w:rFonts w:ascii="Arial" w:hAnsi="Arial" w:cs="Arial"/>
          <w:color w:val="000000" w:themeColor="text1"/>
          <w:sz w:val="24"/>
          <w:szCs w:val="24"/>
          <w:lang w:val="en-ZA"/>
        </w:rPr>
      </w:pPr>
    </w:p>
    <w:p w:rsidR="00C05B33" w:rsidRPr="00481243" w:rsidRDefault="00365571">
      <w:pPr>
        <w:spacing w:after="0" w:line="480" w:lineRule="auto"/>
        <w:jc w:val="right"/>
        <w:rPr>
          <w:rFonts w:ascii="Arial" w:hAnsi="Arial" w:cs="Arial"/>
          <w:b/>
          <w:color w:val="000000" w:themeColor="text1"/>
          <w:sz w:val="24"/>
          <w:szCs w:val="24"/>
        </w:rPr>
      </w:pPr>
      <w:r w:rsidRPr="00481243">
        <w:rPr>
          <w:rFonts w:ascii="Arial" w:hAnsi="Arial" w:cs="Arial"/>
          <w:b/>
          <w:color w:val="000000" w:themeColor="text1"/>
          <w:sz w:val="24"/>
          <w:szCs w:val="24"/>
        </w:rPr>
        <w:t>REPORTABLE</w:t>
      </w:r>
    </w:p>
    <w:p w:rsidR="00C05B33" w:rsidRPr="00481243" w:rsidRDefault="00365571">
      <w:pPr>
        <w:spacing w:after="0" w:line="480" w:lineRule="auto"/>
        <w:jc w:val="right"/>
        <w:rPr>
          <w:rFonts w:ascii="Arial" w:hAnsi="Arial" w:cs="Arial"/>
          <w:color w:val="000000" w:themeColor="text1"/>
          <w:sz w:val="24"/>
          <w:szCs w:val="24"/>
        </w:rPr>
      </w:pPr>
      <w:r w:rsidRPr="00481243">
        <w:rPr>
          <w:rFonts w:ascii="Arial" w:hAnsi="Arial" w:cs="Arial"/>
          <w:color w:val="000000" w:themeColor="text1"/>
          <w:sz w:val="24"/>
          <w:szCs w:val="24"/>
        </w:rPr>
        <w:t>CASE NO: SA 73/2017</w:t>
      </w:r>
    </w:p>
    <w:p w:rsidR="00C05B33" w:rsidRPr="00481243" w:rsidRDefault="00365571">
      <w:pPr>
        <w:spacing w:after="0" w:line="480" w:lineRule="auto"/>
        <w:jc w:val="both"/>
        <w:rPr>
          <w:rFonts w:ascii="Arial" w:hAnsi="Arial" w:cs="Arial"/>
          <w:b/>
          <w:color w:val="000000" w:themeColor="text1"/>
          <w:sz w:val="24"/>
          <w:szCs w:val="24"/>
        </w:rPr>
      </w:pPr>
      <w:r w:rsidRPr="00481243">
        <w:rPr>
          <w:rFonts w:ascii="Arial" w:hAnsi="Arial" w:cs="Arial"/>
          <w:b/>
          <w:color w:val="000000" w:themeColor="text1"/>
          <w:sz w:val="24"/>
          <w:szCs w:val="24"/>
        </w:rPr>
        <w:t>IN THE SUPREME COURT OF NAMIBIA</w:t>
      </w:r>
    </w:p>
    <w:p w:rsidR="00C05B33" w:rsidRPr="00481243" w:rsidRDefault="00C05B33">
      <w:pPr>
        <w:spacing w:after="0" w:line="480" w:lineRule="auto"/>
        <w:jc w:val="both"/>
        <w:rPr>
          <w:rFonts w:ascii="Arial" w:hAnsi="Arial" w:cs="Arial"/>
          <w:color w:val="000000" w:themeColor="text1"/>
          <w:sz w:val="24"/>
          <w:szCs w:val="24"/>
        </w:rPr>
      </w:pPr>
    </w:p>
    <w:p w:rsidR="00C05B33" w:rsidRPr="00481243" w:rsidRDefault="00365571">
      <w:pPr>
        <w:spacing w:after="0" w:line="480" w:lineRule="auto"/>
        <w:jc w:val="both"/>
        <w:rPr>
          <w:rFonts w:ascii="Arial" w:hAnsi="Arial" w:cs="Arial"/>
          <w:color w:val="000000" w:themeColor="text1"/>
          <w:sz w:val="24"/>
          <w:szCs w:val="24"/>
        </w:rPr>
      </w:pPr>
      <w:r w:rsidRPr="00481243">
        <w:rPr>
          <w:rFonts w:ascii="Arial" w:hAnsi="Arial" w:cs="Arial"/>
          <w:color w:val="000000" w:themeColor="text1"/>
          <w:sz w:val="24"/>
          <w:szCs w:val="24"/>
        </w:rPr>
        <w:t>In the matter between:</w:t>
      </w:r>
    </w:p>
    <w:p w:rsidR="00C05B33" w:rsidRPr="00481243" w:rsidRDefault="00C05B33">
      <w:pPr>
        <w:spacing w:after="0" w:line="480" w:lineRule="auto"/>
        <w:jc w:val="both"/>
        <w:rPr>
          <w:rFonts w:ascii="Arial" w:hAnsi="Arial" w:cs="Arial"/>
          <w:color w:val="000000" w:themeColor="text1"/>
          <w:sz w:val="24"/>
          <w:szCs w:val="24"/>
        </w:rPr>
      </w:pPr>
    </w:p>
    <w:tbl>
      <w:tblPr>
        <w:tblW w:w="0" w:type="auto"/>
        <w:tblLook w:val="04A0" w:firstRow="1" w:lastRow="0" w:firstColumn="1" w:lastColumn="0" w:noHBand="0" w:noVBand="1"/>
      </w:tblPr>
      <w:tblGrid>
        <w:gridCol w:w="5821"/>
        <w:gridCol w:w="2967"/>
      </w:tblGrid>
      <w:tr w:rsidR="00481243" w:rsidRPr="00481243">
        <w:tc>
          <w:tcPr>
            <w:tcW w:w="5821" w:type="dxa"/>
            <w:shd w:val="clear" w:color="000000" w:fill="FFFFFF"/>
          </w:tcPr>
          <w:p w:rsidR="00C05B33" w:rsidRPr="00481243" w:rsidRDefault="00365571">
            <w:pPr>
              <w:spacing w:line="480" w:lineRule="auto"/>
              <w:ind w:left="-108"/>
              <w:jc w:val="both"/>
              <w:rPr>
                <w:rFonts w:ascii="Arial" w:hAnsi="Arial" w:cs="Arial"/>
                <w:b/>
                <w:color w:val="000000" w:themeColor="text1"/>
                <w:sz w:val="24"/>
                <w:szCs w:val="24"/>
              </w:rPr>
            </w:pPr>
            <w:r w:rsidRPr="00481243">
              <w:rPr>
                <w:rFonts w:ascii="Arial" w:hAnsi="Arial" w:cs="Arial"/>
                <w:b/>
                <w:color w:val="000000" w:themeColor="text1"/>
                <w:sz w:val="24"/>
                <w:szCs w:val="24"/>
              </w:rPr>
              <w:t>PROSECUTOR-GENERAL</w:t>
            </w:r>
          </w:p>
        </w:tc>
        <w:tc>
          <w:tcPr>
            <w:tcW w:w="2967" w:type="dxa"/>
            <w:shd w:val="clear" w:color="000000" w:fill="FFFFFF"/>
          </w:tcPr>
          <w:p w:rsidR="00C05B33" w:rsidRPr="00481243" w:rsidRDefault="00365571">
            <w:pPr>
              <w:spacing w:line="480" w:lineRule="auto"/>
              <w:jc w:val="right"/>
              <w:rPr>
                <w:rFonts w:ascii="Arial" w:hAnsi="Arial" w:cs="Arial"/>
                <w:b/>
                <w:color w:val="000000" w:themeColor="text1"/>
                <w:sz w:val="24"/>
                <w:szCs w:val="24"/>
              </w:rPr>
            </w:pPr>
            <w:r w:rsidRPr="00481243">
              <w:rPr>
                <w:rFonts w:ascii="Arial" w:hAnsi="Arial" w:cs="Arial"/>
                <w:b/>
                <w:color w:val="000000" w:themeColor="text1"/>
                <w:sz w:val="24"/>
                <w:szCs w:val="24"/>
              </w:rPr>
              <w:t>Appellant</w:t>
            </w:r>
          </w:p>
        </w:tc>
      </w:tr>
      <w:tr w:rsidR="00481243" w:rsidRPr="00481243">
        <w:tc>
          <w:tcPr>
            <w:tcW w:w="5821" w:type="dxa"/>
            <w:shd w:val="clear" w:color="000000" w:fill="FFFFFF"/>
          </w:tcPr>
          <w:p w:rsidR="00C05B33" w:rsidRPr="00481243" w:rsidRDefault="00365571">
            <w:pPr>
              <w:spacing w:line="480" w:lineRule="auto"/>
              <w:ind w:left="-108"/>
              <w:jc w:val="both"/>
              <w:rPr>
                <w:rFonts w:ascii="Arial" w:hAnsi="Arial" w:cs="Arial"/>
                <w:b/>
                <w:color w:val="000000" w:themeColor="text1"/>
                <w:sz w:val="24"/>
                <w:szCs w:val="24"/>
              </w:rPr>
            </w:pPr>
            <w:r w:rsidRPr="00481243">
              <w:rPr>
                <w:rFonts w:ascii="Arial" w:hAnsi="Arial" w:cs="Arial"/>
                <w:color w:val="000000" w:themeColor="text1"/>
                <w:sz w:val="24"/>
                <w:szCs w:val="24"/>
              </w:rPr>
              <w:t>and</w:t>
            </w:r>
          </w:p>
        </w:tc>
        <w:tc>
          <w:tcPr>
            <w:tcW w:w="2967" w:type="dxa"/>
            <w:shd w:val="clear" w:color="000000" w:fill="FFFFFF"/>
          </w:tcPr>
          <w:p w:rsidR="00C05B33" w:rsidRPr="00481243" w:rsidRDefault="00C05B33">
            <w:pPr>
              <w:spacing w:line="480" w:lineRule="auto"/>
              <w:jc w:val="right"/>
              <w:rPr>
                <w:rFonts w:ascii="Arial" w:hAnsi="Arial" w:cs="Arial"/>
                <w:b/>
                <w:color w:val="000000" w:themeColor="text1"/>
                <w:sz w:val="24"/>
                <w:szCs w:val="24"/>
              </w:rPr>
            </w:pPr>
          </w:p>
        </w:tc>
      </w:tr>
      <w:tr w:rsidR="00481243" w:rsidRPr="00481243">
        <w:tc>
          <w:tcPr>
            <w:tcW w:w="5821" w:type="dxa"/>
            <w:shd w:val="clear" w:color="000000" w:fill="FFFFFF"/>
          </w:tcPr>
          <w:p w:rsidR="00C05B33" w:rsidRPr="00481243" w:rsidRDefault="00365571">
            <w:pPr>
              <w:spacing w:line="480" w:lineRule="auto"/>
              <w:ind w:left="-108"/>
              <w:jc w:val="both"/>
              <w:rPr>
                <w:rFonts w:ascii="Arial" w:hAnsi="Arial" w:cs="Arial"/>
                <w:b/>
                <w:color w:val="000000" w:themeColor="text1"/>
                <w:sz w:val="24"/>
                <w:szCs w:val="24"/>
              </w:rPr>
            </w:pPr>
            <w:r w:rsidRPr="00481243">
              <w:rPr>
                <w:rFonts w:ascii="Arial" w:hAnsi="Arial" w:cs="Arial"/>
                <w:b/>
                <w:color w:val="000000" w:themeColor="text1"/>
                <w:sz w:val="24"/>
                <w:szCs w:val="24"/>
              </w:rPr>
              <w:t>ALEXES PAULO</w:t>
            </w:r>
          </w:p>
        </w:tc>
        <w:tc>
          <w:tcPr>
            <w:tcW w:w="2967" w:type="dxa"/>
            <w:shd w:val="clear" w:color="000000" w:fill="FFFFFF"/>
          </w:tcPr>
          <w:p w:rsidR="00C05B33" w:rsidRPr="00481243" w:rsidRDefault="00BE66E8">
            <w:pPr>
              <w:spacing w:line="480" w:lineRule="auto"/>
              <w:jc w:val="right"/>
              <w:rPr>
                <w:rFonts w:ascii="Arial" w:hAnsi="Arial" w:cs="Arial"/>
                <w:b/>
                <w:color w:val="000000" w:themeColor="text1"/>
                <w:sz w:val="24"/>
                <w:szCs w:val="24"/>
              </w:rPr>
            </w:pPr>
            <w:r w:rsidRPr="00481243">
              <w:rPr>
                <w:rFonts w:ascii="Arial" w:hAnsi="Arial" w:cs="Arial"/>
                <w:b/>
                <w:color w:val="000000" w:themeColor="text1"/>
                <w:sz w:val="24"/>
                <w:szCs w:val="24"/>
              </w:rPr>
              <w:t>First</w:t>
            </w:r>
            <w:r w:rsidR="00365571" w:rsidRPr="00481243">
              <w:rPr>
                <w:rFonts w:ascii="Arial" w:hAnsi="Arial" w:cs="Arial"/>
                <w:b/>
                <w:color w:val="000000" w:themeColor="text1"/>
                <w:sz w:val="24"/>
                <w:szCs w:val="24"/>
              </w:rPr>
              <w:t xml:space="preserve"> Respondent</w:t>
            </w:r>
          </w:p>
        </w:tc>
      </w:tr>
      <w:tr w:rsidR="00481243" w:rsidRPr="00481243">
        <w:tc>
          <w:tcPr>
            <w:tcW w:w="5821" w:type="dxa"/>
            <w:shd w:val="clear" w:color="000000" w:fill="FFFFFF"/>
          </w:tcPr>
          <w:p w:rsidR="00C05B33" w:rsidRPr="00481243" w:rsidRDefault="00365571">
            <w:pPr>
              <w:spacing w:line="480" w:lineRule="auto"/>
              <w:ind w:left="-108"/>
              <w:jc w:val="both"/>
              <w:rPr>
                <w:rFonts w:ascii="Arial" w:hAnsi="Arial" w:cs="Arial"/>
                <w:b/>
                <w:color w:val="000000" w:themeColor="text1"/>
                <w:sz w:val="24"/>
                <w:szCs w:val="24"/>
              </w:rPr>
            </w:pPr>
            <w:r w:rsidRPr="00481243">
              <w:rPr>
                <w:rFonts w:ascii="Arial" w:hAnsi="Arial" w:cs="Arial"/>
                <w:b/>
                <w:color w:val="000000" w:themeColor="text1"/>
                <w:sz w:val="24"/>
                <w:szCs w:val="24"/>
              </w:rPr>
              <w:t>RHAPSODY CLOSE CORPORATION</w:t>
            </w:r>
          </w:p>
        </w:tc>
        <w:tc>
          <w:tcPr>
            <w:tcW w:w="2967" w:type="dxa"/>
            <w:shd w:val="clear" w:color="000000" w:fill="FFFFFF"/>
          </w:tcPr>
          <w:p w:rsidR="00C05B33" w:rsidRPr="00481243" w:rsidRDefault="00BE66E8">
            <w:pPr>
              <w:spacing w:line="480" w:lineRule="auto"/>
              <w:jc w:val="right"/>
              <w:rPr>
                <w:rFonts w:ascii="Arial" w:hAnsi="Arial" w:cs="Arial"/>
                <w:b/>
                <w:color w:val="000000" w:themeColor="text1"/>
                <w:sz w:val="24"/>
                <w:szCs w:val="24"/>
              </w:rPr>
            </w:pPr>
            <w:r w:rsidRPr="00481243">
              <w:rPr>
                <w:rFonts w:ascii="Arial" w:hAnsi="Arial" w:cs="Arial"/>
                <w:b/>
                <w:color w:val="000000" w:themeColor="text1"/>
                <w:sz w:val="24"/>
                <w:szCs w:val="24"/>
              </w:rPr>
              <w:t>Second</w:t>
            </w:r>
            <w:r w:rsidR="00365571" w:rsidRPr="00481243">
              <w:rPr>
                <w:rFonts w:ascii="Arial" w:hAnsi="Arial" w:cs="Arial"/>
                <w:b/>
                <w:color w:val="000000" w:themeColor="text1"/>
                <w:sz w:val="24"/>
                <w:szCs w:val="24"/>
              </w:rPr>
              <w:t xml:space="preserve"> Respondent</w:t>
            </w:r>
          </w:p>
        </w:tc>
      </w:tr>
      <w:tr w:rsidR="00481243" w:rsidRPr="00481243">
        <w:tc>
          <w:tcPr>
            <w:tcW w:w="5821" w:type="dxa"/>
            <w:shd w:val="clear" w:color="000000" w:fill="FFFFFF"/>
          </w:tcPr>
          <w:p w:rsidR="00C05B33" w:rsidRPr="00481243" w:rsidRDefault="00C05B33">
            <w:pPr>
              <w:spacing w:after="0" w:line="480" w:lineRule="auto"/>
              <w:ind w:left="-108"/>
              <w:jc w:val="both"/>
              <w:rPr>
                <w:rFonts w:ascii="Arial" w:hAnsi="Arial" w:cs="Arial"/>
                <w:b/>
                <w:color w:val="000000" w:themeColor="text1"/>
                <w:sz w:val="24"/>
                <w:szCs w:val="24"/>
              </w:rPr>
            </w:pPr>
          </w:p>
        </w:tc>
        <w:tc>
          <w:tcPr>
            <w:tcW w:w="2967" w:type="dxa"/>
            <w:shd w:val="clear" w:color="000000" w:fill="FFFFFF"/>
          </w:tcPr>
          <w:p w:rsidR="00C05B33" w:rsidRPr="00481243" w:rsidRDefault="00C05B33">
            <w:pPr>
              <w:spacing w:after="0" w:line="480" w:lineRule="auto"/>
              <w:jc w:val="both"/>
              <w:rPr>
                <w:rFonts w:ascii="Arial" w:hAnsi="Arial" w:cs="Arial"/>
                <w:b/>
                <w:color w:val="000000" w:themeColor="text1"/>
                <w:sz w:val="24"/>
                <w:szCs w:val="24"/>
              </w:rPr>
            </w:pPr>
          </w:p>
        </w:tc>
      </w:tr>
    </w:tbl>
    <w:p w:rsidR="00C05B33" w:rsidRPr="00481243" w:rsidRDefault="00365571">
      <w:pPr>
        <w:spacing w:after="0" w:line="480" w:lineRule="auto"/>
        <w:rPr>
          <w:rFonts w:ascii="Arial" w:hAnsi="Arial" w:cs="Arial"/>
          <w:color w:val="000000" w:themeColor="text1"/>
          <w:sz w:val="24"/>
          <w:szCs w:val="24"/>
        </w:rPr>
      </w:pPr>
      <w:r w:rsidRPr="00481243">
        <w:rPr>
          <w:rFonts w:ascii="Arial" w:hAnsi="Arial" w:cs="Arial"/>
          <w:b/>
          <w:color w:val="000000" w:themeColor="text1"/>
          <w:sz w:val="24"/>
          <w:szCs w:val="24"/>
        </w:rPr>
        <w:t>Coram:</w:t>
      </w:r>
      <w:r w:rsidRPr="00481243">
        <w:rPr>
          <w:rFonts w:ascii="Arial" w:hAnsi="Arial" w:cs="Arial"/>
          <w:color w:val="000000" w:themeColor="text1"/>
          <w:sz w:val="24"/>
          <w:szCs w:val="24"/>
        </w:rPr>
        <w:tab/>
        <w:t xml:space="preserve"> </w:t>
      </w:r>
      <w:r w:rsidR="00BE66E8" w:rsidRPr="00481243">
        <w:rPr>
          <w:rFonts w:ascii="Arial" w:hAnsi="Arial" w:cs="Arial"/>
          <w:color w:val="000000" w:themeColor="text1"/>
          <w:sz w:val="24"/>
          <w:szCs w:val="24"/>
        </w:rPr>
        <w:t xml:space="preserve">HOFF JA, MOKGORO AJA and </w:t>
      </w:r>
      <w:r w:rsidRPr="00481243">
        <w:rPr>
          <w:rFonts w:ascii="Arial" w:hAnsi="Arial" w:cs="Arial"/>
          <w:color w:val="000000" w:themeColor="text1"/>
          <w:sz w:val="24"/>
          <w:szCs w:val="24"/>
        </w:rPr>
        <w:t>NKABINDE AJA</w:t>
      </w:r>
    </w:p>
    <w:p w:rsidR="00C05B33" w:rsidRPr="00481243" w:rsidRDefault="00365571">
      <w:pPr>
        <w:spacing w:after="0" w:line="480" w:lineRule="auto"/>
        <w:jc w:val="both"/>
        <w:rPr>
          <w:rFonts w:ascii="Arial" w:hAnsi="Arial" w:cs="Arial"/>
          <w:color w:val="000000" w:themeColor="text1"/>
          <w:sz w:val="24"/>
          <w:szCs w:val="24"/>
        </w:rPr>
      </w:pPr>
      <w:r w:rsidRPr="00481243">
        <w:rPr>
          <w:rFonts w:ascii="Arial" w:hAnsi="Arial" w:cs="Arial"/>
          <w:b/>
          <w:color w:val="000000" w:themeColor="text1"/>
          <w:sz w:val="24"/>
          <w:szCs w:val="24"/>
        </w:rPr>
        <w:t>Heard:</w:t>
      </w:r>
      <w:r w:rsidRPr="00481243">
        <w:rPr>
          <w:rFonts w:ascii="Arial" w:hAnsi="Arial" w:cs="Arial"/>
          <w:b/>
          <w:color w:val="000000" w:themeColor="text1"/>
          <w:sz w:val="24"/>
          <w:szCs w:val="24"/>
        </w:rPr>
        <w:tab/>
        <w:t>15 March 2019</w:t>
      </w:r>
    </w:p>
    <w:p w:rsidR="00C05B33" w:rsidRPr="00481243" w:rsidRDefault="00365571">
      <w:pPr>
        <w:spacing w:after="0" w:line="480" w:lineRule="auto"/>
        <w:jc w:val="both"/>
        <w:rPr>
          <w:rFonts w:ascii="Arial" w:hAnsi="Arial" w:cs="Arial"/>
          <w:b/>
          <w:color w:val="000000" w:themeColor="text1"/>
          <w:sz w:val="24"/>
          <w:szCs w:val="24"/>
        </w:rPr>
      </w:pPr>
      <w:r w:rsidRPr="00481243">
        <w:rPr>
          <w:rFonts w:ascii="Arial" w:hAnsi="Arial" w:cs="Arial"/>
          <w:b/>
          <w:color w:val="000000" w:themeColor="text1"/>
          <w:sz w:val="24"/>
          <w:szCs w:val="24"/>
        </w:rPr>
        <w:t>Delivered:</w:t>
      </w:r>
      <w:r w:rsidRPr="00481243">
        <w:rPr>
          <w:rFonts w:ascii="Arial" w:hAnsi="Arial" w:cs="Arial"/>
          <w:b/>
          <w:color w:val="000000" w:themeColor="text1"/>
          <w:sz w:val="24"/>
          <w:szCs w:val="24"/>
        </w:rPr>
        <w:tab/>
        <w:t xml:space="preserve"> </w:t>
      </w:r>
      <w:r w:rsidR="003329B8">
        <w:rPr>
          <w:rFonts w:ascii="Arial" w:hAnsi="Arial" w:cs="Arial"/>
          <w:b/>
          <w:color w:val="000000" w:themeColor="text1"/>
          <w:sz w:val="24"/>
          <w:szCs w:val="24"/>
        </w:rPr>
        <w:t>24</w:t>
      </w:r>
      <w:r w:rsidR="00BE66E8" w:rsidRPr="00481243">
        <w:rPr>
          <w:rFonts w:ascii="Arial" w:hAnsi="Arial" w:cs="Arial"/>
          <w:b/>
          <w:color w:val="000000" w:themeColor="text1"/>
          <w:sz w:val="24"/>
          <w:szCs w:val="24"/>
        </w:rPr>
        <w:t xml:space="preserve"> June 2020</w:t>
      </w:r>
      <w:r w:rsidRPr="00481243">
        <w:rPr>
          <w:rFonts w:ascii="Arial" w:hAnsi="Arial" w:cs="Arial"/>
          <w:b/>
          <w:color w:val="000000" w:themeColor="text1"/>
          <w:sz w:val="24"/>
          <w:szCs w:val="24"/>
        </w:rPr>
        <w:t xml:space="preserve">  </w:t>
      </w:r>
    </w:p>
    <w:p w:rsidR="00C05B33" w:rsidRPr="00481243" w:rsidRDefault="00C05B33">
      <w:pPr>
        <w:spacing w:after="0" w:line="360" w:lineRule="auto"/>
        <w:jc w:val="both"/>
        <w:rPr>
          <w:rFonts w:ascii="Arial" w:hAnsi="Arial" w:cs="Arial"/>
          <w:b/>
          <w:color w:val="000000" w:themeColor="text1"/>
          <w:sz w:val="24"/>
          <w:szCs w:val="24"/>
        </w:rPr>
      </w:pPr>
    </w:p>
    <w:p w:rsidR="009E6637" w:rsidRPr="00481243" w:rsidRDefault="00365571" w:rsidP="009E6637">
      <w:pPr>
        <w:spacing w:after="0" w:line="360" w:lineRule="auto"/>
        <w:jc w:val="both"/>
        <w:rPr>
          <w:rFonts w:ascii="Arial" w:hAnsi="Arial"/>
          <w:color w:val="000000" w:themeColor="text1"/>
          <w:sz w:val="24"/>
          <w:szCs w:val="24"/>
          <w:lang w:val="en-ZA" w:eastAsia="en-ZA"/>
        </w:rPr>
      </w:pPr>
      <w:r w:rsidRPr="00481243">
        <w:rPr>
          <w:rFonts w:ascii="Arial" w:hAnsi="Arial" w:cs="Arial"/>
          <w:b/>
          <w:color w:val="000000" w:themeColor="text1"/>
          <w:sz w:val="24"/>
          <w:szCs w:val="24"/>
        </w:rPr>
        <w:t xml:space="preserve">Summary: </w:t>
      </w:r>
      <w:r w:rsidR="009E6637" w:rsidRPr="00481243">
        <w:rPr>
          <w:rFonts w:ascii="Arial" w:hAnsi="Arial"/>
          <w:color w:val="000000" w:themeColor="text1"/>
          <w:sz w:val="24"/>
          <w:szCs w:val="24"/>
          <w:lang w:val="en-ZA" w:eastAsia="en-ZA"/>
        </w:rPr>
        <w:t>The Prosecutor-General of Namibia (th</w:t>
      </w:r>
      <w:r w:rsidR="009E6637" w:rsidRPr="00481243">
        <w:rPr>
          <w:rFonts w:ascii="Arial" w:hAnsi="Arial"/>
          <w:color w:val="000000" w:themeColor="text1"/>
          <w:sz w:val="24"/>
          <w:szCs w:val="24"/>
          <w:lang w:val="en-ZA"/>
        </w:rPr>
        <w:t xml:space="preserve">e appellant) </w:t>
      </w:r>
      <w:r w:rsidR="009E6637" w:rsidRPr="00481243">
        <w:rPr>
          <w:rFonts w:ascii="Arial" w:hAnsi="Arial"/>
          <w:color w:val="000000" w:themeColor="text1"/>
          <w:sz w:val="24"/>
          <w:szCs w:val="24"/>
          <w:lang w:val="en-ZA" w:eastAsia="en-ZA"/>
        </w:rPr>
        <w:t>filed an appeal in this court against the decision of the High Cour</w:t>
      </w:r>
      <w:r w:rsidR="009E6637" w:rsidRPr="00481243">
        <w:rPr>
          <w:rFonts w:ascii="Arial" w:hAnsi="Arial"/>
          <w:color w:val="000000" w:themeColor="text1"/>
          <w:sz w:val="24"/>
          <w:szCs w:val="24"/>
          <w:lang w:val="en-ZA"/>
        </w:rPr>
        <w:t>t declaring her application</w:t>
      </w:r>
      <w:r w:rsidR="009E6637" w:rsidRPr="00481243">
        <w:rPr>
          <w:rFonts w:ascii="Arial" w:hAnsi="Arial"/>
          <w:color w:val="000000" w:themeColor="text1"/>
          <w:sz w:val="24"/>
          <w:szCs w:val="24"/>
          <w:lang w:val="en-ZA" w:eastAsia="en-ZA"/>
        </w:rPr>
        <w:t xml:space="preserve"> for a forfeiture orde</w:t>
      </w:r>
      <w:r w:rsidR="009E6637" w:rsidRPr="00481243">
        <w:rPr>
          <w:rFonts w:ascii="Arial" w:hAnsi="Arial"/>
          <w:color w:val="000000" w:themeColor="text1"/>
          <w:sz w:val="24"/>
          <w:szCs w:val="24"/>
          <w:lang w:val="en-ZA"/>
        </w:rPr>
        <w:t>r in</w:t>
      </w:r>
      <w:r w:rsidR="009E6637" w:rsidRPr="00481243">
        <w:rPr>
          <w:rFonts w:ascii="Arial" w:hAnsi="Arial"/>
          <w:color w:val="000000" w:themeColor="text1"/>
          <w:sz w:val="24"/>
          <w:szCs w:val="24"/>
          <w:lang w:val="en-ZA" w:eastAsia="en-ZA"/>
        </w:rPr>
        <w:t xml:space="preserve"> respect of certain properties of the respondents in terms of section 51 of the Prevention of Organised Crime Act 29 of 2004 (POCA)</w:t>
      </w:r>
      <w:r w:rsidR="009E6637" w:rsidRPr="00481243">
        <w:rPr>
          <w:rFonts w:ascii="Arial" w:hAnsi="Arial"/>
          <w:color w:val="000000" w:themeColor="text1"/>
          <w:sz w:val="24"/>
          <w:szCs w:val="24"/>
          <w:lang w:val="en-ZA"/>
        </w:rPr>
        <w:t xml:space="preserve"> a nullity and struck it</w:t>
      </w:r>
      <w:r w:rsidR="009E6637" w:rsidRPr="00481243">
        <w:rPr>
          <w:rFonts w:ascii="Arial" w:hAnsi="Arial"/>
          <w:color w:val="000000" w:themeColor="text1"/>
          <w:sz w:val="24"/>
          <w:szCs w:val="24"/>
          <w:lang w:val="en-ZA" w:eastAsia="en-ZA"/>
        </w:rPr>
        <w:t xml:space="preserve"> from the roll with costs.  </w:t>
      </w:r>
    </w:p>
    <w:p w:rsidR="009E6637" w:rsidRPr="00481243" w:rsidRDefault="009E6637" w:rsidP="009E6637">
      <w:pPr>
        <w:spacing w:after="0" w:line="360" w:lineRule="auto"/>
        <w:jc w:val="both"/>
        <w:rPr>
          <w:rFonts w:ascii="Arial" w:hAnsi="Arial"/>
          <w:color w:val="000000" w:themeColor="text1"/>
          <w:sz w:val="24"/>
          <w:szCs w:val="24"/>
          <w:lang w:val="en-ZA" w:eastAsia="en-ZA"/>
        </w:rPr>
      </w:pPr>
    </w:p>
    <w:p w:rsidR="009E6637" w:rsidRPr="00481243" w:rsidRDefault="008367BA" w:rsidP="009E6637">
      <w:pPr>
        <w:spacing w:after="0" w:line="360" w:lineRule="auto"/>
        <w:jc w:val="both"/>
        <w:rPr>
          <w:rFonts w:ascii="Arial" w:hAnsi="Arial"/>
          <w:color w:val="000000" w:themeColor="text1"/>
          <w:sz w:val="24"/>
          <w:szCs w:val="24"/>
          <w:lang w:val="en-ZA" w:eastAsia="en-ZA"/>
        </w:rPr>
      </w:pPr>
      <w:r w:rsidRPr="00481243">
        <w:rPr>
          <w:rFonts w:ascii="Arial" w:hAnsi="Arial"/>
          <w:color w:val="000000" w:themeColor="text1"/>
          <w:sz w:val="24"/>
          <w:szCs w:val="24"/>
          <w:lang w:val="en-ZA" w:eastAsia="en-ZA"/>
        </w:rPr>
        <w:t>In the High Court, t</w:t>
      </w:r>
      <w:r w:rsidR="009E6637" w:rsidRPr="00481243">
        <w:rPr>
          <w:rFonts w:ascii="Arial" w:hAnsi="Arial"/>
          <w:color w:val="000000" w:themeColor="text1"/>
          <w:sz w:val="24"/>
          <w:szCs w:val="24"/>
          <w:lang w:val="en-ZA" w:eastAsia="en-ZA"/>
        </w:rPr>
        <w:t xml:space="preserve">he </w:t>
      </w:r>
      <w:r w:rsidR="00BD720A" w:rsidRPr="00481243">
        <w:rPr>
          <w:rFonts w:ascii="Arial" w:hAnsi="Arial"/>
          <w:color w:val="000000" w:themeColor="text1"/>
          <w:sz w:val="24"/>
          <w:szCs w:val="24"/>
          <w:lang w:val="en-ZA" w:eastAsia="en-ZA"/>
        </w:rPr>
        <w:t>appellant</w:t>
      </w:r>
      <w:r w:rsidR="009E6637" w:rsidRPr="00481243">
        <w:rPr>
          <w:rFonts w:ascii="Arial" w:hAnsi="Arial"/>
          <w:color w:val="000000" w:themeColor="text1"/>
          <w:sz w:val="24"/>
          <w:szCs w:val="24"/>
          <w:lang w:val="en-ZA" w:eastAsia="en-ZA"/>
        </w:rPr>
        <w:t xml:space="preserve"> launched an urgent </w:t>
      </w:r>
      <w:r w:rsidR="009E6637" w:rsidRPr="00481243">
        <w:rPr>
          <w:rFonts w:ascii="Arial" w:hAnsi="Arial"/>
          <w:i/>
          <w:color w:val="000000" w:themeColor="text1"/>
          <w:sz w:val="24"/>
          <w:szCs w:val="24"/>
          <w:lang w:val="en-ZA" w:eastAsia="en-ZA"/>
        </w:rPr>
        <w:t>ex parte</w:t>
      </w:r>
      <w:r w:rsidR="009E6637" w:rsidRPr="00481243">
        <w:rPr>
          <w:rFonts w:ascii="Arial" w:hAnsi="Arial"/>
          <w:color w:val="000000" w:themeColor="text1"/>
          <w:sz w:val="24"/>
          <w:szCs w:val="24"/>
          <w:lang w:val="en-ZA" w:eastAsia="en-ZA"/>
        </w:rPr>
        <w:t xml:space="preserve"> application for a preservation of property order in terms of s 51 of POCA, which was granted by the </w:t>
      </w:r>
      <w:r w:rsidRPr="00481243">
        <w:rPr>
          <w:rFonts w:ascii="Arial" w:hAnsi="Arial"/>
          <w:color w:val="000000" w:themeColor="text1"/>
          <w:sz w:val="24"/>
          <w:szCs w:val="24"/>
          <w:lang w:val="en-ZA" w:eastAsia="en-ZA"/>
        </w:rPr>
        <w:lastRenderedPageBreak/>
        <w:t>c</w:t>
      </w:r>
      <w:r w:rsidR="009E6637" w:rsidRPr="00481243">
        <w:rPr>
          <w:rFonts w:ascii="Arial" w:hAnsi="Arial"/>
          <w:color w:val="000000" w:themeColor="text1"/>
          <w:sz w:val="24"/>
          <w:szCs w:val="24"/>
          <w:lang w:val="en-ZA" w:eastAsia="en-ZA"/>
        </w:rPr>
        <w:t>ourt on 24 December 2015. Having duly served the respondents with the preservation order, the respondents delivered to the</w:t>
      </w:r>
      <w:r w:rsidR="009E6637" w:rsidRPr="00481243">
        <w:rPr>
          <w:rFonts w:ascii="Arial" w:hAnsi="Arial"/>
          <w:color w:val="000000" w:themeColor="text1"/>
          <w:sz w:val="24"/>
          <w:szCs w:val="24"/>
          <w:lang w:val="en-ZA"/>
        </w:rPr>
        <w:t xml:space="preserve"> appellant </w:t>
      </w:r>
      <w:r w:rsidR="009E6637" w:rsidRPr="00481243">
        <w:rPr>
          <w:rFonts w:ascii="Arial" w:hAnsi="Arial"/>
          <w:color w:val="000000" w:themeColor="text1"/>
          <w:sz w:val="24"/>
          <w:szCs w:val="24"/>
          <w:lang w:val="en-ZA" w:eastAsia="en-ZA"/>
        </w:rPr>
        <w:t xml:space="preserve">a written notice of their intention to oppose the granting of </w:t>
      </w:r>
      <w:r w:rsidR="00266F58">
        <w:rPr>
          <w:rFonts w:ascii="Arial" w:hAnsi="Arial"/>
          <w:color w:val="000000" w:themeColor="text1"/>
          <w:sz w:val="24"/>
          <w:szCs w:val="24"/>
          <w:lang w:val="en-ZA" w:eastAsia="en-ZA"/>
        </w:rPr>
        <w:t xml:space="preserve">a property forfeiture order on </w:t>
      </w:r>
      <w:r w:rsidR="009E6637" w:rsidRPr="00481243">
        <w:rPr>
          <w:rFonts w:ascii="Arial" w:hAnsi="Arial"/>
          <w:color w:val="000000" w:themeColor="text1"/>
          <w:sz w:val="24"/>
          <w:szCs w:val="24"/>
          <w:lang w:val="en-ZA" w:eastAsia="en-ZA"/>
        </w:rPr>
        <w:t>4 February 2016. In their notice to oppose, the respondents elected to have 13 Pasteur Street, Windhoek Wes</w:t>
      </w:r>
      <w:r w:rsidR="009E6637" w:rsidRPr="00481243">
        <w:rPr>
          <w:rFonts w:ascii="Arial" w:hAnsi="Arial"/>
          <w:color w:val="000000" w:themeColor="text1"/>
          <w:sz w:val="24"/>
          <w:szCs w:val="24"/>
          <w:lang w:val="en-ZA"/>
        </w:rPr>
        <w:t xml:space="preserve">t </w:t>
      </w:r>
      <w:r w:rsidR="009E6637" w:rsidRPr="00481243">
        <w:rPr>
          <w:rFonts w:ascii="Arial" w:hAnsi="Arial"/>
          <w:color w:val="000000" w:themeColor="text1"/>
          <w:sz w:val="24"/>
          <w:szCs w:val="24"/>
          <w:lang w:val="en-ZA" w:eastAsia="en-ZA"/>
        </w:rPr>
        <w:t>as their chosen address at which they would receive further notices relating to any further proceedings affecting the properties as required under s 52(5) of POCA.</w:t>
      </w:r>
    </w:p>
    <w:p w:rsidR="009E6637" w:rsidRPr="00481243" w:rsidRDefault="009E6637" w:rsidP="009E6637">
      <w:pPr>
        <w:spacing w:after="0" w:line="360" w:lineRule="auto"/>
        <w:jc w:val="both"/>
        <w:rPr>
          <w:rFonts w:ascii="Arial" w:hAnsi="Arial"/>
          <w:color w:val="000000" w:themeColor="text1"/>
          <w:sz w:val="24"/>
          <w:szCs w:val="24"/>
          <w:lang w:val="en-ZA" w:eastAsia="en-ZA"/>
        </w:rPr>
      </w:pPr>
    </w:p>
    <w:p w:rsidR="009E6637" w:rsidRPr="00481243" w:rsidRDefault="009E6637" w:rsidP="009E6637">
      <w:pPr>
        <w:spacing w:after="0" w:line="360" w:lineRule="auto"/>
        <w:jc w:val="both"/>
        <w:rPr>
          <w:rFonts w:ascii="Arial" w:hAnsi="Arial"/>
          <w:color w:val="000000" w:themeColor="text1"/>
          <w:sz w:val="24"/>
          <w:szCs w:val="24"/>
          <w:lang w:val="en-ZA" w:eastAsia="en-ZA"/>
        </w:rPr>
      </w:pPr>
      <w:r w:rsidRPr="00481243">
        <w:rPr>
          <w:rFonts w:ascii="Arial" w:hAnsi="Arial"/>
          <w:color w:val="000000" w:themeColor="text1"/>
          <w:sz w:val="24"/>
          <w:szCs w:val="24"/>
          <w:lang w:val="en-ZA" w:eastAsia="en-ZA"/>
        </w:rPr>
        <w:t xml:space="preserve">On 29 April 2016, the </w:t>
      </w:r>
      <w:r w:rsidR="00BD720A" w:rsidRPr="00481243">
        <w:rPr>
          <w:rFonts w:ascii="Arial" w:hAnsi="Arial"/>
          <w:color w:val="000000" w:themeColor="text1"/>
          <w:sz w:val="24"/>
          <w:szCs w:val="24"/>
          <w:lang w:val="en-ZA" w:eastAsia="en-ZA"/>
        </w:rPr>
        <w:t>appellant</w:t>
      </w:r>
      <w:r w:rsidRPr="00481243">
        <w:rPr>
          <w:rFonts w:ascii="Arial" w:hAnsi="Arial"/>
          <w:color w:val="000000" w:themeColor="text1"/>
          <w:sz w:val="24"/>
          <w:szCs w:val="24"/>
          <w:lang w:val="en-ZA" w:eastAsia="en-ZA"/>
        </w:rPr>
        <w:t xml:space="preserve"> launched her application for the forfeiture of the respondents’ properties in terms of s 59(2) read with s 61 of POCA. The respondents raised </w:t>
      </w:r>
      <w:r w:rsidR="00EB67E4" w:rsidRPr="00481243">
        <w:rPr>
          <w:rFonts w:ascii="Arial" w:hAnsi="Arial"/>
          <w:color w:val="000000" w:themeColor="text1"/>
          <w:sz w:val="24"/>
          <w:szCs w:val="24"/>
          <w:lang w:val="en-ZA" w:eastAsia="en-ZA"/>
        </w:rPr>
        <w:t>several</w:t>
      </w:r>
      <w:r w:rsidRPr="00481243">
        <w:rPr>
          <w:rFonts w:ascii="Arial" w:hAnsi="Arial"/>
          <w:color w:val="000000" w:themeColor="text1"/>
          <w:sz w:val="24"/>
          <w:szCs w:val="24"/>
          <w:lang w:val="en-ZA" w:eastAsia="en-ZA"/>
        </w:rPr>
        <w:t xml:space="preserve"> points in </w:t>
      </w:r>
      <w:r w:rsidRPr="00481243">
        <w:rPr>
          <w:rFonts w:ascii="Arial" w:hAnsi="Arial"/>
          <w:i/>
          <w:color w:val="000000" w:themeColor="text1"/>
          <w:sz w:val="24"/>
          <w:szCs w:val="24"/>
          <w:lang w:val="en-ZA" w:eastAsia="en-ZA"/>
        </w:rPr>
        <w:t>limine</w:t>
      </w:r>
      <w:r w:rsidRPr="00481243">
        <w:rPr>
          <w:rFonts w:ascii="Arial" w:hAnsi="Arial"/>
          <w:color w:val="000000" w:themeColor="text1"/>
          <w:sz w:val="24"/>
          <w:szCs w:val="24"/>
          <w:lang w:val="en-ZA" w:eastAsia="en-ZA"/>
        </w:rPr>
        <w:t xml:space="preserve">.  Firstly, the respondents submitted that the </w:t>
      </w:r>
      <w:r w:rsidR="00612E72" w:rsidRPr="00481243">
        <w:rPr>
          <w:rFonts w:ascii="Arial" w:hAnsi="Arial"/>
          <w:color w:val="000000" w:themeColor="text1"/>
          <w:sz w:val="24"/>
          <w:szCs w:val="24"/>
          <w:lang w:val="en-ZA" w:eastAsia="en-ZA"/>
        </w:rPr>
        <w:t>appellant</w:t>
      </w:r>
      <w:r w:rsidRPr="00481243">
        <w:rPr>
          <w:rFonts w:ascii="Arial" w:hAnsi="Arial"/>
          <w:color w:val="000000" w:themeColor="text1"/>
          <w:sz w:val="24"/>
          <w:szCs w:val="24"/>
          <w:lang w:val="en-ZA" w:eastAsia="en-ZA"/>
        </w:rPr>
        <w:t xml:space="preserve"> failed to comply with s 65(1) of POCA in that when she launched the property forfeiture application, the respondents were not issued with the notice of her intention to do so by the Deputy-Sheriff or the Police. Secondly, the respondents submitted that the notice of the </w:t>
      </w:r>
      <w:r w:rsidR="00612E72" w:rsidRPr="00481243">
        <w:rPr>
          <w:rFonts w:ascii="Arial" w:hAnsi="Arial"/>
          <w:color w:val="000000" w:themeColor="text1"/>
          <w:sz w:val="24"/>
          <w:szCs w:val="24"/>
          <w:lang w:val="en-ZA" w:eastAsia="en-ZA"/>
        </w:rPr>
        <w:t>appellant</w:t>
      </w:r>
      <w:r w:rsidRPr="00481243">
        <w:rPr>
          <w:rFonts w:ascii="Arial" w:hAnsi="Arial"/>
          <w:color w:val="000000" w:themeColor="text1"/>
          <w:sz w:val="24"/>
          <w:szCs w:val="24"/>
          <w:lang w:val="en-ZA" w:eastAsia="en-ZA"/>
        </w:rPr>
        <w:t>’s intention to proceed with the application for the property forfeiture was not delivered to the address of the respondents’ legal representative, which was their chosen address in terms of regulation 4(8) of the POCA regulations.  Ultimately, the question before the court revolved around the issue of whether the application for the preservation of the properties and the application for their subsequent forfeiture are two separate, distinct procedures, each with its own case identity, thus raising the question whether the forfeiture application was a new application, separate from that of the property preservation application and whether the</w:t>
      </w:r>
      <w:r w:rsidRPr="00481243">
        <w:rPr>
          <w:rFonts w:ascii="Arial" w:hAnsi="Arial"/>
          <w:color w:val="000000" w:themeColor="text1"/>
          <w:sz w:val="24"/>
          <w:szCs w:val="24"/>
          <w:lang w:val="en-ZA"/>
        </w:rPr>
        <w:t xml:space="preserve"> appellant</w:t>
      </w:r>
      <w:r w:rsidRPr="00481243">
        <w:rPr>
          <w:rFonts w:ascii="Arial" w:hAnsi="Arial"/>
          <w:color w:val="000000" w:themeColor="text1"/>
          <w:sz w:val="24"/>
          <w:szCs w:val="24"/>
          <w:lang w:val="en-ZA" w:eastAsia="en-ZA"/>
        </w:rPr>
        <w:t xml:space="preserve"> had to invoke rule 65</w:t>
      </w:r>
      <w:r w:rsidRPr="00481243">
        <w:rPr>
          <w:rFonts w:ascii="Arial" w:hAnsi="Arial"/>
          <w:color w:val="000000" w:themeColor="text1"/>
          <w:sz w:val="24"/>
          <w:szCs w:val="24"/>
          <w:lang w:val="en-ZA"/>
        </w:rPr>
        <w:t xml:space="preserve">(1) </w:t>
      </w:r>
      <w:r w:rsidRPr="00481243">
        <w:rPr>
          <w:rFonts w:ascii="Arial" w:hAnsi="Arial"/>
          <w:color w:val="000000" w:themeColor="text1"/>
          <w:sz w:val="24"/>
          <w:szCs w:val="24"/>
          <w:lang w:val="en-ZA" w:eastAsia="en-ZA"/>
        </w:rPr>
        <w:t>of the High Court Rules.</w:t>
      </w:r>
    </w:p>
    <w:p w:rsidR="009E6637" w:rsidRPr="00481243" w:rsidRDefault="009E6637" w:rsidP="009E6637">
      <w:pPr>
        <w:spacing w:after="0" w:line="360" w:lineRule="auto"/>
        <w:jc w:val="both"/>
        <w:rPr>
          <w:rFonts w:ascii="Arial" w:hAnsi="Arial"/>
          <w:color w:val="000000" w:themeColor="text1"/>
          <w:sz w:val="24"/>
          <w:szCs w:val="24"/>
          <w:lang w:val="en-ZA" w:eastAsia="en-ZA"/>
        </w:rPr>
      </w:pPr>
    </w:p>
    <w:p w:rsidR="009E6637" w:rsidRPr="00481243" w:rsidRDefault="009E6637" w:rsidP="009E6637">
      <w:pPr>
        <w:spacing w:after="0" w:line="360" w:lineRule="auto"/>
        <w:jc w:val="both"/>
        <w:rPr>
          <w:rFonts w:ascii="Arial" w:hAnsi="Arial"/>
          <w:color w:val="000000" w:themeColor="text1"/>
          <w:sz w:val="24"/>
          <w:szCs w:val="24"/>
          <w:lang w:val="en-ZA" w:eastAsia="en-ZA"/>
        </w:rPr>
      </w:pPr>
      <w:r w:rsidRPr="00481243">
        <w:rPr>
          <w:rFonts w:ascii="Arial" w:hAnsi="Arial"/>
          <w:color w:val="000000" w:themeColor="text1"/>
          <w:sz w:val="24"/>
          <w:szCs w:val="24"/>
          <w:lang w:val="en-ZA" w:eastAsia="en-ZA"/>
        </w:rPr>
        <w:t xml:space="preserve">Before determining the appeal against the decision of the High Court, this court was ceased to deal with the preliminary issues raised by the </w:t>
      </w:r>
      <w:r w:rsidRPr="00481243">
        <w:rPr>
          <w:rFonts w:ascii="Arial" w:hAnsi="Arial"/>
          <w:color w:val="000000" w:themeColor="text1"/>
          <w:sz w:val="24"/>
          <w:szCs w:val="24"/>
          <w:lang w:val="en-ZA"/>
        </w:rPr>
        <w:t>appellant</w:t>
      </w:r>
      <w:r w:rsidRPr="00481243">
        <w:rPr>
          <w:rFonts w:ascii="Arial" w:hAnsi="Arial"/>
          <w:color w:val="000000" w:themeColor="text1"/>
          <w:sz w:val="24"/>
          <w:szCs w:val="24"/>
          <w:lang w:val="en-ZA" w:eastAsia="en-ZA"/>
        </w:rPr>
        <w:t>‘s application for condonation for the non-complia</w:t>
      </w:r>
      <w:r w:rsidR="0077369C" w:rsidRPr="00481243">
        <w:rPr>
          <w:rFonts w:ascii="Arial" w:hAnsi="Arial"/>
          <w:color w:val="000000" w:themeColor="text1"/>
          <w:sz w:val="24"/>
          <w:szCs w:val="24"/>
          <w:lang w:val="en-ZA" w:eastAsia="en-ZA"/>
        </w:rPr>
        <w:t>nce with rules 5 and 21(1)</w:t>
      </w:r>
      <w:r w:rsidRPr="00481243">
        <w:rPr>
          <w:rFonts w:ascii="Arial" w:hAnsi="Arial"/>
          <w:color w:val="000000" w:themeColor="text1"/>
          <w:sz w:val="24"/>
          <w:szCs w:val="24"/>
          <w:lang w:val="en-ZA" w:eastAsia="en-ZA"/>
        </w:rPr>
        <w:t xml:space="preserve"> of the Rules of the Supreme Court. Those rules concern the late submission of the appellant’s</w:t>
      </w:r>
      <w:r w:rsidR="00266F58">
        <w:rPr>
          <w:rFonts w:ascii="Arial" w:hAnsi="Arial"/>
          <w:color w:val="000000" w:themeColor="text1"/>
          <w:sz w:val="24"/>
          <w:szCs w:val="24"/>
          <w:lang w:val="en-ZA" w:eastAsia="en-ZA"/>
        </w:rPr>
        <w:t xml:space="preserve"> bundle of authorities and her</w:t>
      </w:r>
      <w:r w:rsidRPr="00481243">
        <w:rPr>
          <w:rFonts w:ascii="Arial" w:hAnsi="Arial"/>
          <w:color w:val="000000" w:themeColor="text1"/>
          <w:sz w:val="24"/>
          <w:szCs w:val="24"/>
          <w:lang w:val="en-ZA" w:eastAsia="en-ZA"/>
        </w:rPr>
        <w:t xml:space="preserve"> failure to lodge the bundle of authorities simultaneously with the heads of argument in the main matter respectively.</w:t>
      </w:r>
    </w:p>
    <w:p w:rsidR="009E6637" w:rsidRPr="00481243" w:rsidRDefault="009E6637" w:rsidP="009E6637">
      <w:pPr>
        <w:spacing w:after="0" w:line="360" w:lineRule="auto"/>
        <w:jc w:val="both"/>
        <w:rPr>
          <w:rFonts w:ascii="Arial" w:hAnsi="Arial"/>
          <w:color w:val="000000" w:themeColor="text1"/>
          <w:sz w:val="24"/>
          <w:szCs w:val="24"/>
          <w:lang w:val="en-ZA" w:eastAsia="en-ZA"/>
        </w:rPr>
      </w:pPr>
    </w:p>
    <w:p w:rsidR="00C71A4E" w:rsidRPr="00481243" w:rsidRDefault="00C71A4E" w:rsidP="009E6637">
      <w:pPr>
        <w:spacing w:after="0" w:line="360" w:lineRule="auto"/>
        <w:jc w:val="both"/>
        <w:rPr>
          <w:rFonts w:ascii="Arial" w:hAnsi="Arial"/>
          <w:i/>
          <w:color w:val="000000" w:themeColor="text1"/>
          <w:sz w:val="24"/>
          <w:szCs w:val="24"/>
          <w:lang w:val="en-ZA" w:eastAsia="en-ZA"/>
        </w:rPr>
      </w:pPr>
    </w:p>
    <w:p w:rsidR="009E6637" w:rsidRPr="00481243" w:rsidRDefault="009E6637" w:rsidP="009E6637">
      <w:pPr>
        <w:spacing w:after="0" w:line="360" w:lineRule="auto"/>
        <w:jc w:val="both"/>
        <w:rPr>
          <w:rFonts w:ascii="Arial" w:hAnsi="Arial"/>
          <w:i/>
          <w:color w:val="000000" w:themeColor="text1"/>
          <w:sz w:val="24"/>
          <w:szCs w:val="24"/>
          <w:lang w:val="en-ZA" w:eastAsia="en-ZA"/>
        </w:rPr>
      </w:pPr>
      <w:r w:rsidRPr="00481243">
        <w:rPr>
          <w:rFonts w:ascii="Arial" w:hAnsi="Arial"/>
          <w:i/>
          <w:color w:val="000000" w:themeColor="text1"/>
          <w:sz w:val="24"/>
          <w:szCs w:val="24"/>
          <w:lang w:val="en-ZA" w:eastAsia="en-ZA"/>
        </w:rPr>
        <w:lastRenderedPageBreak/>
        <w:t>Ad the condonation application</w:t>
      </w:r>
    </w:p>
    <w:p w:rsidR="009E6637" w:rsidRPr="00481243" w:rsidRDefault="009E6637" w:rsidP="009E6637">
      <w:pPr>
        <w:spacing w:after="0" w:line="360" w:lineRule="auto"/>
        <w:jc w:val="both"/>
        <w:rPr>
          <w:rFonts w:ascii="Arial" w:hAnsi="Arial"/>
          <w:color w:val="000000" w:themeColor="text1"/>
          <w:sz w:val="24"/>
          <w:szCs w:val="24"/>
          <w:lang w:val="en-ZA" w:eastAsia="en-ZA"/>
        </w:rPr>
      </w:pPr>
      <w:r w:rsidRPr="00481243">
        <w:rPr>
          <w:rFonts w:ascii="Arial" w:hAnsi="Arial"/>
          <w:i/>
          <w:color w:val="000000" w:themeColor="text1"/>
          <w:sz w:val="24"/>
          <w:szCs w:val="24"/>
          <w:lang w:val="en-ZA" w:eastAsia="en-ZA"/>
        </w:rPr>
        <w:t xml:space="preserve">Held </w:t>
      </w:r>
      <w:r w:rsidRPr="00481243">
        <w:rPr>
          <w:rFonts w:ascii="Arial" w:hAnsi="Arial"/>
          <w:color w:val="000000" w:themeColor="text1"/>
          <w:sz w:val="24"/>
          <w:szCs w:val="24"/>
          <w:lang w:val="en-ZA" w:eastAsia="en-ZA"/>
        </w:rPr>
        <w:t>that an application for condonation is not there for the asking merely on the basis that a respondent is not opposed to it being granted.  Courts will condone non-compliance with their rules, exercising their discretion based on a number of judicially established factors in the context of the surrounding circumstances of a case.</w:t>
      </w:r>
    </w:p>
    <w:p w:rsidR="009E6637" w:rsidRPr="00481243" w:rsidRDefault="009E6637" w:rsidP="009E6637">
      <w:pPr>
        <w:spacing w:after="0" w:line="360" w:lineRule="auto"/>
        <w:jc w:val="both"/>
        <w:rPr>
          <w:rFonts w:ascii="Arial" w:hAnsi="Arial"/>
          <w:color w:val="000000" w:themeColor="text1"/>
          <w:sz w:val="24"/>
          <w:szCs w:val="24"/>
          <w:lang w:val="en-ZA" w:eastAsia="en-ZA"/>
        </w:rPr>
      </w:pPr>
    </w:p>
    <w:p w:rsidR="009E6637" w:rsidRPr="00481243" w:rsidRDefault="009E6637" w:rsidP="009E6637">
      <w:pPr>
        <w:spacing w:after="0" w:line="360" w:lineRule="auto"/>
        <w:jc w:val="both"/>
        <w:rPr>
          <w:rFonts w:ascii="Arial" w:hAnsi="Arial"/>
          <w:color w:val="000000" w:themeColor="text1"/>
          <w:sz w:val="24"/>
          <w:szCs w:val="24"/>
          <w:lang w:val="en-ZA" w:eastAsia="en-ZA"/>
        </w:rPr>
      </w:pPr>
      <w:r w:rsidRPr="00481243">
        <w:rPr>
          <w:rFonts w:ascii="Arial" w:hAnsi="Arial"/>
          <w:i/>
          <w:color w:val="000000" w:themeColor="text1"/>
          <w:sz w:val="24"/>
          <w:szCs w:val="24"/>
          <w:lang w:val="en-ZA" w:eastAsia="en-ZA"/>
        </w:rPr>
        <w:t xml:space="preserve">Held </w:t>
      </w:r>
      <w:r w:rsidRPr="00481243">
        <w:rPr>
          <w:rFonts w:ascii="Arial" w:hAnsi="Arial"/>
          <w:color w:val="000000" w:themeColor="text1"/>
          <w:sz w:val="24"/>
          <w:szCs w:val="24"/>
          <w:lang w:val="en-ZA" w:eastAsia="en-ZA"/>
        </w:rPr>
        <w:t>that an application for condonation must be submitted as soon as the delay has come to notice. If not, a reasonable, accurate and acceptable explanation for the delay must be provided.</w:t>
      </w:r>
    </w:p>
    <w:p w:rsidR="009E6637" w:rsidRPr="00481243" w:rsidRDefault="009E6637" w:rsidP="009E6637">
      <w:pPr>
        <w:spacing w:after="0" w:line="360" w:lineRule="auto"/>
        <w:jc w:val="both"/>
        <w:rPr>
          <w:rFonts w:ascii="Arial" w:hAnsi="Arial"/>
          <w:color w:val="000000" w:themeColor="text1"/>
          <w:sz w:val="24"/>
          <w:szCs w:val="24"/>
          <w:lang w:val="en-ZA" w:eastAsia="en-ZA"/>
        </w:rPr>
      </w:pPr>
    </w:p>
    <w:p w:rsidR="009E6637" w:rsidRPr="00481243" w:rsidRDefault="009E6637" w:rsidP="009E6637">
      <w:pPr>
        <w:spacing w:after="0" w:line="360" w:lineRule="auto"/>
        <w:jc w:val="both"/>
        <w:rPr>
          <w:rFonts w:ascii="Arial" w:hAnsi="Arial"/>
          <w:color w:val="000000" w:themeColor="text1"/>
          <w:sz w:val="24"/>
          <w:szCs w:val="24"/>
          <w:lang w:val="en-ZA" w:eastAsia="en-ZA"/>
        </w:rPr>
      </w:pPr>
      <w:r w:rsidRPr="00481243">
        <w:rPr>
          <w:rFonts w:ascii="Arial" w:hAnsi="Arial"/>
          <w:i/>
          <w:color w:val="000000" w:themeColor="text1"/>
          <w:sz w:val="24"/>
          <w:szCs w:val="24"/>
          <w:lang w:val="en-ZA" w:eastAsia="en-ZA"/>
        </w:rPr>
        <w:t>Held</w:t>
      </w:r>
      <w:r w:rsidRPr="00481243">
        <w:rPr>
          <w:rFonts w:ascii="Arial" w:hAnsi="Arial"/>
          <w:color w:val="000000" w:themeColor="text1"/>
          <w:sz w:val="24"/>
          <w:szCs w:val="24"/>
          <w:lang w:val="en-ZA" w:eastAsia="en-ZA"/>
        </w:rPr>
        <w:t xml:space="preserve"> that the prospects of succes</w:t>
      </w:r>
      <w:r w:rsidRPr="00481243">
        <w:rPr>
          <w:rFonts w:ascii="Arial" w:hAnsi="Arial"/>
          <w:color w:val="000000" w:themeColor="text1"/>
          <w:sz w:val="24"/>
          <w:szCs w:val="24"/>
          <w:lang w:val="en-ZA"/>
        </w:rPr>
        <w:t xml:space="preserve">s is an additional </w:t>
      </w:r>
      <w:r w:rsidRPr="00481243">
        <w:rPr>
          <w:rFonts w:ascii="Arial" w:hAnsi="Arial"/>
          <w:color w:val="000000" w:themeColor="text1"/>
          <w:sz w:val="24"/>
          <w:szCs w:val="24"/>
          <w:lang w:val="en-ZA" w:eastAsia="en-ZA"/>
        </w:rPr>
        <w:t>consider</w:t>
      </w:r>
      <w:r w:rsidRPr="00481243">
        <w:rPr>
          <w:rFonts w:ascii="Arial" w:hAnsi="Arial"/>
          <w:color w:val="000000" w:themeColor="text1"/>
          <w:sz w:val="24"/>
          <w:szCs w:val="24"/>
          <w:lang w:val="en-ZA"/>
        </w:rPr>
        <w:t xml:space="preserve">ation in determining whether condonation will be granted. </w:t>
      </w:r>
    </w:p>
    <w:p w:rsidR="009E6637" w:rsidRPr="00481243" w:rsidRDefault="009E6637" w:rsidP="009E6637">
      <w:pPr>
        <w:spacing w:after="0" w:line="360" w:lineRule="auto"/>
        <w:jc w:val="both"/>
        <w:rPr>
          <w:rFonts w:ascii="Arial" w:hAnsi="Arial"/>
          <w:color w:val="000000" w:themeColor="text1"/>
          <w:sz w:val="24"/>
          <w:szCs w:val="24"/>
          <w:lang w:val="en-ZA" w:eastAsia="en-ZA"/>
        </w:rPr>
      </w:pPr>
    </w:p>
    <w:p w:rsidR="009E6637" w:rsidRPr="00481243" w:rsidRDefault="009E6637" w:rsidP="009E6637">
      <w:pPr>
        <w:spacing w:after="0" w:line="360" w:lineRule="auto"/>
        <w:jc w:val="both"/>
        <w:rPr>
          <w:rFonts w:ascii="Arial" w:hAnsi="Arial"/>
          <w:color w:val="000000" w:themeColor="text1"/>
          <w:sz w:val="24"/>
          <w:szCs w:val="24"/>
          <w:lang w:val="en-ZA" w:eastAsia="en-ZA"/>
        </w:rPr>
      </w:pPr>
      <w:r w:rsidRPr="00481243">
        <w:rPr>
          <w:rFonts w:ascii="Arial" w:hAnsi="Arial"/>
          <w:i/>
          <w:color w:val="000000" w:themeColor="text1"/>
          <w:sz w:val="24"/>
          <w:szCs w:val="24"/>
          <w:lang w:val="en-ZA" w:eastAsia="en-ZA"/>
        </w:rPr>
        <w:t>Held</w:t>
      </w:r>
      <w:r w:rsidRPr="00481243">
        <w:rPr>
          <w:rFonts w:ascii="Arial" w:hAnsi="Arial"/>
          <w:color w:val="000000" w:themeColor="text1"/>
          <w:sz w:val="24"/>
          <w:szCs w:val="24"/>
          <w:lang w:val="en-ZA" w:eastAsia="en-ZA"/>
        </w:rPr>
        <w:t xml:space="preserve"> that the </w:t>
      </w:r>
      <w:r w:rsidRPr="00481243">
        <w:rPr>
          <w:rFonts w:ascii="Arial" w:hAnsi="Arial"/>
          <w:color w:val="000000" w:themeColor="text1"/>
          <w:sz w:val="24"/>
          <w:szCs w:val="24"/>
          <w:lang w:val="en-ZA"/>
        </w:rPr>
        <w:t>appellant’</w:t>
      </w:r>
      <w:r w:rsidRPr="00481243">
        <w:rPr>
          <w:rFonts w:ascii="Arial" w:hAnsi="Arial"/>
          <w:color w:val="000000" w:themeColor="text1"/>
          <w:sz w:val="24"/>
          <w:szCs w:val="24"/>
          <w:lang w:val="en-ZA" w:eastAsia="en-ZA"/>
        </w:rPr>
        <w:t>s legal representative and the explanation for their non-compliance with the rules was not reasonable, however as soon as the legal representative realized her error she treated the matter with utmost urgency thereby mitigating th</w:t>
      </w:r>
      <w:r w:rsidRPr="00481243">
        <w:rPr>
          <w:rFonts w:ascii="Arial" w:hAnsi="Arial"/>
          <w:color w:val="000000" w:themeColor="text1"/>
          <w:sz w:val="24"/>
          <w:szCs w:val="24"/>
          <w:lang w:val="en-ZA"/>
        </w:rPr>
        <w:t xml:space="preserve">e negative impact </w:t>
      </w:r>
      <w:r w:rsidRPr="00481243">
        <w:rPr>
          <w:rFonts w:ascii="Arial" w:hAnsi="Arial"/>
          <w:color w:val="000000" w:themeColor="text1"/>
          <w:sz w:val="24"/>
          <w:szCs w:val="24"/>
          <w:lang w:val="en-ZA" w:eastAsia="en-ZA"/>
        </w:rPr>
        <w:t xml:space="preserve">of </w:t>
      </w:r>
      <w:r w:rsidRPr="00481243">
        <w:rPr>
          <w:rFonts w:ascii="Arial" w:hAnsi="Arial"/>
          <w:color w:val="000000" w:themeColor="text1"/>
          <w:sz w:val="24"/>
          <w:szCs w:val="24"/>
          <w:lang w:val="en-ZA"/>
        </w:rPr>
        <w:t>the lateness of the bundle of authorities.</w:t>
      </w:r>
    </w:p>
    <w:p w:rsidR="009E6637" w:rsidRPr="00481243" w:rsidRDefault="009E6637" w:rsidP="009E6637">
      <w:pPr>
        <w:spacing w:after="0" w:line="360" w:lineRule="auto"/>
        <w:jc w:val="both"/>
        <w:rPr>
          <w:rFonts w:ascii="Arial" w:hAnsi="Arial"/>
          <w:color w:val="000000" w:themeColor="text1"/>
          <w:sz w:val="24"/>
          <w:szCs w:val="24"/>
          <w:lang w:val="en-ZA" w:eastAsia="en-ZA"/>
        </w:rPr>
      </w:pPr>
    </w:p>
    <w:p w:rsidR="009E6637" w:rsidRPr="00481243" w:rsidRDefault="009E6637" w:rsidP="009E6637">
      <w:pPr>
        <w:spacing w:after="0" w:line="360" w:lineRule="auto"/>
        <w:jc w:val="both"/>
        <w:rPr>
          <w:rFonts w:ascii="Arial" w:hAnsi="Arial"/>
          <w:color w:val="000000" w:themeColor="text1"/>
          <w:sz w:val="24"/>
          <w:szCs w:val="24"/>
          <w:lang w:val="en-ZA" w:eastAsia="en-ZA"/>
        </w:rPr>
      </w:pPr>
      <w:r w:rsidRPr="00481243">
        <w:rPr>
          <w:rFonts w:ascii="Arial" w:hAnsi="Arial"/>
          <w:i/>
          <w:color w:val="000000" w:themeColor="text1"/>
          <w:sz w:val="24"/>
          <w:szCs w:val="24"/>
          <w:lang w:val="en-ZA" w:eastAsia="en-ZA"/>
        </w:rPr>
        <w:t>Held</w:t>
      </w:r>
      <w:r w:rsidRPr="00481243">
        <w:rPr>
          <w:rFonts w:ascii="Arial" w:hAnsi="Arial"/>
          <w:color w:val="000000" w:themeColor="text1"/>
          <w:sz w:val="24"/>
          <w:szCs w:val="24"/>
          <w:lang w:val="en-ZA" w:eastAsia="en-ZA"/>
        </w:rPr>
        <w:t xml:space="preserve"> that</w:t>
      </w:r>
      <w:r w:rsidRPr="00481243">
        <w:rPr>
          <w:rFonts w:ascii="Arial" w:hAnsi="Arial"/>
          <w:color w:val="000000" w:themeColor="text1"/>
          <w:sz w:val="24"/>
          <w:szCs w:val="24"/>
          <w:lang w:val="en-ZA"/>
        </w:rPr>
        <w:t xml:space="preserve"> although t</w:t>
      </w:r>
      <w:r w:rsidRPr="00481243">
        <w:rPr>
          <w:rFonts w:ascii="Arial" w:hAnsi="Arial"/>
          <w:color w:val="000000" w:themeColor="text1"/>
          <w:sz w:val="24"/>
          <w:szCs w:val="24"/>
          <w:lang w:val="en-ZA" w:eastAsia="en-ZA"/>
        </w:rPr>
        <w:t>he High Cour</w:t>
      </w:r>
      <w:r w:rsidRPr="00481243">
        <w:rPr>
          <w:rFonts w:ascii="Arial" w:hAnsi="Arial"/>
          <w:color w:val="000000" w:themeColor="text1"/>
          <w:sz w:val="24"/>
          <w:szCs w:val="24"/>
          <w:lang w:val="en-ZA"/>
        </w:rPr>
        <w:t xml:space="preserve">t did </w:t>
      </w:r>
      <w:r w:rsidRPr="00481243">
        <w:rPr>
          <w:rFonts w:ascii="Arial" w:hAnsi="Arial"/>
          <w:color w:val="000000" w:themeColor="text1"/>
          <w:sz w:val="24"/>
          <w:szCs w:val="24"/>
          <w:lang w:val="en-ZA" w:eastAsia="en-ZA"/>
        </w:rPr>
        <w:t>not addres</w:t>
      </w:r>
      <w:r w:rsidRPr="00481243">
        <w:rPr>
          <w:rFonts w:ascii="Arial" w:hAnsi="Arial"/>
          <w:color w:val="000000" w:themeColor="text1"/>
          <w:sz w:val="24"/>
          <w:szCs w:val="24"/>
          <w:lang w:val="en-ZA"/>
        </w:rPr>
        <w:t>s t</w:t>
      </w:r>
      <w:r w:rsidRPr="00481243">
        <w:rPr>
          <w:rFonts w:ascii="Arial" w:hAnsi="Arial"/>
          <w:color w:val="000000" w:themeColor="text1"/>
          <w:sz w:val="24"/>
          <w:szCs w:val="24"/>
          <w:lang w:val="en-ZA" w:eastAsia="en-ZA"/>
        </w:rPr>
        <w:t>he merits of the</w:t>
      </w:r>
      <w:r w:rsidRPr="00481243">
        <w:rPr>
          <w:rFonts w:ascii="Arial" w:hAnsi="Arial"/>
          <w:color w:val="000000" w:themeColor="text1"/>
          <w:sz w:val="24"/>
          <w:szCs w:val="24"/>
          <w:lang w:val="en-ZA"/>
        </w:rPr>
        <w:t xml:space="preserve"> main matter, the prospects of whether this court is likely to overturn the decision of the High Court in relation to the interlocutory question of the applicability of rule 65(1) in the property forfeiture application must be considered in the determination of the application for condonation in this matter.</w:t>
      </w:r>
    </w:p>
    <w:p w:rsidR="009E6637" w:rsidRPr="00481243" w:rsidRDefault="009E6637" w:rsidP="009E6637">
      <w:pPr>
        <w:spacing w:after="0" w:line="360" w:lineRule="auto"/>
        <w:jc w:val="both"/>
        <w:rPr>
          <w:rFonts w:ascii="Arial" w:hAnsi="Arial"/>
          <w:color w:val="000000" w:themeColor="text1"/>
          <w:sz w:val="24"/>
          <w:szCs w:val="24"/>
          <w:lang w:val="en-ZA" w:eastAsia="en-ZA"/>
        </w:rPr>
      </w:pPr>
    </w:p>
    <w:p w:rsidR="009E6637" w:rsidRPr="00481243" w:rsidRDefault="009E6637" w:rsidP="009E6637">
      <w:pPr>
        <w:spacing w:after="0" w:line="360" w:lineRule="auto"/>
        <w:jc w:val="both"/>
        <w:rPr>
          <w:rFonts w:ascii="Arial" w:hAnsi="Arial"/>
          <w:i/>
          <w:color w:val="000000" w:themeColor="text1"/>
          <w:sz w:val="24"/>
          <w:szCs w:val="24"/>
          <w:lang w:val="en-ZA" w:eastAsia="en-ZA"/>
        </w:rPr>
      </w:pPr>
      <w:r w:rsidRPr="00481243">
        <w:rPr>
          <w:rFonts w:ascii="Arial" w:hAnsi="Arial"/>
          <w:i/>
          <w:color w:val="000000" w:themeColor="text1"/>
          <w:sz w:val="24"/>
          <w:szCs w:val="24"/>
          <w:lang w:val="en-ZA" w:eastAsia="en-ZA"/>
        </w:rPr>
        <w:t>Ad the points in limine</w:t>
      </w:r>
    </w:p>
    <w:p w:rsidR="009E6637" w:rsidRPr="00481243" w:rsidRDefault="009E6637" w:rsidP="009E6637">
      <w:pPr>
        <w:spacing w:after="0" w:line="360" w:lineRule="auto"/>
        <w:jc w:val="both"/>
        <w:rPr>
          <w:rFonts w:ascii="Arial" w:hAnsi="Arial"/>
          <w:color w:val="000000" w:themeColor="text1"/>
          <w:sz w:val="24"/>
          <w:szCs w:val="24"/>
        </w:rPr>
      </w:pPr>
      <w:r w:rsidRPr="00481243">
        <w:rPr>
          <w:rFonts w:ascii="Arial" w:hAnsi="Arial"/>
          <w:i/>
          <w:color w:val="000000" w:themeColor="text1"/>
          <w:sz w:val="24"/>
          <w:szCs w:val="24"/>
        </w:rPr>
        <w:t>Held</w:t>
      </w:r>
      <w:r w:rsidRPr="00481243">
        <w:rPr>
          <w:rFonts w:ascii="Arial" w:hAnsi="Arial"/>
          <w:color w:val="000000" w:themeColor="text1"/>
          <w:sz w:val="24"/>
          <w:szCs w:val="24"/>
        </w:rPr>
        <w:t xml:space="preserve"> that the </w:t>
      </w:r>
      <w:r w:rsidRPr="00481243">
        <w:rPr>
          <w:rFonts w:ascii="Arial" w:hAnsi="Arial"/>
          <w:color w:val="000000" w:themeColor="text1"/>
          <w:sz w:val="24"/>
          <w:szCs w:val="24"/>
          <w:lang w:val="en-ZA" w:eastAsia="en-ZA"/>
        </w:rPr>
        <w:t>property forfeiture proceedings in the context of the application of rule 65 of the High Court rules manifest in a single, but two-stage procedure constituted first by the process that preserves the property, followed by the process forfeiting it to the State.</w:t>
      </w:r>
    </w:p>
    <w:p w:rsidR="009E6637" w:rsidRPr="00481243" w:rsidRDefault="009E6637" w:rsidP="009E6637">
      <w:pPr>
        <w:spacing w:after="0" w:line="360" w:lineRule="auto"/>
        <w:jc w:val="both"/>
        <w:rPr>
          <w:rFonts w:ascii="Arial" w:hAnsi="Arial"/>
          <w:color w:val="000000" w:themeColor="text1"/>
          <w:sz w:val="24"/>
          <w:szCs w:val="24"/>
          <w:lang w:val="en-ZA" w:eastAsia="en-ZA"/>
        </w:rPr>
      </w:pPr>
    </w:p>
    <w:p w:rsidR="009E6637" w:rsidRPr="00481243" w:rsidRDefault="009E6637" w:rsidP="009E6637">
      <w:pPr>
        <w:spacing w:after="0" w:line="360" w:lineRule="auto"/>
        <w:jc w:val="both"/>
        <w:rPr>
          <w:rFonts w:ascii="Arial" w:hAnsi="Arial"/>
          <w:color w:val="000000" w:themeColor="text1"/>
          <w:sz w:val="24"/>
          <w:szCs w:val="24"/>
          <w:lang w:val="en-ZA" w:eastAsia="en-ZA"/>
        </w:rPr>
      </w:pPr>
      <w:r w:rsidRPr="00481243">
        <w:rPr>
          <w:rFonts w:ascii="Arial" w:hAnsi="Arial"/>
          <w:i/>
          <w:color w:val="000000" w:themeColor="text1"/>
          <w:sz w:val="24"/>
          <w:szCs w:val="24"/>
          <w:lang w:val="en-ZA" w:eastAsia="en-ZA"/>
        </w:rPr>
        <w:lastRenderedPageBreak/>
        <w:t>Held</w:t>
      </w:r>
      <w:r w:rsidRPr="00481243">
        <w:rPr>
          <w:rFonts w:ascii="Arial" w:hAnsi="Arial"/>
          <w:color w:val="000000" w:themeColor="text1"/>
          <w:sz w:val="24"/>
          <w:szCs w:val="24"/>
          <w:lang w:val="en-ZA" w:eastAsia="en-ZA"/>
        </w:rPr>
        <w:t xml:space="preserve"> that the High Court was therefore wrong in considering the forfeiture application as a distinct, separate procedure from that of the preservation application.</w:t>
      </w:r>
    </w:p>
    <w:p w:rsidR="009E6637" w:rsidRPr="00481243" w:rsidRDefault="009E6637" w:rsidP="009E6637">
      <w:pPr>
        <w:spacing w:after="0" w:line="360" w:lineRule="auto"/>
        <w:jc w:val="both"/>
        <w:rPr>
          <w:rFonts w:ascii="Arial" w:hAnsi="Arial"/>
          <w:color w:val="000000" w:themeColor="text1"/>
          <w:sz w:val="24"/>
          <w:szCs w:val="24"/>
          <w:lang w:val="en-ZA" w:eastAsia="en-ZA"/>
        </w:rPr>
      </w:pPr>
    </w:p>
    <w:p w:rsidR="009E6637" w:rsidRPr="00481243" w:rsidRDefault="009E6637" w:rsidP="009E6637">
      <w:pPr>
        <w:spacing w:after="0" w:line="360" w:lineRule="auto"/>
        <w:jc w:val="both"/>
        <w:rPr>
          <w:rFonts w:ascii="Arial" w:hAnsi="Arial"/>
          <w:color w:val="000000" w:themeColor="text1"/>
          <w:sz w:val="24"/>
          <w:szCs w:val="24"/>
          <w:lang w:val="en-ZA" w:eastAsia="en-ZA"/>
        </w:rPr>
      </w:pPr>
      <w:r w:rsidRPr="00481243">
        <w:rPr>
          <w:rFonts w:ascii="Arial" w:hAnsi="Arial"/>
          <w:i/>
          <w:color w:val="000000" w:themeColor="text1"/>
          <w:sz w:val="24"/>
          <w:szCs w:val="24"/>
          <w:lang w:val="en-ZA" w:eastAsia="en-ZA"/>
        </w:rPr>
        <w:t xml:space="preserve">Held </w:t>
      </w:r>
      <w:r w:rsidRPr="00481243">
        <w:rPr>
          <w:rFonts w:ascii="Arial" w:hAnsi="Arial"/>
          <w:color w:val="000000" w:themeColor="text1"/>
          <w:sz w:val="24"/>
          <w:szCs w:val="24"/>
          <w:lang w:val="en-ZA" w:eastAsia="en-ZA"/>
        </w:rPr>
        <w:t xml:space="preserve">that the High Court was </w:t>
      </w:r>
      <w:r w:rsidRPr="00481243">
        <w:rPr>
          <w:rFonts w:ascii="Arial" w:hAnsi="Arial"/>
          <w:color w:val="000000" w:themeColor="text1"/>
          <w:sz w:val="24"/>
          <w:szCs w:val="24"/>
          <w:lang w:val="en-ZA"/>
        </w:rPr>
        <w:t xml:space="preserve">therefore </w:t>
      </w:r>
      <w:r w:rsidRPr="00481243">
        <w:rPr>
          <w:rFonts w:ascii="Arial" w:hAnsi="Arial"/>
          <w:color w:val="000000" w:themeColor="text1"/>
          <w:sz w:val="24"/>
          <w:szCs w:val="24"/>
          <w:lang w:val="en-ZA" w:eastAsia="en-ZA"/>
        </w:rPr>
        <w:t>wrong i</w:t>
      </w:r>
      <w:r w:rsidRPr="00481243">
        <w:rPr>
          <w:rFonts w:ascii="Arial" w:hAnsi="Arial"/>
          <w:color w:val="000000" w:themeColor="text1"/>
          <w:sz w:val="24"/>
          <w:szCs w:val="24"/>
          <w:lang w:val="en-ZA"/>
        </w:rPr>
        <w:t xml:space="preserve">n </w:t>
      </w:r>
      <w:r w:rsidRPr="00481243">
        <w:rPr>
          <w:rFonts w:ascii="Arial" w:hAnsi="Arial"/>
          <w:color w:val="000000" w:themeColor="text1"/>
          <w:sz w:val="24"/>
          <w:szCs w:val="24"/>
          <w:lang w:val="en-ZA" w:eastAsia="en-ZA"/>
        </w:rPr>
        <w:t>striking the forfeiture application from the roll. </w:t>
      </w:r>
    </w:p>
    <w:p w:rsidR="009E6637" w:rsidRPr="00481243" w:rsidRDefault="009E6637" w:rsidP="009E6637">
      <w:pPr>
        <w:spacing w:after="0" w:line="360" w:lineRule="auto"/>
        <w:jc w:val="both"/>
        <w:rPr>
          <w:rFonts w:ascii="Arial" w:hAnsi="Arial"/>
          <w:color w:val="000000" w:themeColor="text1"/>
          <w:sz w:val="24"/>
          <w:szCs w:val="24"/>
          <w:lang w:val="en-ZA" w:eastAsia="en-ZA"/>
        </w:rPr>
      </w:pPr>
    </w:p>
    <w:p w:rsidR="009E6637" w:rsidRPr="00481243" w:rsidRDefault="009E6637" w:rsidP="009E6637">
      <w:pPr>
        <w:spacing w:after="0" w:line="360" w:lineRule="auto"/>
        <w:jc w:val="both"/>
        <w:rPr>
          <w:rFonts w:ascii="Arial" w:hAnsi="Arial"/>
          <w:color w:val="000000" w:themeColor="text1"/>
          <w:sz w:val="24"/>
          <w:szCs w:val="24"/>
          <w:lang w:val="en-ZA" w:eastAsia="en-ZA"/>
        </w:rPr>
      </w:pPr>
      <w:r w:rsidRPr="00481243">
        <w:rPr>
          <w:rFonts w:ascii="Arial" w:hAnsi="Arial"/>
          <w:i/>
          <w:color w:val="000000" w:themeColor="text1"/>
          <w:sz w:val="24"/>
          <w:szCs w:val="24"/>
          <w:lang w:val="en-ZA"/>
        </w:rPr>
        <w:t xml:space="preserve">Held </w:t>
      </w:r>
      <w:r w:rsidRPr="00481243">
        <w:rPr>
          <w:rFonts w:ascii="Arial" w:hAnsi="Arial"/>
          <w:color w:val="000000" w:themeColor="text1"/>
          <w:sz w:val="24"/>
          <w:szCs w:val="24"/>
          <w:lang w:val="en-ZA"/>
        </w:rPr>
        <w:t xml:space="preserve">further that this court refrains from considering the application for the forfeiture of the properties, remitting that matter back to the High Court for </w:t>
      </w:r>
      <w:r w:rsidR="00520066" w:rsidRPr="00481243">
        <w:rPr>
          <w:rFonts w:ascii="Arial" w:hAnsi="Arial"/>
          <w:color w:val="000000" w:themeColor="text1"/>
          <w:sz w:val="24"/>
          <w:szCs w:val="24"/>
          <w:lang w:val="en-ZA"/>
        </w:rPr>
        <w:t xml:space="preserve">a </w:t>
      </w:r>
      <w:r w:rsidRPr="00481243">
        <w:rPr>
          <w:rFonts w:ascii="Arial" w:hAnsi="Arial"/>
          <w:color w:val="000000" w:themeColor="text1"/>
          <w:sz w:val="24"/>
          <w:szCs w:val="24"/>
          <w:lang w:val="en-ZA"/>
        </w:rPr>
        <w:t>decision.</w:t>
      </w:r>
    </w:p>
    <w:p w:rsidR="009E6637" w:rsidRPr="00481243" w:rsidRDefault="009E6637" w:rsidP="009E6637">
      <w:pPr>
        <w:spacing w:after="0" w:line="360" w:lineRule="auto"/>
        <w:jc w:val="both"/>
        <w:rPr>
          <w:rFonts w:ascii="Arial" w:hAnsi="Arial"/>
          <w:color w:val="000000" w:themeColor="text1"/>
          <w:sz w:val="24"/>
          <w:szCs w:val="24"/>
          <w:lang w:val="en-ZA" w:eastAsia="en-ZA"/>
        </w:rPr>
      </w:pPr>
    </w:p>
    <w:p w:rsidR="00C05B33" w:rsidRPr="00481243" w:rsidRDefault="009E6637" w:rsidP="00702D7A">
      <w:pPr>
        <w:spacing w:after="0" w:line="360" w:lineRule="auto"/>
        <w:jc w:val="both"/>
        <w:rPr>
          <w:rFonts w:ascii="Arial" w:hAnsi="Arial"/>
          <w:color w:val="000000" w:themeColor="text1"/>
          <w:sz w:val="24"/>
          <w:szCs w:val="24"/>
          <w:lang w:val="en-ZA" w:eastAsia="en-ZA"/>
        </w:rPr>
      </w:pPr>
      <w:r w:rsidRPr="00481243">
        <w:rPr>
          <w:rFonts w:ascii="Arial" w:hAnsi="Arial"/>
          <w:color w:val="000000" w:themeColor="text1"/>
          <w:sz w:val="24"/>
          <w:szCs w:val="24"/>
          <w:lang w:val="en-ZA" w:eastAsia="en-ZA"/>
        </w:rPr>
        <w:t>The appeal is upheld.</w:t>
      </w:r>
    </w:p>
    <w:p w:rsidR="00C05B33" w:rsidRPr="00481243" w:rsidRDefault="00365571">
      <w:pPr>
        <w:spacing w:after="0" w:line="480" w:lineRule="auto"/>
        <w:jc w:val="both"/>
        <w:rPr>
          <w:rFonts w:ascii="Arial" w:hAnsi="Arial" w:cs="Arial"/>
          <w:color w:val="000000" w:themeColor="text1"/>
          <w:sz w:val="24"/>
          <w:szCs w:val="24"/>
        </w:rPr>
      </w:pPr>
      <w:r w:rsidRPr="00481243">
        <w:rPr>
          <w:rFonts w:ascii="Arial" w:hAnsi="Arial" w:cs="Arial"/>
          <w:color w:val="000000" w:themeColor="text1"/>
          <w:sz w:val="24"/>
          <w:szCs w:val="24"/>
        </w:rPr>
        <w:t>_________________________________________________________________</w:t>
      </w:r>
    </w:p>
    <w:p w:rsidR="00C05B33" w:rsidRPr="00481243" w:rsidRDefault="00022DF5">
      <w:pPr>
        <w:spacing w:after="0" w:line="240" w:lineRule="auto"/>
        <w:jc w:val="center"/>
        <w:rPr>
          <w:rFonts w:ascii="Arial" w:hAnsi="Arial" w:cs="Arial"/>
          <w:b/>
          <w:color w:val="000000" w:themeColor="text1"/>
          <w:sz w:val="24"/>
          <w:szCs w:val="24"/>
        </w:rPr>
      </w:pPr>
      <w:r w:rsidRPr="00481243">
        <w:rPr>
          <w:rFonts w:ascii="Arial" w:hAnsi="Arial" w:cs="Arial"/>
          <w:b/>
          <w:color w:val="000000" w:themeColor="text1"/>
          <w:sz w:val="24"/>
          <w:szCs w:val="24"/>
        </w:rPr>
        <w:t>APPEAL JUDGMENT</w:t>
      </w:r>
    </w:p>
    <w:p w:rsidR="00C05B33" w:rsidRPr="00481243" w:rsidRDefault="00365571">
      <w:pPr>
        <w:spacing w:after="0" w:line="480" w:lineRule="auto"/>
        <w:jc w:val="both"/>
        <w:rPr>
          <w:rFonts w:ascii="Arial" w:hAnsi="Arial" w:cs="Arial"/>
          <w:color w:val="000000" w:themeColor="text1"/>
          <w:sz w:val="24"/>
          <w:szCs w:val="24"/>
        </w:rPr>
      </w:pPr>
      <w:r w:rsidRPr="00481243">
        <w:rPr>
          <w:rFonts w:ascii="Arial" w:hAnsi="Arial" w:cs="Arial"/>
          <w:color w:val="000000" w:themeColor="text1"/>
          <w:sz w:val="24"/>
          <w:szCs w:val="24"/>
        </w:rPr>
        <w:t>_________________________________________________________________</w:t>
      </w:r>
    </w:p>
    <w:p w:rsidR="00702D7A" w:rsidRPr="00481243" w:rsidRDefault="00365571">
      <w:pPr>
        <w:spacing w:after="0" w:line="480" w:lineRule="auto"/>
        <w:jc w:val="both"/>
        <w:rPr>
          <w:rFonts w:ascii="Arial" w:hAnsi="Arial" w:cs="Arial"/>
          <w:color w:val="000000" w:themeColor="text1"/>
          <w:sz w:val="24"/>
          <w:szCs w:val="24"/>
        </w:rPr>
      </w:pPr>
      <w:r w:rsidRPr="00481243">
        <w:rPr>
          <w:rFonts w:ascii="Arial" w:hAnsi="Arial" w:cs="Arial"/>
          <w:color w:val="000000" w:themeColor="text1"/>
          <w:sz w:val="24"/>
          <w:szCs w:val="24"/>
        </w:rPr>
        <w:t>MOKGORO AJA (HOFF JA and NKABINDE AJA concurring):</w:t>
      </w:r>
    </w:p>
    <w:p w:rsidR="00702D7A" w:rsidRPr="00481243" w:rsidRDefault="00702D7A" w:rsidP="00702D7A">
      <w:pPr>
        <w:spacing w:after="0" w:line="480" w:lineRule="auto"/>
        <w:jc w:val="both"/>
        <w:rPr>
          <w:rFonts w:ascii="Arial" w:hAnsi="Arial"/>
          <w:color w:val="000000" w:themeColor="text1"/>
          <w:sz w:val="24"/>
          <w:szCs w:val="24"/>
          <w:u w:val="single"/>
          <w:lang w:val="en-ZA" w:eastAsia="en-ZA"/>
        </w:rPr>
      </w:pPr>
      <w:r w:rsidRPr="00481243">
        <w:rPr>
          <w:rFonts w:ascii="Arial" w:hAnsi="Arial"/>
          <w:color w:val="000000" w:themeColor="text1"/>
          <w:sz w:val="24"/>
          <w:szCs w:val="24"/>
          <w:u w:val="single"/>
          <w:lang w:val="en-ZA" w:eastAsia="en-ZA"/>
        </w:rPr>
        <w:t>Introduction</w:t>
      </w:r>
    </w:p>
    <w:p w:rsidR="00702D7A" w:rsidRPr="00481243" w:rsidRDefault="00702D7A" w:rsidP="00702D7A">
      <w:pPr>
        <w:pStyle w:val="ListParagraph"/>
        <w:numPr>
          <w:ilvl w:val="0"/>
          <w:numId w:val="46"/>
        </w:numPr>
        <w:spacing w:after="0" w:line="480" w:lineRule="auto"/>
        <w:ind w:left="0" w:firstLine="0"/>
        <w:jc w:val="both"/>
        <w:rPr>
          <w:rFonts w:ascii="Arial" w:hAnsi="Arial"/>
          <w:color w:val="000000" w:themeColor="text1"/>
          <w:sz w:val="24"/>
          <w:szCs w:val="24"/>
          <w:u w:val="single"/>
          <w:lang w:val="en-ZA" w:eastAsia="en-ZA"/>
        </w:rPr>
      </w:pPr>
      <w:r w:rsidRPr="00481243">
        <w:rPr>
          <w:rFonts w:ascii="Arial" w:hAnsi="Arial"/>
          <w:color w:val="000000" w:themeColor="text1"/>
          <w:sz w:val="24"/>
          <w:szCs w:val="24"/>
          <w:lang w:val="en-ZA" w:eastAsia="en-ZA"/>
        </w:rPr>
        <w:t>This is an appeal by the Prosecutor-Genera</w:t>
      </w:r>
      <w:r w:rsidRPr="00481243">
        <w:rPr>
          <w:rFonts w:ascii="Arial" w:hAnsi="Arial"/>
          <w:color w:val="000000" w:themeColor="text1"/>
          <w:sz w:val="24"/>
          <w:szCs w:val="24"/>
          <w:lang w:val="en-ZA"/>
        </w:rPr>
        <w:t xml:space="preserve">l </w:t>
      </w:r>
      <w:r w:rsidRPr="00481243">
        <w:rPr>
          <w:rFonts w:ascii="Arial" w:hAnsi="Arial"/>
          <w:color w:val="000000" w:themeColor="text1"/>
          <w:sz w:val="24"/>
          <w:szCs w:val="24"/>
          <w:lang w:val="en-ZA" w:eastAsia="en-ZA"/>
        </w:rPr>
        <w:t>of Namibia (</w:t>
      </w:r>
      <w:r w:rsidRPr="00481243">
        <w:rPr>
          <w:rFonts w:ascii="Arial" w:hAnsi="Arial"/>
          <w:color w:val="000000" w:themeColor="text1"/>
          <w:sz w:val="24"/>
          <w:szCs w:val="24"/>
          <w:lang w:val="en-ZA"/>
        </w:rPr>
        <w:t>appellant)</w:t>
      </w:r>
      <w:r w:rsidRPr="00481243">
        <w:rPr>
          <w:rFonts w:ascii="Arial" w:hAnsi="Arial"/>
          <w:color w:val="000000" w:themeColor="text1"/>
          <w:sz w:val="24"/>
          <w:szCs w:val="24"/>
          <w:lang w:val="en-ZA" w:eastAsia="en-ZA"/>
        </w:rPr>
        <w:t xml:space="preserve"> against the decision of the High Court, striking from the court roll with costs, her application for a</w:t>
      </w:r>
      <w:r w:rsidRPr="00481243">
        <w:rPr>
          <w:rFonts w:ascii="Arial" w:hAnsi="Arial"/>
          <w:color w:val="000000" w:themeColor="text1"/>
          <w:sz w:val="24"/>
          <w:szCs w:val="24"/>
          <w:lang w:val="en-ZA"/>
        </w:rPr>
        <w:t xml:space="preserve"> forfeiture </w:t>
      </w:r>
      <w:r w:rsidRPr="00481243">
        <w:rPr>
          <w:rFonts w:ascii="Arial" w:hAnsi="Arial"/>
          <w:color w:val="000000" w:themeColor="text1"/>
          <w:sz w:val="24"/>
          <w:szCs w:val="24"/>
          <w:lang w:val="en-ZA" w:eastAsia="en-ZA"/>
        </w:rPr>
        <w:t>order in respect of the properties of the respondents in terms of section 5</w:t>
      </w:r>
      <w:r w:rsidR="00266F58">
        <w:rPr>
          <w:rFonts w:ascii="Arial" w:hAnsi="Arial"/>
          <w:color w:val="000000" w:themeColor="text1"/>
          <w:sz w:val="24"/>
          <w:szCs w:val="24"/>
          <w:lang w:val="en-ZA" w:eastAsia="en-ZA"/>
        </w:rPr>
        <w:t>9</w:t>
      </w:r>
      <w:r w:rsidRPr="00481243">
        <w:rPr>
          <w:rFonts w:ascii="Arial" w:hAnsi="Arial"/>
          <w:color w:val="000000" w:themeColor="text1"/>
          <w:sz w:val="24"/>
          <w:szCs w:val="24"/>
          <w:lang w:val="en-ZA" w:eastAsia="en-ZA"/>
        </w:rPr>
        <w:t xml:space="preserve"> of the Prevention of Organised Crime Act 29 of 2004 (POCA)</w:t>
      </w:r>
      <w:r w:rsidRPr="00481243">
        <w:rPr>
          <w:rFonts w:ascii="Arial" w:hAnsi="Arial"/>
          <w:color w:val="000000" w:themeColor="text1"/>
          <w:sz w:val="24"/>
          <w:szCs w:val="24"/>
          <w:lang w:val="en-ZA"/>
        </w:rPr>
        <w:t>. The first respondent is Alexes Pa</w:t>
      </w:r>
      <w:r w:rsidR="007D4484" w:rsidRPr="00481243">
        <w:rPr>
          <w:rFonts w:ascii="Arial" w:hAnsi="Arial"/>
          <w:color w:val="000000" w:themeColor="text1"/>
          <w:sz w:val="24"/>
          <w:szCs w:val="24"/>
          <w:lang w:val="en-ZA"/>
        </w:rPr>
        <w:t>u</w:t>
      </w:r>
      <w:r w:rsidRPr="00481243">
        <w:rPr>
          <w:rFonts w:ascii="Arial" w:hAnsi="Arial"/>
          <w:color w:val="000000" w:themeColor="text1"/>
          <w:sz w:val="24"/>
          <w:szCs w:val="24"/>
          <w:lang w:val="en-ZA"/>
        </w:rPr>
        <w:t>lo, a businessman of Angolan origin and the only membe</w:t>
      </w:r>
      <w:r w:rsidR="004703E9" w:rsidRPr="00481243">
        <w:rPr>
          <w:rFonts w:ascii="Arial" w:hAnsi="Arial"/>
          <w:color w:val="000000" w:themeColor="text1"/>
          <w:sz w:val="24"/>
          <w:szCs w:val="24"/>
          <w:lang w:val="en-ZA"/>
        </w:rPr>
        <w:t xml:space="preserve">r of the </w:t>
      </w:r>
      <w:r w:rsidR="00306FAB" w:rsidRPr="00481243">
        <w:rPr>
          <w:rFonts w:ascii="Arial" w:hAnsi="Arial"/>
          <w:color w:val="000000" w:themeColor="text1"/>
          <w:sz w:val="24"/>
          <w:szCs w:val="24"/>
          <w:lang w:val="en-ZA"/>
        </w:rPr>
        <w:t>Rhapsody Close C</w:t>
      </w:r>
      <w:r w:rsidR="004703E9" w:rsidRPr="00481243">
        <w:rPr>
          <w:rFonts w:ascii="Arial" w:hAnsi="Arial"/>
          <w:color w:val="000000" w:themeColor="text1"/>
          <w:sz w:val="24"/>
          <w:szCs w:val="24"/>
          <w:lang w:val="en-ZA"/>
        </w:rPr>
        <w:t>orporation (CC)</w:t>
      </w:r>
      <w:r w:rsidRPr="00481243">
        <w:rPr>
          <w:rFonts w:ascii="Arial" w:hAnsi="Arial"/>
          <w:color w:val="000000" w:themeColor="text1"/>
          <w:sz w:val="24"/>
          <w:szCs w:val="24"/>
          <w:lang w:val="en-ZA"/>
        </w:rPr>
        <w:t xml:space="preserve"> </w:t>
      </w:r>
      <w:r w:rsidR="004703E9" w:rsidRPr="00481243">
        <w:rPr>
          <w:rFonts w:ascii="Arial" w:hAnsi="Arial"/>
          <w:color w:val="000000" w:themeColor="text1"/>
          <w:sz w:val="24"/>
          <w:szCs w:val="24"/>
          <w:lang w:val="en-ZA"/>
        </w:rPr>
        <w:t>and</w:t>
      </w:r>
      <w:r w:rsidRPr="00481243">
        <w:rPr>
          <w:rFonts w:ascii="Arial" w:hAnsi="Arial"/>
          <w:color w:val="000000" w:themeColor="text1"/>
          <w:sz w:val="24"/>
          <w:szCs w:val="24"/>
          <w:lang w:val="en-ZA"/>
        </w:rPr>
        <w:t xml:space="preserve"> the latter is the second respondent. It is necessary to give a brief background of this appeal.</w:t>
      </w:r>
    </w:p>
    <w:p w:rsidR="00702D7A" w:rsidRPr="00481243" w:rsidRDefault="00702D7A" w:rsidP="00702D7A">
      <w:pPr>
        <w:pStyle w:val="ListParagraph"/>
        <w:spacing w:after="0" w:line="480" w:lineRule="auto"/>
        <w:ind w:left="0"/>
        <w:jc w:val="both"/>
        <w:rPr>
          <w:rFonts w:ascii="Arial" w:hAnsi="Arial"/>
          <w:i/>
          <w:color w:val="000000" w:themeColor="text1"/>
          <w:sz w:val="24"/>
          <w:szCs w:val="24"/>
          <w:lang w:val="en-ZA"/>
        </w:rPr>
      </w:pPr>
    </w:p>
    <w:p w:rsidR="00702D7A" w:rsidRPr="00481243" w:rsidRDefault="00702D7A" w:rsidP="00702D7A">
      <w:pPr>
        <w:pStyle w:val="ListParagraph"/>
        <w:spacing w:after="0" w:line="480" w:lineRule="auto"/>
        <w:ind w:left="0"/>
        <w:jc w:val="both"/>
        <w:rPr>
          <w:rFonts w:ascii="Arial" w:hAnsi="Arial"/>
          <w:color w:val="000000" w:themeColor="text1"/>
          <w:sz w:val="24"/>
          <w:szCs w:val="24"/>
          <w:u w:val="single"/>
          <w:lang w:val="en-ZA" w:eastAsia="en-ZA"/>
        </w:rPr>
      </w:pPr>
      <w:r w:rsidRPr="00481243">
        <w:rPr>
          <w:rFonts w:ascii="Arial" w:hAnsi="Arial"/>
          <w:color w:val="000000" w:themeColor="text1"/>
          <w:sz w:val="24"/>
          <w:szCs w:val="24"/>
          <w:u w:val="single"/>
          <w:lang w:val="en-ZA"/>
        </w:rPr>
        <w:t>Background</w:t>
      </w:r>
    </w:p>
    <w:p w:rsidR="00702D7A" w:rsidRPr="00481243" w:rsidRDefault="00702D7A" w:rsidP="00702D7A">
      <w:pPr>
        <w:pStyle w:val="ListParagraph"/>
        <w:numPr>
          <w:ilvl w:val="0"/>
          <w:numId w:val="46"/>
        </w:numPr>
        <w:spacing w:after="0" w:line="480" w:lineRule="auto"/>
        <w:ind w:left="0" w:firstLine="0"/>
        <w:jc w:val="both"/>
        <w:rPr>
          <w:rFonts w:ascii="Arial" w:hAnsi="Arial"/>
          <w:color w:val="000000" w:themeColor="text1"/>
          <w:sz w:val="24"/>
          <w:szCs w:val="24"/>
          <w:lang w:val="en-ZA"/>
        </w:rPr>
      </w:pPr>
      <w:r w:rsidRPr="00481243">
        <w:rPr>
          <w:rFonts w:ascii="Arial" w:hAnsi="Arial"/>
          <w:color w:val="000000" w:themeColor="text1"/>
          <w:sz w:val="24"/>
          <w:szCs w:val="24"/>
          <w:lang w:val="en-ZA"/>
        </w:rPr>
        <w:t xml:space="preserve">Before the High Court, the appellant </w:t>
      </w:r>
      <w:r w:rsidRPr="00481243">
        <w:rPr>
          <w:rFonts w:ascii="Arial" w:hAnsi="Arial"/>
          <w:color w:val="000000" w:themeColor="text1"/>
          <w:sz w:val="24"/>
          <w:szCs w:val="24"/>
          <w:lang w:val="en-ZA" w:eastAsia="en-ZA"/>
        </w:rPr>
        <w:t xml:space="preserve">had </w:t>
      </w:r>
      <w:r w:rsidRPr="00481243">
        <w:rPr>
          <w:rFonts w:ascii="Arial" w:hAnsi="Arial"/>
          <w:color w:val="000000" w:themeColor="text1"/>
          <w:sz w:val="24"/>
          <w:szCs w:val="24"/>
          <w:lang w:val="en-ZA"/>
        </w:rPr>
        <w:t xml:space="preserve">launched an urgent </w:t>
      </w:r>
      <w:r w:rsidRPr="00481243">
        <w:rPr>
          <w:rFonts w:ascii="Arial" w:hAnsi="Arial"/>
          <w:i/>
          <w:color w:val="000000" w:themeColor="text1"/>
          <w:sz w:val="24"/>
          <w:szCs w:val="24"/>
          <w:lang w:val="en-ZA"/>
        </w:rPr>
        <w:t xml:space="preserve">ex parte </w:t>
      </w:r>
      <w:r w:rsidRPr="00481243">
        <w:rPr>
          <w:rFonts w:ascii="Arial" w:hAnsi="Arial"/>
          <w:color w:val="000000" w:themeColor="text1"/>
          <w:sz w:val="24"/>
          <w:szCs w:val="24"/>
          <w:lang w:val="en-ZA"/>
        </w:rPr>
        <w:t>application for a</w:t>
      </w:r>
      <w:r w:rsidRPr="00481243">
        <w:rPr>
          <w:rFonts w:ascii="Arial" w:hAnsi="Arial"/>
          <w:color w:val="000000" w:themeColor="text1"/>
          <w:sz w:val="24"/>
          <w:szCs w:val="24"/>
          <w:lang w:val="en-ZA" w:eastAsia="en-ZA"/>
        </w:rPr>
        <w:t xml:space="preserve"> preservation of property order </w:t>
      </w:r>
      <w:r w:rsidRPr="00481243">
        <w:rPr>
          <w:rFonts w:ascii="Arial" w:hAnsi="Arial"/>
          <w:color w:val="000000" w:themeColor="text1"/>
          <w:sz w:val="24"/>
          <w:szCs w:val="24"/>
          <w:lang w:val="en-ZA"/>
        </w:rPr>
        <w:t>i</w:t>
      </w:r>
      <w:r w:rsidRPr="00481243">
        <w:rPr>
          <w:rFonts w:ascii="Arial" w:hAnsi="Arial"/>
          <w:color w:val="000000" w:themeColor="text1"/>
          <w:sz w:val="24"/>
          <w:szCs w:val="24"/>
          <w:lang w:val="en-ZA" w:eastAsia="en-ZA"/>
        </w:rPr>
        <w:t xml:space="preserve">n respect of the positive balances held in the Standard Bank Namibia business banking account number 60001553274 </w:t>
      </w:r>
      <w:r w:rsidRPr="00481243">
        <w:rPr>
          <w:rFonts w:ascii="Arial" w:hAnsi="Arial"/>
          <w:color w:val="000000" w:themeColor="text1"/>
          <w:sz w:val="24"/>
          <w:szCs w:val="24"/>
          <w:lang w:val="en-ZA" w:eastAsia="en-ZA"/>
        </w:rPr>
        <w:lastRenderedPageBreak/>
        <w:t xml:space="preserve">held in the name of the second respondent; the Standard Bank Namibia Premium call account number 60001400222 also held in the name of the second respondent; the Bank Windhoek Namibia cheque account number 8003095691 held in the name of the first respondent; and the Bank Windhoek Namibia account number 8004741004 also held in the name of the first respondent. Together these positive balances are called ‘the </w:t>
      </w:r>
      <w:r w:rsidRPr="00481243">
        <w:rPr>
          <w:rFonts w:ascii="Arial" w:hAnsi="Arial"/>
          <w:color w:val="000000" w:themeColor="text1"/>
          <w:sz w:val="24"/>
          <w:szCs w:val="24"/>
          <w:lang w:val="en-ZA"/>
        </w:rPr>
        <w:t>properties’.</w:t>
      </w:r>
    </w:p>
    <w:p w:rsidR="00702D7A" w:rsidRPr="00481243" w:rsidRDefault="00702D7A" w:rsidP="00702D7A">
      <w:pPr>
        <w:pStyle w:val="ListParagraph"/>
        <w:spacing w:after="0" w:line="480" w:lineRule="auto"/>
        <w:ind w:left="0"/>
        <w:jc w:val="both"/>
        <w:rPr>
          <w:rFonts w:ascii="Arial" w:hAnsi="Arial"/>
          <w:color w:val="000000" w:themeColor="text1"/>
          <w:sz w:val="24"/>
          <w:szCs w:val="24"/>
          <w:lang w:val="en-ZA"/>
        </w:rPr>
      </w:pPr>
    </w:p>
    <w:p w:rsidR="00702D7A" w:rsidRPr="00481243" w:rsidRDefault="00702D7A" w:rsidP="00702D7A">
      <w:pPr>
        <w:pStyle w:val="ListParagraph"/>
        <w:numPr>
          <w:ilvl w:val="0"/>
          <w:numId w:val="46"/>
        </w:numPr>
        <w:spacing w:after="0" w:line="480" w:lineRule="auto"/>
        <w:ind w:left="0" w:firstLine="0"/>
        <w:jc w:val="both"/>
        <w:rPr>
          <w:rFonts w:ascii="Arial" w:hAnsi="Arial"/>
          <w:color w:val="000000" w:themeColor="text1"/>
          <w:sz w:val="24"/>
          <w:szCs w:val="24"/>
          <w:lang w:val="en-ZA" w:eastAsia="en-ZA"/>
        </w:rPr>
      </w:pPr>
      <w:r w:rsidRPr="00481243">
        <w:rPr>
          <w:rFonts w:ascii="Arial" w:hAnsi="Arial"/>
          <w:color w:val="000000" w:themeColor="text1"/>
          <w:sz w:val="24"/>
          <w:szCs w:val="24"/>
          <w:lang w:val="en-ZA"/>
        </w:rPr>
        <w:t xml:space="preserve">The High Court granted the preservation order </w:t>
      </w:r>
      <w:r w:rsidRPr="00481243">
        <w:rPr>
          <w:rFonts w:ascii="Arial" w:hAnsi="Arial"/>
          <w:color w:val="000000" w:themeColor="text1"/>
          <w:sz w:val="24"/>
          <w:szCs w:val="24"/>
          <w:lang w:val="en-ZA" w:eastAsia="en-ZA"/>
        </w:rPr>
        <w:t>on 24 December</w:t>
      </w:r>
      <w:r w:rsidRPr="00481243">
        <w:rPr>
          <w:rFonts w:ascii="Arial" w:hAnsi="Arial"/>
          <w:color w:val="000000" w:themeColor="text1"/>
          <w:sz w:val="24"/>
          <w:szCs w:val="24"/>
          <w:lang w:val="en-ZA"/>
        </w:rPr>
        <w:t xml:space="preserve"> </w:t>
      </w:r>
      <w:r w:rsidRPr="00481243">
        <w:rPr>
          <w:rFonts w:ascii="Arial" w:hAnsi="Arial"/>
          <w:color w:val="000000" w:themeColor="text1"/>
          <w:sz w:val="24"/>
          <w:szCs w:val="24"/>
          <w:lang w:val="en-ZA" w:eastAsia="en-ZA"/>
        </w:rPr>
        <w:t>2015. </w:t>
      </w:r>
      <w:r w:rsidRPr="00481243">
        <w:rPr>
          <w:rFonts w:ascii="Arial" w:hAnsi="Arial"/>
          <w:color w:val="000000" w:themeColor="text1"/>
          <w:sz w:val="24"/>
          <w:szCs w:val="24"/>
        </w:rPr>
        <w:t>The appellant proceeded to launch an application for the forfeiture of the properties</w:t>
      </w:r>
      <w:r w:rsidRPr="00481243">
        <w:rPr>
          <w:rFonts w:ascii="Arial" w:hAnsi="Arial"/>
          <w:color w:val="000000" w:themeColor="text1"/>
          <w:sz w:val="24"/>
          <w:szCs w:val="24"/>
          <w:lang w:val="en-ZA"/>
        </w:rPr>
        <w:t xml:space="preserve"> in terms of s 59(1) read with s 61 of POCA. </w:t>
      </w:r>
      <w:r w:rsidRPr="00481243">
        <w:rPr>
          <w:rFonts w:ascii="Arial" w:hAnsi="Arial"/>
          <w:color w:val="000000" w:themeColor="text1"/>
          <w:sz w:val="24"/>
          <w:szCs w:val="24"/>
        </w:rPr>
        <w:t xml:space="preserve"> T</w:t>
      </w:r>
      <w:r w:rsidRPr="00481243">
        <w:rPr>
          <w:rFonts w:ascii="Arial" w:hAnsi="Arial"/>
          <w:color w:val="000000" w:themeColor="text1"/>
          <w:sz w:val="24"/>
          <w:szCs w:val="24"/>
          <w:lang w:val="en-ZA"/>
        </w:rPr>
        <w:t xml:space="preserve">he appellant had taken </w:t>
      </w:r>
      <w:r w:rsidRPr="00481243">
        <w:rPr>
          <w:rFonts w:ascii="Arial" w:hAnsi="Arial"/>
          <w:color w:val="000000" w:themeColor="text1"/>
          <w:sz w:val="24"/>
          <w:szCs w:val="24"/>
        </w:rPr>
        <w:t xml:space="preserve">the position that the application </w:t>
      </w:r>
      <w:r w:rsidRPr="00481243">
        <w:rPr>
          <w:rFonts w:ascii="Arial" w:hAnsi="Arial"/>
          <w:color w:val="000000" w:themeColor="text1"/>
          <w:sz w:val="24"/>
          <w:szCs w:val="24"/>
          <w:lang w:val="en-ZA"/>
        </w:rPr>
        <w:t xml:space="preserve">for a </w:t>
      </w:r>
      <w:r w:rsidRPr="00481243">
        <w:rPr>
          <w:rFonts w:ascii="Arial" w:hAnsi="Arial"/>
          <w:color w:val="000000" w:themeColor="text1"/>
          <w:sz w:val="24"/>
          <w:szCs w:val="24"/>
        </w:rPr>
        <w:t xml:space="preserve">forfeiture </w:t>
      </w:r>
      <w:r w:rsidRPr="00481243">
        <w:rPr>
          <w:rFonts w:ascii="Arial" w:hAnsi="Arial"/>
          <w:color w:val="000000" w:themeColor="text1"/>
          <w:sz w:val="24"/>
          <w:szCs w:val="24"/>
          <w:lang w:val="en-ZA"/>
        </w:rPr>
        <w:t>order</w:t>
      </w:r>
      <w:r w:rsidRPr="00481243">
        <w:rPr>
          <w:rFonts w:ascii="Arial" w:hAnsi="Arial"/>
          <w:color w:val="000000" w:themeColor="text1"/>
          <w:sz w:val="24"/>
          <w:szCs w:val="24"/>
        </w:rPr>
        <w:t xml:space="preserve"> is not a new proceeding under rule 65(1)</w:t>
      </w:r>
      <w:r w:rsidRPr="00481243">
        <w:rPr>
          <w:rStyle w:val="FootnoteReference"/>
          <w:rFonts w:ascii="Arial" w:hAnsi="Arial"/>
          <w:color w:val="000000" w:themeColor="text1"/>
          <w:sz w:val="24"/>
          <w:szCs w:val="24"/>
        </w:rPr>
        <w:footnoteReference w:id="1"/>
      </w:r>
      <w:r w:rsidRPr="00481243">
        <w:rPr>
          <w:rFonts w:ascii="Arial" w:hAnsi="Arial"/>
          <w:color w:val="000000" w:themeColor="text1"/>
          <w:sz w:val="24"/>
          <w:szCs w:val="24"/>
        </w:rPr>
        <w:t xml:space="preserve"> of the High Court Rules, but merely the second stage of the</w:t>
      </w:r>
      <w:r w:rsidRPr="00481243">
        <w:rPr>
          <w:rFonts w:ascii="Arial" w:hAnsi="Arial"/>
          <w:color w:val="000000" w:themeColor="text1"/>
          <w:sz w:val="24"/>
          <w:szCs w:val="24"/>
          <w:lang w:val="en-ZA"/>
        </w:rPr>
        <w:t xml:space="preserve"> POCA property </w:t>
      </w:r>
      <w:r w:rsidRPr="00481243">
        <w:rPr>
          <w:rFonts w:ascii="Arial" w:hAnsi="Arial"/>
          <w:color w:val="000000" w:themeColor="text1"/>
          <w:sz w:val="24"/>
          <w:szCs w:val="24"/>
        </w:rPr>
        <w:t>forfeiture process</w:t>
      </w:r>
      <w:r w:rsidRPr="00481243">
        <w:rPr>
          <w:rFonts w:ascii="Arial" w:hAnsi="Arial"/>
          <w:color w:val="000000" w:themeColor="text1"/>
          <w:sz w:val="24"/>
          <w:szCs w:val="24"/>
          <w:lang w:val="en-ZA"/>
        </w:rPr>
        <w:t>. With</w:t>
      </w:r>
      <w:r w:rsidRPr="00481243">
        <w:rPr>
          <w:rFonts w:ascii="Arial" w:hAnsi="Arial"/>
          <w:color w:val="000000" w:themeColor="text1"/>
          <w:sz w:val="24"/>
          <w:szCs w:val="24"/>
        </w:rPr>
        <w:t xml:space="preserve">out issuing </w:t>
      </w:r>
      <w:r w:rsidRPr="00481243">
        <w:rPr>
          <w:rFonts w:ascii="Arial" w:hAnsi="Arial"/>
          <w:color w:val="000000" w:themeColor="text1"/>
          <w:sz w:val="24"/>
          <w:szCs w:val="24"/>
          <w:lang w:val="en-ZA"/>
        </w:rPr>
        <w:t xml:space="preserve">a </w:t>
      </w:r>
      <w:r w:rsidRPr="00481243">
        <w:rPr>
          <w:rFonts w:ascii="Arial" w:hAnsi="Arial"/>
          <w:color w:val="000000" w:themeColor="text1"/>
          <w:sz w:val="24"/>
          <w:szCs w:val="24"/>
        </w:rPr>
        <w:t>rule 65(1) notice</w:t>
      </w:r>
      <w:r w:rsidRPr="00481243">
        <w:rPr>
          <w:rFonts w:ascii="Arial" w:hAnsi="Arial"/>
          <w:color w:val="000000" w:themeColor="text1"/>
          <w:sz w:val="24"/>
          <w:szCs w:val="24"/>
          <w:lang w:val="en-ZA"/>
        </w:rPr>
        <w:t xml:space="preserve">, the appellant launched the application for a forfeiture order in respect of the properties. </w:t>
      </w:r>
    </w:p>
    <w:p w:rsidR="00702D7A" w:rsidRPr="00481243" w:rsidRDefault="00702D7A" w:rsidP="00702D7A">
      <w:pPr>
        <w:pStyle w:val="ListParagraph"/>
        <w:spacing w:after="0" w:line="480" w:lineRule="auto"/>
        <w:ind w:left="0"/>
        <w:jc w:val="both"/>
        <w:rPr>
          <w:rFonts w:ascii="Arial" w:hAnsi="Arial"/>
          <w:color w:val="000000" w:themeColor="text1"/>
          <w:sz w:val="24"/>
          <w:szCs w:val="24"/>
          <w:lang w:val="en-ZA" w:eastAsia="en-ZA"/>
        </w:rPr>
      </w:pPr>
    </w:p>
    <w:p w:rsidR="00702D7A" w:rsidRPr="00481243" w:rsidRDefault="00702D7A" w:rsidP="00702D7A">
      <w:pPr>
        <w:pStyle w:val="ListParagraph"/>
        <w:numPr>
          <w:ilvl w:val="0"/>
          <w:numId w:val="46"/>
        </w:numPr>
        <w:spacing w:after="0" w:line="480" w:lineRule="auto"/>
        <w:ind w:left="0" w:firstLine="0"/>
        <w:jc w:val="both"/>
        <w:rPr>
          <w:rFonts w:ascii="Arial" w:hAnsi="Arial"/>
          <w:color w:val="000000" w:themeColor="text1"/>
          <w:sz w:val="24"/>
          <w:szCs w:val="24"/>
          <w:lang w:val="en-ZA" w:eastAsia="en-ZA"/>
        </w:rPr>
      </w:pPr>
      <w:r w:rsidRPr="00481243">
        <w:rPr>
          <w:rFonts w:ascii="Arial" w:hAnsi="Arial"/>
          <w:color w:val="000000" w:themeColor="text1"/>
          <w:sz w:val="24"/>
          <w:szCs w:val="24"/>
          <w:lang w:val="en-ZA" w:eastAsia="en-ZA"/>
        </w:rPr>
        <w:t xml:space="preserve">Having </w:t>
      </w:r>
      <w:r w:rsidRPr="00481243">
        <w:rPr>
          <w:rFonts w:ascii="Arial" w:hAnsi="Arial"/>
          <w:color w:val="000000" w:themeColor="text1"/>
          <w:sz w:val="24"/>
          <w:szCs w:val="24"/>
          <w:lang w:val="en-ZA"/>
        </w:rPr>
        <w:t xml:space="preserve">been </w:t>
      </w:r>
      <w:r w:rsidRPr="00481243">
        <w:rPr>
          <w:rFonts w:ascii="Arial" w:hAnsi="Arial"/>
          <w:color w:val="000000" w:themeColor="text1"/>
          <w:sz w:val="24"/>
          <w:szCs w:val="24"/>
          <w:lang w:val="en-ZA" w:eastAsia="en-ZA"/>
        </w:rPr>
        <w:t>duly served with the preservation order, the respondents on 4 February</w:t>
      </w:r>
      <w:r w:rsidRPr="00481243">
        <w:rPr>
          <w:rFonts w:ascii="Arial" w:hAnsi="Arial"/>
          <w:color w:val="000000" w:themeColor="text1"/>
          <w:sz w:val="24"/>
          <w:szCs w:val="24"/>
          <w:lang w:val="en-ZA"/>
        </w:rPr>
        <w:t xml:space="preserve"> 2016</w:t>
      </w:r>
      <w:r w:rsidR="00266F58">
        <w:rPr>
          <w:rFonts w:ascii="Arial" w:hAnsi="Arial"/>
          <w:color w:val="000000" w:themeColor="text1"/>
          <w:sz w:val="24"/>
          <w:szCs w:val="24"/>
          <w:lang w:val="en-ZA"/>
        </w:rPr>
        <w:t xml:space="preserve"> in terms of </w:t>
      </w:r>
      <w:r w:rsidRPr="00481243">
        <w:rPr>
          <w:rFonts w:ascii="Arial" w:hAnsi="Arial"/>
          <w:color w:val="000000" w:themeColor="text1"/>
          <w:sz w:val="24"/>
          <w:szCs w:val="24"/>
          <w:lang w:val="en-ZA"/>
        </w:rPr>
        <w:t xml:space="preserve"> </w:t>
      </w:r>
      <w:r w:rsidR="00266F58" w:rsidRPr="00481243">
        <w:rPr>
          <w:rFonts w:ascii="Arial" w:hAnsi="Arial"/>
          <w:color w:val="000000" w:themeColor="text1"/>
          <w:sz w:val="24"/>
          <w:szCs w:val="24"/>
          <w:lang w:val="en-ZA" w:eastAsia="en-ZA"/>
        </w:rPr>
        <w:t>s 52(3), (4), and (5) of POCA</w:t>
      </w:r>
      <w:r w:rsidR="00266F58" w:rsidRPr="00481243">
        <w:rPr>
          <w:rFonts w:ascii="Arial" w:hAnsi="Arial"/>
          <w:color w:val="000000" w:themeColor="text1"/>
          <w:sz w:val="24"/>
          <w:szCs w:val="24"/>
          <w:lang w:val="en-ZA"/>
        </w:rPr>
        <w:t xml:space="preserve"> </w:t>
      </w:r>
      <w:r w:rsidRPr="00481243">
        <w:rPr>
          <w:rFonts w:ascii="Arial" w:hAnsi="Arial"/>
          <w:color w:val="000000" w:themeColor="text1"/>
          <w:sz w:val="24"/>
          <w:szCs w:val="24"/>
          <w:lang w:val="en-ZA"/>
        </w:rPr>
        <w:t>gave due</w:t>
      </w:r>
      <w:r w:rsidRPr="00481243">
        <w:rPr>
          <w:rFonts w:ascii="Arial" w:hAnsi="Arial"/>
          <w:color w:val="000000" w:themeColor="text1"/>
          <w:sz w:val="24"/>
          <w:szCs w:val="24"/>
          <w:lang w:val="en-ZA" w:eastAsia="en-ZA"/>
        </w:rPr>
        <w:t xml:space="preserve"> notice of their intention to oppose the granting of </w:t>
      </w:r>
      <w:r w:rsidRPr="00481243">
        <w:rPr>
          <w:rFonts w:ascii="Arial" w:hAnsi="Arial"/>
          <w:color w:val="000000" w:themeColor="text1"/>
          <w:sz w:val="24"/>
          <w:szCs w:val="24"/>
          <w:lang w:val="en-ZA"/>
        </w:rPr>
        <w:t>the</w:t>
      </w:r>
      <w:r w:rsidRPr="00481243">
        <w:rPr>
          <w:rFonts w:ascii="Arial" w:hAnsi="Arial"/>
          <w:color w:val="000000" w:themeColor="text1"/>
          <w:sz w:val="24"/>
          <w:szCs w:val="24"/>
          <w:lang w:val="en-ZA" w:eastAsia="en-ZA"/>
        </w:rPr>
        <w:t xml:space="preserve"> forfeiture order</w:t>
      </w:r>
      <w:r w:rsidR="00266F58">
        <w:rPr>
          <w:rFonts w:ascii="Arial" w:hAnsi="Arial"/>
          <w:color w:val="000000" w:themeColor="text1"/>
          <w:sz w:val="24"/>
          <w:szCs w:val="24"/>
          <w:lang w:val="en-ZA" w:eastAsia="en-ZA"/>
        </w:rPr>
        <w:t>.</w:t>
      </w:r>
      <w:r w:rsidRPr="00481243">
        <w:rPr>
          <w:rFonts w:ascii="Arial" w:hAnsi="Arial"/>
          <w:color w:val="000000" w:themeColor="text1"/>
          <w:sz w:val="24"/>
          <w:szCs w:val="24"/>
          <w:lang w:val="en-ZA" w:eastAsia="en-ZA"/>
        </w:rPr>
        <w:t xml:space="preserve"> In their</w:t>
      </w:r>
      <w:r w:rsidRPr="00481243">
        <w:rPr>
          <w:rFonts w:ascii="Arial" w:hAnsi="Arial"/>
          <w:color w:val="000000" w:themeColor="text1"/>
          <w:sz w:val="24"/>
          <w:szCs w:val="24"/>
          <w:lang w:val="en-ZA"/>
        </w:rPr>
        <w:t xml:space="preserve"> notice</w:t>
      </w:r>
      <w:r w:rsidRPr="00481243">
        <w:rPr>
          <w:rFonts w:ascii="Arial" w:hAnsi="Arial"/>
          <w:color w:val="000000" w:themeColor="text1"/>
          <w:sz w:val="24"/>
          <w:szCs w:val="24"/>
          <w:lang w:val="en-ZA" w:eastAsia="en-ZA"/>
        </w:rPr>
        <w:t>, the respondents elected to have 13 Pasteur Street, Windhoek-West (which is the address of their legal representative) as their chosen address at which they would receive further notices relating to any further proceedings affecting the properties as required under s 52(5) of POCA.</w:t>
      </w:r>
    </w:p>
    <w:p w:rsidR="00702D7A" w:rsidRPr="00481243" w:rsidRDefault="00702D7A" w:rsidP="00702D7A">
      <w:pPr>
        <w:pStyle w:val="ListParagraph"/>
        <w:numPr>
          <w:ilvl w:val="0"/>
          <w:numId w:val="46"/>
        </w:numPr>
        <w:spacing w:after="0" w:line="480" w:lineRule="auto"/>
        <w:ind w:left="0" w:firstLine="0"/>
        <w:jc w:val="both"/>
        <w:rPr>
          <w:rFonts w:ascii="Arial" w:hAnsi="Arial"/>
          <w:color w:val="000000" w:themeColor="text1"/>
          <w:sz w:val="24"/>
          <w:szCs w:val="24"/>
        </w:rPr>
      </w:pPr>
      <w:r w:rsidRPr="00481243">
        <w:rPr>
          <w:rFonts w:ascii="Arial" w:hAnsi="Arial"/>
          <w:color w:val="000000" w:themeColor="text1"/>
          <w:sz w:val="24"/>
          <w:szCs w:val="24"/>
        </w:rPr>
        <w:lastRenderedPageBreak/>
        <w:t>In their opposing papers</w:t>
      </w:r>
      <w:r w:rsidRPr="00481243">
        <w:rPr>
          <w:rFonts w:ascii="Arial" w:hAnsi="Arial"/>
          <w:color w:val="000000" w:themeColor="text1"/>
          <w:sz w:val="24"/>
          <w:szCs w:val="24"/>
          <w:lang w:val="en-ZA"/>
        </w:rPr>
        <w:t xml:space="preserve">, </w:t>
      </w:r>
      <w:r w:rsidRPr="00481243">
        <w:rPr>
          <w:rFonts w:ascii="Arial" w:hAnsi="Arial"/>
          <w:color w:val="000000" w:themeColor="text1"/>
          <w:sz w:val="24"/>
          <w:szCs w:val="24"/>
          <w:lang w:val="en-ZA" w:eastAsia="en-ZA"/>
        </w:rPr>
        <w:t>the respondent</w:t>
      </w:r>
      <w:r w:rsidRPr="00481243">
        <w:rPr>
          <w:rFonts w:ascii="Arial" w:hAnsi="Arial"/>
          <w:color w:val="000000" w:themeColor="text1"/>
          <w:sz w:val="24"/>
          <w:szCs w:val="24"/>
        </w:rPr>
        <w:t xml:space="preserve">s </w:t>
      </w:r>
      <w:r w:rsidRPr="00481243">
        <w:rPr>
          <w:rFonts w:ascii="Arial" w:hAnsi="Arial"/>
          <w:color w:val="000000" w:themeColor="text1"/>
          <w:sz w:val="24"/>
          <w:szCs w:val="24"/>
          <w:lang w:val="en-ZA"/>
        </w:rPr>
        <w:t>r</w:t>
      </w:r>
      <w:r w:rsidRPr="00481243">
        <w:rPr>
          <w:rFonts w:ascii="Arial" w:hAnsi="Arial"/>
          <w:color w:val="000000" w:themeColor="text1"/>
          <w:sz w:val="24"/>
          <w:szCs w:val="24"/>
          <w:lang w:val="en-ZA" w:eastAsia="en-ZA"/>
        </w:rPr>
        <w:t xml:space="preserve">aised </w:t>
      </w:r>
      <w:r w:rsidR="00FD3D36" w:rsidRPr="00481243">
        <w:rPr>
          <w:rFonts w:ascii="Arial" w:hAnsi="Arial"/>
          <w:color w:val="000000" w:themeColor="text1"/>
          <w:sz w:val="24"/>
          <w:szCs w:val="24"/>
          <w:lang w:val="en-ZA" w:eastAsia="en-ZA"/>
        </w:rPr>
        <w:t xml:space="preserve">several </w:t>
      </w:r>
      <w:r w:rsidRPr="00481243">
        <w:rPr>
          <w:rFonts w:ascii="Arial" w:hAnsi="Arial"/>
          <w:color w:val="000000" w:themeColor="text1"/>
          <w:sz w:val="24"/>
          <w:szCs w:val="24"/>
          <w:lang w:val="en-ZA" w:eastAsia="en-ZA"/>
        </w:rPr>
        <w:t xml:space="preserve">points in </w:t>
      </w:r>
      <w:r w:rsidRPr="00481243">
        <w:rPr>
          <w:rFonts w:ascii="Arial" w:hAnsi="Arial"/>
          <w:i/>
          <w:color w:val="000000" w:themeColor="text1"/>
          <w:sz w:val="24"/>
          <w:szCs w:val="24"/>
          <w:lang w:val="en-ZA" w:eastAsia="en-ZA"/>
        </w:rPr>
        <w:t>limine</w:t>
      </w:r>
      <w:r w:rsidRPr="00481243">
        <w:rPr>
          <w:rFonts w:ascii="Arial" w:hAnsi="Arial"/>
          <w:color w:val="000000" w:themeColor="text1"/>
          <w:sz w:val="24"/>
          <w:szCs w:val="24"/>
          <w:lang w:val="en-ZA" w:eastAsia="en-ZA"/>
        </w:rPr>
        <w:t>.  </w:t>
      </w:r>
      <w:r w:rsidRPr="00481243">
        <w:rPr>
          <w:rFonts w:ascii="Arial" w:hAnsi="Arial"/>
          <w:color w:val="000000" w:themeColor="text1"/>
          <w:sz w:val="24"/>
          <w:szCs w:val="24"/>
          <w:lang w:val="en-ZA"/>
        </w:rPr>
        <w:t>They contended that when the appellant launched her application for a forfeiture</w:t>
      </w:r>
      <w:r w:rsidR="00DC06A8" w:rsidRPr="00481243">
        <w:rPr>
          <w:rFonts w:ascii="Arial" w:hAnsi="Arial"/>
          <w:color w:val="000000" w:themeColor="text1"/>
          <w:sz w:val="24"/>
          <w:szCs w:val="24"/>
          <w:lang w:val="en-ZA"/>
        </w:rPr>
        <w:t xml:space="preserve"> order</w:t>
      </w:r>
      <w:r w:rsidRPr="00481243">
        <w:rPr>
          <w:rFonts w:ascii="Arial" w:hAnsi="Arial"/>
          <w:color w:val="000000" w:themeColor="text1"/>
          <w:sz w:val="24"/>
          <w:szCs w:val="24"/>
          <w:lang w:val="en-ZA"/>
        </w:rPr>
        <w:t xml:space="preserve"> without filing the rule 65(1) notice, she was non-compliant</w:t>
      </w:r>
      <w:r w:rsidRPr="00481243">
        <w:rPr>
          <w:rFonts w:ascii="Arial" w:hAnsi="Arial"/>
          <w:color w:val="000000" w:themeColor="text1"/>
          <w:sz w:val="24"/>
          <w:szCs w:val="24"/>
          <w:lang w:val="en-ZA" w:eastAsia="en-ZA"/>
        </w:rPr>
        <w:t xml:space="preserve"> </w:t>
      </w:r>
      <w:r w:rsidRPr="00481243">
        <w:rPr>
          <w:rFonts w:ascii="Arial" w:hAnsi="Arial"/>
          <w:color w:val="000000" w:themeColor="text1"/>
          <w:sz w:val="24"/>
          <w:szCs w:val="24"/>
          <w:lang w:val="en-ZA"/>
        </w:rPr>
        <w:t>with the mandatory requirements of the rule. The respondents also contended that they were</w:t>
      </w:r>
      <w:r w:rsidRPr="00481243">
        <w:rPr>
          <w:rFonts w:ascii="Arial" w:hAnsi="Arial"/>
          <w:color w:val="000000" w:themeColor="text1"/>
          <w:sz w:val="24"/>
          <w:szCs w:val="24"/>
          <w:lang w:val="en-ZA" w:eastAsia="en-ZA"/>
        </w:rPr>
        <w:t xml:space="preserve"> not issued with the notice by the Deputy-Sheriff or the Police</w:t>
      </w:r>
      <w:r w:rsidRPr="00481243">
        <w:rPr>
          <w:rFonts w:ascii="Arial" w:hAnsi="Arial"/>
          <w:color w:val="000000" w:themeColor="text1"/>
          <w:sz w:val="24"/>
          <w:szCs w:val="24"/>
          <w:lang w:val="en-ZA"/>
        </w:rPr>
        <w:t xml:space="preserve"> as the rule required. I</w:t>
      </w:r>
      <w:r w:rsidRPr="00481243">
        <w:rPr>
          <w:rFonts w:ascii="Arial" w:hAnsi="Arial"/>
          <w:color w:val="000000" w:themeColor="text1"/>
          <w:sz w:val="24"/>
          <w:szCs w:val="24"/>
          <w:lang w:val="en-ZA" w:eastAsia="en-ZA"/>
        </w:rPr>
        <w:t xml:space="preserve">nstead, </w:t>
      </w:r>
      <w:r w:rsidRPr="00481243">
        <w:rPr>
          <w:rFonts w:ascii="Arial" w:hAnsi="Arial"/>
          <w:color w:val="000000" w:themeColor="text1"/>
          <w:sz w:val="24"/>
          <w:szCs w:val="24"/>
          <w:lang w:val="en-ZA"/>
        </w:rPr>
        <w:t xml:space="preserve">the notice </w:t>
      </w:r>
      <w:r w:rsidRPr="00481243">
        <w:rPr>
          <w:rFonts w:ascii="Arial" w:hAnsi="Arial"/>
          <w:color w:val="000000" w:themeColor="text1"/>
          <w:sz w:val="24"/>
          <w:szCs w:val="24"/>
          <w:lang w:val="en-ZA" w:eastAsia="en-ZA"/>
        </w:rPr>
        <w:t>was delivered by the Registrar</w:t>
      </w:r>
      <w:r w:rsidRPr="00481243">
        <w:rPr>
          <w:rFonts w:ascii="Arial" w:hAnsi="Arial"/>
          <w:color w:val="000000" w:themeColor="text1"/>
          <w:sz w:val="24"/>
          <w:szCs w:val="24"/>
        </w:rPr>
        <w:t xml:space="preserve">. </w:t>
      </w:r>
    </w:p>
    <w:p w:rsidR="00702D7A" w:rsidRPr="00481243" w:rsidRDefault="00702D7A" w:rsidP="00702D7A">
      <w:pPr>
        <w:pStyle w:val="ListParagraph"/>
        <w:spacing w:after="0" w:line="480" w:lineRule="auto"/>
        <w:ind w:left="0"/>
        <w:jc w:val="both"/>
        <w:rPr>
          <w:rFonts w:ascii="Arial" w:hAnsi="Arial"/>
          <w:color w:val="000000" w:themeColor="text1"/>
          <w:sz w:val="24"/>
          <w:szCs w:val="24"/>
        </w:rPr>
      </w:pPr>
    </w:p>
    <w:p w:rsidR="00702D7A" w:rsidRPr="00481243" w:rsidRDefault="00702D7A" w:rsidP="00DC06A8">
      <w:pPr>
        <w:pStyle w:val="ListParagraph"/>
        <w:numPr>
          <w:ilvl w:val="0"/>
          <w:numId w:val="46"/>
        </w:numPr>
        <w:spacing w:after="0" w:line="480" w:lineRule="auto"/>
        <w:ind w:left="0" w:firstLine="0"/>
        <w:jc w:val="both"/>
        <w:rPr>
          <w:rFonts w:ascii="Arial" w:hAnsi="Arial"/>
          <w:color w:val="000000" w:themeColor="text1"/>
          <w:sz w:val="24"/>
          <w:szCs w:val="24"/>
          <w:lang w:val="en-ZA" w:eastAsia="en-ZA"/>
        </w:rPr>
      </w:pPr>
      <w:r w:rsidRPr="00481243">
        <w:rPr>
          <w:rFonts w:ascii="Arial" w:hAnsi="Arial"/>
          <w:color w:val="000000" w:themeColor="text1"/>
          <w:sz w:val="24"/>
          <w:szCs w:val="24"/>
        </w:rPr>
        <w:t xml:space="preserve">That </w:t>
      </w:r>
      <w:r w:rsidRPr="00481243">
        <w:rPr>
          <w:rFonts w:ascii="Arial" w:hAnsi="Arial"/>
          <w:color w:val="000000" w:themeColor="text1"/>
          <w:sz w:val="24"/>
          <w:szCs w:val="24"/>
          <w:lang w:val="en-ZA" w:eastAsia="en-ZA"/>
        </w:rPr>
        <w:t>rais</w:t>
      </w:r>
      <w:r w:rsidRPr="00481243">
        <w:rPr>
          <w:rFonts w:ascii="Arial" w:hAnsi="Arial"/>
          <w:color w:val="000000" w:themeColor="text1"/>
          <w:sz w:val="24"/>
          <w:szCs w:val="24"/>
          <w:lang w:val="en-ZA"/>
        </w:rPr>
        <w:t>ed</w:t>
      </w:r>
      <w:r w:rsidRPr="00481243">
        <w:rPr>
          <w:rFonts w:ascii="Arial" w:hAnsi="Arial"/>
          <w:color w:val="000000" w:themeColor="text1"/>
          <w:sz w:val="24"/>
          <w:szCs w:val="24"/>
          <w:lang w:val="en-ZA" w:eastAsia="en-ZA"/>
        </w:rPr>
        <w:t xml:space="preserve"> before the </w:t>
      </w:r>
      <w:r w:rsidRPr="00481243">
        <w:rPr>
          <w:rFonts w:ascii="Arial" w:hAnsi="Arial"/>
          <w:color w:val="000000" w:themeColor="text1"/>
          <w:sz w:val="24"/>
          <w:szCs w:val="24"/>
          <w:lang w:val="en-ZA"/>
        </w:rPr>
        <w:t>High Court, t</w:t>
      </w:r>
      <w:r w:rsidRPr="00481243">
        <w:rPr>
          <w:rFonts w:ascii="Arial" w:hAnsi="Arial"/>
          <w:color w:val="000000" w:themeColor="text1"/>
          <w:sz w:val="24"/>
          <w:szCs w:val="24"/>
          <w:lang w:val="en-ZA" w:eastAsia="en-ZA"/>
        </w:rPr>
        <w:t>he question whether th</w:t>
      </w:r>
      <w:r w:rsidRPr="00481243">
        <w:rPr>
          <w:rFonts w:ascii="Arial" w:hAnsi="Arial"/>
          <w:color w:val="000000" w:themeColor="text1"/>
          <w:sz w:val="24"/>
          <w:szCs w:val="24"/>
          <w:lang w:val="en-ZA"/>
        </w:rPr>
        <w:t xml:space="preserve">e property forfeiture proceedings under s 59 read with s 61 of POCA constituted </w:t>
      </w:r>
      <w:r w:rsidRPr="00481243">
        <w:rPr>
          <w:rFonts w:ascii="Arial" w:hAnsi="Arial"/>
          <w:color w:val="000000" w:themeColor="text1"/>
          <w:sz w:val="24"/>
          <w:szCs w:val="24"/>
          <w:lang w:val="en-ZA" w:eastAsia="en-ZA"/>
        </w:rPr>
        <w:t>one single proce</w:t>
      </w:r>
      <w:r w:rsidRPr="00481243">
        <w:rPr>
          <w:rFonts w:ascii="Arial" w:hAnsi="Arial"/>
          <w:color w:val="000000" w:themeColor="text1"/>
          <w:sz w:val="24"/>
          <w:szCs w:val="24"/>
          <w:lang w:val="en-ZA"/>
        </w:rPr>
        <w:t>ss</w:t>
      </w:r>
      <w:r w:rsidRPr="00481243">
        <w:rPr>
          <w:rFonts w:ascii="Arial" w:hAnsi="Arial"/>
          <w:color w:val="000000" w:themeColor="text1"/>
          <w:sz w:val="24"/>
          <w:szCs w:val="24"/>
          <w:lang w:val="en-ZA" w:eastAsia="en-ZA"/>
        </w:rPr>
        <w:t xml:space="preserve"> manifest</w:t>
      </w:r>
      <w:r w:rsidRPr="00481243">
        <w:rPr>
          <w:rFonts w:ascii="Arial" w:hAnsi="Arial"/>
          <w:color w:val="000000" w:themeColor="text1"/>
          <w:sz w:val="24"/>
          <w:szCs w:val="24"/>
          <w:lang w:val="en-ZA"/>
        </w:rPr>
        <w:t xml:space="preserve">ed </w:t>
      </w:r>
      <w:r w:rsidRPr="00481243">
        <w:rPr>
          <w:rFonts w:ascii="Arial" w:hAnsi="Arial"/>
          <w:color w:val="000000" w:themeColor="text1"/>
          <w:sz w:val="24"/>
          <w:szCs w:val="24"/>
          <w:lang w:val="en-ZA" w:eastAsia="en-ZA"/>
        </w:rPr>
        <w:t xml:space="preserve">in two </w:t>
      </w:r>
      <w:r w:rsidRPr="00481243">
        <w:rPr>
          <w:rFonts w:ascii="Arial" w:hAnsi="Arial"/>
          <w:color w:val="000000" w:themeColor="text1"/>
          <w:sz w:val="24"/>
          <w:szCs w:val="24"/>
          <w:lang w:val="en-ZA"/>
        </w:rPr>
        <w:t xml:space="preserve">intertwined </w:t>
      </w:r>
      <w:r w:rsidRPr="00481243">
        <w:rPr>
          <w:rFonts w:ascii="Arial" w:hAnsi="Arial"/>
          <w:color w:val="000000" w:themeColor="text1"/>
          <w:sz w:val="24"/>
          <w:szCs w:val="24"/>
          <w:lang w:val="en-ZA" w:eastAsia="en-ZA"/>
        </w:rPr>
        <w:t xml:space="preserve">stages, namely </w:t>
      </w:r>
      <w:r w:rsidRPr="00481243">
        <w:rPr>
          <w:rFonts w:ascii="Arial" w:hAnsi="Arial"/>
          <w:color w:val="000000" w:themeColor="text1"/>
          <w:sz w:val="24"/>
          <w:szCs w:val="24"/>
          <w:lang w:val="en-ZA"/>
        </w:rPr>
        <w:t xml:space="preserve">the stage of the </w:t>
      </w:r>
      <w:r w:rsidRPr="00481243">
        <w:rPr>
          <w:rFonts w:ascii="Arial" w:hAnsi="Arial"/>
          <w:color w:val="000000" w:themeColor="text1"/>
          <w:sz w:val="24"/>
          <w:szCs w:val="24"/>
          <w:lang w:val="en-ZA" w:eastAsia="en-ZA"/>
        </w:rPr>
        <w:t xml:space="preserve">application for </w:t>
      </w:r>
      <w:r w:rsidRPr="00481243">
        <w:rPr>
          <w:rFonts w:ascii="Arial" w:hAnsi="Arial"/>
          <w:color w:val="000000" w:themeColor="text1"/>
          <w:sz w:val="24"/>
          <w:szCs w:val="24"/>
          <w:lang w:val="en-ZA"/>
        </w:rPr>
        <w:t>a</w:t>
      </w:r>
      <w:r w:rsidRPr="00481243">
        <w:rPr>
          <w:rFonts w:ascii="Arial" w:hAnsi="Arial"/>
          <w:color w:val="000000" w:themeColor="text1"/>
          <w:sz w:val="24"/>
          <w:szCs w:val="24"/>
          <w:lang w:val="en-ZA" w:eastAsia="en-ZA"/>
        </w:rPr>
        <w:t xml:space="preserve"> preservation </w:t>
      </w:r>
      <w:r w:rsidRPr="00481243">
        <w:rPr>
          <w:rFonts w:ascii="Arial" w:hAnsi="Arial"/>
          <w:color w:val="000000" w:themeColor="text1"/>
          <w:sz w:val="24"/>
          <w:szCs w:val="24"/>
          <w:lang w:val="en-ZA"/>
        </w:rPr>
        <w:t>order o</w:t>
      </w:r>
      <w:r w:rsidRPr="00481243">
        <w:rPr>
          <w:rFonts w:ascii="Arial" w:hAnsi="Arial"/>
          <w:color w:val="000000" w:themeColor="text1"/>
          <w:sz w:val="24"/>
          <w:szCs w:val="24"/>
          <w:lang w:val="en-ZA" w:eastAsia="en-ZA"/>
        </w:rPr>
        <w:t>n the</w:t>
      </w:r>
      <w:r w:rsidRPr="00481243">
        <w:rPr>
          <w:rFonts w:ascii="Arial" w:hAnsi="Arial"/>
          <w:color w:val="000000" w:themeColor="text1"/>
          <w:sz w:val="24"/>
          <w:szCs w:val="24"/>
          <w:lang w:val="en-ZA"/>
        </w:rPr>
        <w:t xml:space="preserve"> one hand and that of the forfeiture of the preserved property on the other; or whether the property forfeiture proceedings manifested in two self-contained, separate and distinct processes. The question gave rise to a further issue, in other words, whether each of the two purported stages of the forfeiture proceedings required compliance with rule 65(1) or whether it suffices that the requirements be met only at the property preservation stage, which initiates the property forfeiture proceedings and not at the stage of the forfeiture</w:t>
      </w:r>
      <w:r w:rsidR="00DC06A8" w:rsidRPr="00481243">
        <w:rPr>
          <w:rFonts w:ascii="Arial" w:hAnsi="Arial"/>
          <w:color w:val="000000" w:themeColor="text1"/>
          <w:sz w:val="24"/>
          <w:szCs w:val="24"/>
          <w:lang w:val="en-ZA"/>
        </w:rPr>
        <w:t xml:space="preserve"> order</w:t>
      </w:r>
      <w:r w:rsidRPr="00481243">
        <w:rPr>
          <w:rFonts w:ascii="Arial" w:hAnsi="Arial"/>
          <w:color w:val="000000" w:themeColor="text1"/>
          <w:sz w:val="24"/>
          <w:szCs w:val="24"/>
          <w:lang w:val="en-ZA"/>
        </w:rPr>
        <w:t>.</w:t>
      </w:r>
    </w:p>
    <w:p w:rsidR="00702D7A" w:rsidRPr="00481243" w:rsidRDefault="00702D7A" w:rsidP="00702D7A">
      <w:pPr>
        <w:spacing w:after="0" w:line="480" w:lineRule="auto"/>
        <w:jc w:val="both"/>
        <w:rPr>
          <w:rFonts w:ascii="Arial" w:hAnsi="Arial"/>
          <w:color w:val="000000" w:themeColor="text1"/>
          <w:sz w:val="24"/>
          <w:szCs w:val="24"/>
          <w:lang w:val="en-ZA" w:eastAsia="en-ZA"/>
        </w:rPr>
      </w:pPr>
    </w:p>
    <w:p w:rsidR="00702D7A" w:rsidRPr="00481243" w:rsidRDefault="00702D7A" w:rsidP="00702D7A">
      <w:pPr>
        <w:pStyle w:val="ListParagraph"/>
        <w:numPr>
          <w:ilvl w:val="0"/>
          <w:numId w:val="46"/>
        </w:numPr>
        <w:spacing w:after="0" w:line="480" w:lineRule="auto"/>
        <w:ind w:left="0" w:firstLine="0"/>
        <w:jc w:val="both"/>
        <w:rPr>
          <w:rFonts w:ascii="Arial" w:hAnsi="Arial"/>
          <w:color w:val="000000" w:themeColor="text1"/>
          <w:sz w:val="24"/>
          <w:szCs w:val="24"/>
          <w:lang w:val="en-ZA" w:eastAsia="en-ZA"/>
        </w:rPr>
      </w:pPr>
      <w:r w:rsidRPr="00481243">
        <w:rPr>
          <w:rFonts w:ascii="Arial" w:hAnsi="Arial"/>
          <w:color w:val="000000" w:themeColor="text1"/>
          <w:sz w:val="24"/>
          <w:szCs w:val="24"/>
          <w:lang w:val="en-ZA"/>
        </w:rPr>
        <w:t>In addition, the respondents contended that the appellant failed to comply with the requirements of regulation 4(8) of the POCA regulations</w:t>
      </w:r>
      <w:r w:rsidRPr="00481243">
        <w:rPr>
          <w:rStyle w:val="FootnoteReference"/>
          <w:rFonts w:ascii="Arial" w:hAnsi="Arial"/>
          <w:color w:val="000000" w:themeColor="text1"/>
          <w:sz w:val="24"/>
          <w:szCs w:val="24"/>
          <w:lang w:val="en-ZA"/>
        </w:rPr>
        <w:footnoteReference w:id="2"/>
      </w:r>
      <w:r w:rsidRPr="00481243">
        <w:rPr>
          <w:rFonts w:ascii="Arial" w:hAnsi="Arial"/>
          <w:color w:val="000000" w:themeColor="text1"/>
          <w:sz w:val="24"/>
          <w:szCs w:val="24"/>
          <w:lang w:val="en-ZA"/>
        </w:rPr>
        <w:t xml:space="preserve"> in that t</w:t>
      </w:r>
      <w:r w:rsidRPr="00481243">
        <w:rPr>
          <w:rFonts w:ascii="Arial" w:hAnsi="Arial"/>
          <w:color w:val="000000" w:themeColor="text1"/>
          <w:sz w:val="24"/>
          <w:szCs w:val="24"/>
          <w:lang w:val="en-ZA" w:eastAsia="en-ZA"/>
        </w:rPr>
        <w:t xml:space="preserve">he </w:t>
      </w:r>
      <w:r w:rsidRPr="00481243">
        <w:rPr>
          <w:rFonts w:ascii="Arial" w:hAnsi="Arial"/>
          <w:color w:val="000000" w:themeColor="text1"/>
          <w:sz w:val="24"/>
          <w:szCs w:val="24"/>
          <w:lang w:val="en-ZA"/>
        </w:rPr>
        <w:t xml:space="preserve">appellant’s notice </w:t>
      </w:r>
      <w:r w:rsidRPr="00481243">
        <w:rPr>
          <w:rFonts w:ascii="Arial" w:hAnsi="Arial"/>
          <w:color w:val="000000" w:themeColor="text1"/>
          <w:sz w:val="24"/>
          <w:szCs w:val="24"/>
          <w:lang w:val="en-ZA" w:eastAsia="en-ZA"/>
        </w:rPr>
        <w:t>was not delivered to the</w:t>
      </w:r>
      <w:r w:rsidRPr="00481243">
        <w:rPr>
          <w:rFonts w:ascii="Arial" w:hAnsi="Arial"/>
          <w:color w:val="000000" w:themeColor="text1"/>
          <w:sz w:val="24"/>
          <w:szCs w:val="24"/>
          <w:lang w:val="en-ZA"/>
        </w:rPr>
        <w:t xml:space="preserve"> respondents’</w:t>
      </w:r>
      <w:r w:rsidRPr="00481243">
        <w:rPr>
          <w:rFonts w:ascii="Arial" w:hAnsi="Arial"/>
          <w:color w:val="000000" w:themeColor="text1"/>
          <w:sz w:val="24"/>
          <w:szCs w:val="24"/>
          <w:lang w:val="en-ZA" w:eastAsia="en-ZA"/>
        </w:rPr>
        <w:t xml:space="preserve"> address of </w:t>
      </w:r>
      <w:r w:rsidRPr="00481243">
        <w:rPr>
          <w:rFonts w:ascii="Arial" w:hAnsi="Arial"/>
          <w:color w:val="000000" w:themeColor="text1"/>
          <w:sz w:val="24"/>
          <w:szCs w:val="24"/>
          <w:lang w:val="en-ZA"/>
        </w:rPr>
        <w:t xml:space="preserve">choice, but was instead delivered at </w:t>
      </w:r>
      <w:r w:rsidRPr="00481243">
        <w:rPr>
          <w:rFonts w:ascii="Arial" w:hAnsi="Arial"/>
          <w:color w:val="000000" w:themeColor="text1"/>
          <w:sz w:val="24"/>
          <w:szCs w:val="24"/>
          <w:lang w:val="en-ZA" w:eastAsia="en-ZA"/>
        </w:rPr>
        <w:t>the general office for service of process (GOSP</w:t>
      </w:r>
      <w:r w:rsidRPr="00481243">
        <w:rPr>
          <w:rFonts w:ascii="Arial" w:hAnsi="Arial"/>
          <w:color w:val="000000" w:themeColor="text1"/>
          <w:sz w:val="24"/>
          <w:szCs w:val="24"/>
          <w:lang w:val="en-ZA"/>
        </w:rPr>
        <w:t xml:space="preserve">), </w:t>
      </w:r>
      <w:r w:rsidRPr="00481243">
        <w:rPr>
          <w:rFonts w:ascii="Arial" w:hAnsi="Arial"/>
          <w:color w:val="000000" w:themeColor="text1"/>
          <w:sz w:val="24"/>
          <w:szCs w:val="24"/>
          <w:lang w:val="en-ZA" w:eastAsia="en-ZA"/>
        </w:rPr>
        <w:t>which is the address</w:t>
      </w:r>
      <w:r w:rsidRPr="00481243">
        <w:rPr>
          <w:rFonts w:ascii="Arial" w:hAnsi="Arial"/>
          <w:color w:val="000000" w:themeColor="text1"/>
          <w:sz w:val="24"/>
          <w:szCs w:val="24"/>
          <w:lang w:val="en-ZA"/>
        </w:rPr>
        <w:t xml:space="preserve"> of exchange of legal process</w:t>
      </w:r>
      <w:r w:rsidRPr="00481243">
        <w:rPr>
          <w:rFonts w:ascii="Arial" w:hAnsi="Arial"/>
          <w:color w:val="000000" w:themeColor="text1"/>
          <w:sz w:val="24"/>
          <w:szCs w:val="24"/>
          <w:lang w:val="en-ZA" w:eastAsia="en-ZA"/>
        </w:rPr>
        <w:t xml:space="preserve"> generally agreed to by legal practitioners in </w:t>
      </w:r>
      <w:r w:rsidRPr="00481243">
        <w:rPr>
          <w:rFonts w:ascii="Arial" w:hAnsi="Arial"/>
          <w:color w:val="000000" w:themeColor="text1"/>
          <w:sz w:val="24"/>
          <w:szCs w:val="24"/>
          <w:lang w:val="en-ZA" w:eastAsia="en-ZA"/>
        </w:rPr>
        <w:lastRenderedPageBreak/>
        <w:t>Windhoek among themselves</w:t>
      </w:r>
      <w:r w:rsidRPr="00481243">
        <w:rPr>
          <w:rFonts w:ascii="Arial" w:hAnsi="Arial"/>
          <w:color w:val="000000" w:themeColor="text1"/>
          <w:sz w:val="24"/>
          <w:szCs w:val="24"/>
          <w:lang w:val="en-ZA"/>
        </w:rPr>
        <w:t xml:space="preserve">. </w:t>
      </w:r>
      <w:r w:rsidRPr="00481243">
        <w:rPr>
          <w:rFonts w:ascii="Arial" w:hAnsi="Arial"/>
          <w:color w:val="000000" w:themeColor="text1"/>
          <w:sz w:val="24"/>
          <w:szCs w:val="24"/>
          <w:lang w:val="en-ZA" w:eastAsia="en-ZA"/>
        </w:rPr>
        <w:t xml:space="preserve">The </w:t>
      </w:r>
      <w:r w:rsidRPr="00481243">
        <w:rPr>
          <w:rFonts w:ascii="Arial" w:hAnsi="Arial"/>
          <w:color w:val="000000" w:themeColor="text1"/>
          <w:sz w:val="24"/>
          <w:szCs w:val="24"/>
          <w:lang w:val="en-ZA"/>
        </w:rPr>
        <w:t>contention was</w:t>
      </w:r>
      <w:r w:rsidRPr="00481243">
        <w:rPr>
          <w:rFonts w:ascii="Arial" w:hAnsi="Arial"/>
          <w:color w:val="000000" w:themeColor="text1"/>
          <w:sz w:val="24"/>
          <w:szCs w:val="24"/>
          <w:lang w:val="en-ZA" w:eastAsia="en-ZA"/>
        </w:rPr>
        <w:t xml:space="preserve"> that there was </w:t>
      </w:r>
      <w:r w:rsidRPr="00481243">
        <w:rPr>
          <w:rFonts w:ascii="Arial" w:hAnsi="Arial"/>
          <w:color w:val="000000" w:themeColor="text1"/>
          <w:sz w:val="24"/>
          <w:szCs w:val="24"/>
          <w:lang w:val="en-ZA"/>
        </w:rPr>
        <w:t xml:space="preserve">as a result </w:t>
      </w:r>
      <w:r w:rsidRPr="00481243">
        <w:rPr>
          <w:rFonts w:ascii="Arial" w:hAnsi="Arial"/>
          <w:color w:val="000000" w:themeColor="text1"/>
          <w:sz w:val="24"/>
          <w:szCs w:val="24"/>
          <w:lang w:val="en-ZA" w:eastAsia="en-ZA"/>
        </w:rPr>
        <w:t>no service within the prescribed 120 days after the notice was published in the Government Gazette</w:t>
      </w:r>
      <w:r w:rsidR="00433BA2" w:rsidRPr="00481243">
        <w:rPr>
          <w:rFonts w:ascii="Arial" w:hAnsi="Arial"/>
          <w:color w:val="000000" w:themeColor="text1"/>
          <w:sz w:val="24"/>
          <w:szCs w:val="24"/>
          <w:lang w:val="en-ZA"/>
        </w:rPr>
        <w:t>, t</w:t>
      </w:r>
      <w:r w:rsidR="00433BA2" w:rsidRPr="00481243">
        <w:rPr>
          <w:rFonts w:ascii="Arial" w:hAnsi="Arial"/>
          <w:color w:val="000000" w:themeColor="text1"/>
          <w:sz w:val="24"/>
          <w:szCs w:val="24"/>
        </w:rPr>
        <w:t>hat</w:t>
      </w:r>
      <w:r w:rsidRPr="00481243">
        <w:rPr>
          <w:rFonts w:ascii="Arial" w:hAnsi="Arial"/>
          <w:color w:val="000000" w:themeColor="text1"/>
          <w:sz w:val="24"/>
          <w:szCs w:val="24"/>
        </w:rPr>
        <w:t xml:space="preserve"> the argument went, </w:t>
      </w:r>
      <w:r w:rsidRPr="00481243">
        <w:rPr>
          <w:rFonts w:ascii="Arial" w:hAnsi="Arial"/>
          <w:color w:val="000000" w:themeColor="text1"/>
          <w:sz w:val="24"/>
          <w:szCs w:val="24"/>
          <w:lang w:val="en-ZA"/>
        </w:rPr>
        <w:t>caused the</w:t>
      </w:r>
      <w:r w:rsidRPr="00481243">
        <w:rPr>
          <w:rFonts w:ascii="Arial" w:hAnsi="Arial"/>
          <w:color w:val="000000" w:themeColor="text1"/>
          <w:sz w:val="24"/>
          <w:szCs w:val="24"/>
          <w:lang w:val="en-ZA" w:eastAsia="en-ZA"/>
        </w:rPr>
        <w:t xml:space="preserve"> forfeiture application to expire. </w:t>
      </w:r>
      <w:r w:rsidRPr="00481243">
        <w:rPr>
          <w:rFonts w:ascii="Arial" w:hAnsi="Arial"/>
          <w:color w:val="000000" w:themeColor="text1"/>
          <w:sz w:val="24"/>
          <w:szCs w:val="24"/>
        </w:rPr>
        <w:t xml:space="preserve">It </w:t>
      </w:r>
      <w:r w:rsidRPr="00481243">
        <w:rPr>
          <w:rFonts w:ascii="Arial" w:hAnsi="Arial"/>
          <w:color w:val="000000" w:themeColor="text1"/>
          <w:sz w:val="24"/>
          <w:szCs w:val="24"/>
          <w:lang w:val="en-ZA"/>
        </w:rPr>
        <w:t xml:space="preserve">was </w:t>
      </w:r>
      <w:r w:rsidRPr="00481243">
        <w:rPr>
          <w:rFonts w:ascii="Arial" w:hAnsi="Arial"/>
          <w:color w:val="000000" w:themeColor="text1"/>
          <w:sz w:val="24"/>
          <w:szCs w:val="24"/>
        </w:rPr>
        <w:t>on that basis that t</w:t>
      </w:r>
      <w:r w:rsidRPr="00481243">
        <w:rPr>
          <w:rFonts w:ascii="Arial" w:hAnsi="Arial"/>
          <w:color w:val="000000" w:themeColor="text1"/>
          <w:sz w:val="24"/>
          <w:szCs w:val="24"/>
          <w:lang w:val="en-ZA"/>
        </w:rPr>
        <w:t>h</w:t>
      </w:r>
      <w:r w:rsidRPr="00481243">
        <w:rPr>
          <w:rFonts w:ascii="Arial" w:hAnsi="Arial"/>
          <w:color w:val="000000" w:themeColor="text1"/>
          <w:sz w:val="24"/>
          <w:szCs w:val="24"/>
        </w:rPr>
        <w:t xml:space="preserve">e respondents contended that the forfeiture </w:t>
      </w:r>
      <w:r w:rsidRPr="00481243">
        <w:rPr>
          <w:rFonts w:ascii="Arial" w:hAnsi="Arial"/>
          <w:color w:val="000000" w:themeColor="text1"/>
          <w:sz w:val="24"/>
          <w:szCs w:val="24"/>
          <w:lang w:val="en-ZA" w:eastAsia="en-ZA"/>
        </w:rPr>
        <w:t xml:space="preserve">application </w:t>
      </w:r>
      <w:r w:rsidRPr="00481243">
        <w:rPr>
          <w:rFonts w:ascii="Arial" w:hAnsi="Arial"/>
          <w:color w:val="000000" w:themeColor="text1"/>
          <w:sz w:val="24"/>
          <w:szCs w:val="24"/>
          <w:lang w:val="en-ZA"/>
        </w:rPr>
        <w:t>wa</w:t>
      </w:r>
      <w:r w:rsidRPr="00481243">
        <w:rPr>
          <w:rFonts w:ascii="Arial" w:hAnsi="Arial"/>
          <w:color w:val="000000" w:themeColor="text1"/>
          <w:sz w:val="24"/>
          <w:szCs w:val="24"/>
          <w:lang w:val="en-ZA" w:eastAsia="en-ZA"/>
        </w:rPr>
        <w:t xml:space="preserve">s </w:t>
      </w:r>
      <w:r w:rsidRPr="00481243">
        <w:rPr>
          <w:rFonts w:ascii="Arial" w:hAnsi="Arial"/>
          <w:color w:val="000000" w:themeColor="text1"/>
          <w:sz w:val="24"/>
          <w:szCs w:val="24"/>
        </w:rPr>
        <w:t>in</w:t>
      </w:r>
      <w:r w:rsidRPr="00481243">
        <w:rPr>
          <w:rFonts w:ascii="Arial" w:hAnsi="Arial"/>
          <w:color w:val="000000" w:themeColor="text1"/>
          <w:sz w:val="24"/>
          <w:szCs w:val="24"/>
          <w:lang w:val="en-ZA" w:eastAsia="en-ZA"/>
        </w:rPr>
        <w:t xml:space="preserve"> fact and in law a nullity and should be removed from the court roll with c</w:t>
      </w:r>
      <w:r w:rsidRPr="00481243">
        <w:rPr>
          <w:rFonts w:ascii="Arial" w:hAnsi="Arial"/>
          <w:color w:val="000000" w:themeColor="text1"/>
          <w:sz w:val="24"/>
          <w:szCs w:val="24"/>
          <w:lang w:val="en-ZA"/>
        </w:rPr>
        <w:t>osts.</w:t>
      </w:r>
    </w:p>
    <w:p w:rsidR="00702D7A" w:rsidRPr="00481243" w:rsidRDefault="00702D7A" w:rsidP="00702D7A">
      <w:pPr>
        <w:pStyle w:val="ListParagraph"/>
        <w:spacing w:after="0" w:line="480" w:lineRule="auto"/>
        <w:ind w:left="0"/>
        <w:jc w:val="both"/>
        <w:rPr>
          <w:rFonts w:ascii="Arial" w:hAnsi="Arial"/>
          <w:color w:val="000000" w:themeColor="text1"/>
          <w:sz w:val="24"/>
          <w:szCs w:val="24"/>
          <w:lang w:val="en-ZA" w:eastAsia="en-ZA"/>
        </w:rPr>
      </w:pPr>
    </w:p>
    <w:p w:rsidR="00702D7A" w:rsidRPr="00481243" w:rsidRDefault="00702D7A" w:rsidP="00DC06A8">
      <w:pPr>
        <w:pStyle w:val="ListParagraph"/>
        <w:numPr>
          <w:ilvl w:val="0"/>
          <w:numId w:val="46"/>
        </w:numPr>
        <w:spacing w:after="0" w:line="480" w:lineRule="auto"/>
        <w:ind w:left="0" w:firstLine="0"/>
        <w:jc w:val="both"/>
        <w:rPr>
          <w:rFonts w:ascii="Arial" w:hAnsi="Arial"/>
          <w:color w:val="000000" w:themeColor="text1"/>
          <w:sz w:val="24"/>
          <w:szCs w:val="24"/>
          <w:lang w:val="en-ZA" w:eastAsia="en-ZA"/>
        </w:rPr>
      </w:pPr>
      <w:r w:rsidRPr="00481243">
        <w:rPr>
          <w:rFonts w:ascii="Arial" w:hAnsi="Arial"/>
          <w:color w:val="000000" w:themeColor="text1"/>
          <w:sz w:val="24"/>
          <w:szCs w:val="24"/>
          <w:lang w:val="en-ZA" w:eastAsia="en-ZA"/>
        </w:rPr>
        <w:t xml:space="preserve">The High Court </w:t>
      </w:r>
      <w:r w:rsidRPr="00481243">
        <w:rPr>
          <w:rFonts w:ascii="Arial" w:hAnsi="Arial"/>
          <w:color w:val="000000" w:themeColor="text1"/>
          <w:sz w:val="24"/>
          <w:szCs w:val="24"/>
        </w:rPr>
        <w:t>proceeded to hold t</w:t>
      </w:r>
      <w:r w:rsidRPr="00481243">
        <w:rPr>
          <w:rFonts w:ascii="Arial" w:hAnsi="Arial"/>
          <w:color w:val="000000" w:themeColor="text1"/>
          <w:sz w:val="24"/>
          <w:szCs w:val="24"/>
          <w:lang w:val="en-ZA" w:eastAsia="en-ZA"/>
        </w:rPr>
        <w:t xml:space="preserve">hat </w:t>
      </w:r>
      <w:r w:rsidRPr="00481243">
        <w:rPr>
          <w:rFonts w:ascii="Arial" w:hAnsi="Arial"/>
          <w:color w:val="000000" w:themeColor="text1"/>
          <w:sz w:val="24"/>
          <w:szCs w:val="24"/>
          <w:lang w:val="en-ZA"/>
        </w:rPr>
        <w:t xml:space="preserve">the </w:t>
      </w:r>
      <w:r w:rsidRPr="00481243">
        <w:rPr>
          <w:rFonts w:ascii="Arial" w:hAnsi="Arial"/>
          <w:color w:val="000000" w:themeColor="text1"/>
          <w:sz w:val="24"/>
          <w:szCs w:val="24"/>
          <w:lang w:val="en-ZA" w:eastAsia="en-ZA"/>
        </w:rPr>
        <w:t xml:space="preserve">application for a forfeiture order is separate and distinct from </w:t>
      </w:r>
      <w:r w:rsidRPr="00481243">
        <w:rPr>
          <w:rFonts w:ascii="Arial" w:hAnsi="Arial"/>
          <w:color w:val="000000" w:themeColor="text1"/>
          <w:sz w:val="24"/>
          <w:szCs w:val="24"/>
        </w:rPr>
        <w:t xml:space="preserve">that of </w:t>
      </w:r>
      <w:r w:rsidRPr="00481243">
        <w:rPr>
          <w:rFonts w:ascii="Arial" w:hAnsi="Arial"/>
          <w:color w:val="000000" w:themeColor="text1"/>
          <w:sz w:val="24"/>
          <w:szCs w:val="24"/>
          <w:lang w:val="en-ZA"/>
        </w:rPr>
        <w:t>th</w:t>
      </w:r>
      <w:r w:rsidRPr="00481243">
        <w:rPr>
          <w:rFonts w:ascii="Arial" w:hAnsi="Arial"/>
          <w:color w:val="000000" w:themeColor="text1"/>
          <w:sz w:val="24"/>
          <w:szCs w:val="24"/>
        </w:rPr>
        <w:t xml:space="preserve">e </w:t>
      </w:r>
      <w:r w:rsidRPr="00481243">
        <w:rPr>
          <w:rFonts w:ascii="Arial" w:hAnsi="Arial"/>
          <w:color w:val="000000" w:themeColor="text1"/>
          <w:sz w:val="24"/>
          <w:szCs w:val="24"/>
          <w:lang w:val="en-ZA" w:eastAsia="en-ZA"/>
        </w:rPr>
        <w:t>preservatio</w:t>
      </w:r>
      <w:r w:rsidRPr="00481243">
        <w:rPr>
          <w:rFonts w:ascii="Arial" w:hAnsi="Arial"/>
          <w:color w:val="000000" w:themeColor="text1"/>
          <w:sz w:val="24"/>
          <w:szCs w:val="24"/>
          <w:lang w:val="en-ZA"/>
        </w:rPr>
        <w:t xml:space="preserve">n </w:t>
      </w:r>
      <w:r w:rsidRPr="00481243">
        <w:rPr>
          <w:rFonts w:ascii="Arial" w:hAnsi="Arial"/>
          <w:color w:val="000000" w:themeColor="text1"/>
          <w:sz w:val="24"/>
          <w:szCs w:val="24"/>
          <w:lang w:val="en-ZA" w:eastAsia="en-ZA"/>
        </w:rPr>
        <w:t xml:space="preserve">order. </w:t>
      </w:r>
      <w:r w:rsidRPr="00481243">
        <w:rPr>
          <w:rFonts w:ascii="Arial" w:hAnsi="Arial"/>
          <w:color w:val="000000" w:themeColor="text1"/>
          <w:sz w:val="24"/>
          <w:szCs w:val="24"/>
          <w:lang w:val="en-ZA"/>
        </w:rPr>
        <w:t>Thus, like the latter application, it also initiates</w:t>
      </w:r>
      <w:r w:rsidRPr="00481243">
        <w:rPr>
          <w:rFonts w:ascii="Arial" w:hAnsi="Arial"/>
          <w:color w:val="000000" w:themeColor="text1"/>
          <w:sz w:val="24"/>
          <w:szCs w:val="24"/>
          <w:lang w:val="en-ZA" w:eastAsia="en-ZA"/>
        </w:rPr>
        <w:t xml:space="preserve"> new proceedings </w:t>
      </w:r>
      <w:r w:rsidRPr="00481243">
        <w:rPr>
          <w:rFonts w:ascii="Arial" w:hAnsi="Arial"/>
          <w:color w:val="000000" w:themeColor="text1"/>
          <w:sz w:val="24"/>
          <w:szCs w:val="24"/>
          <w:lang w:val="en-ZA"/>
        </w:rPr>
        <w:t xml:space="preserve">which, like the application for a preservation order, must comply with the peremptory </w:t>
      </w:r>
      <w:r w:rsidRPr="00481243">
        <w:rPr>
          <w:rFonts w:ascii="Arial" w:hAnsi="Arial"/>
          <w:color w:val="000000" w:themeColor="text1"/>
          <w:sz w:val="24"/>
          <w:szCs w:val="24"/>
          <w:lang w:val="en-ZA" w:eastAsia="en-ZA"/>
        </w:rPr>
        <w:t>terms of rule 65(1) of the High Court Rules</w:t>
      </w:r>
      <w:r w:rsidRPr="00481243">
        <w:rPr>
          <w:rFonts w:ascii="Arial" w:hAnsi="Arial"/>
          <w:color w:val="000000" w:themeColor="text1"/>
          <w:sz w:val="24"/>
          <w:szCs w:val="24"/>
          <w:lang w:val="en-ZA"/>
        </w:rPr>
        <w:t xml:space="preserve">. Further, the forfeiture application must also </w:t>
      </w:r>
      <w:r w:rsidRPr="00481243">
        <w:rPr>
          <w:rFonts w:ascii="Arial" w:hAnsi="Arial"/>
          <w:color w:val="000000" w:themeColor="text1"/>
          <w:sz w:val="24"/>
          <w:szCs w:val="24"/>
          <w:lang w:val="en-ZA" w:eastAsia="en-ZA"/>
        </w:rPr>
        <w:t xml:space="preserve">be issued </w:t>
      </w:r>
      <w:r w:rsidRPr="00481243">
        <w:rPr>
          <w:rFonts w:ascii="Arial" w:hAnsi="Arial"/>
          <w:color w:val="000000" w:themeColor="text1"/>
          <w:sz w:val="24"/>
          <w:szCs w:val="24"/>
          <w:lang w:val="en-ZA"/>
        </w:rPr>
        <w:t xml:space="preserve">and authorized </w:t>
      </w:r>
      <w:r w:rsidRPr="00481243">
        <w:rPr>
          <w:rFonts w:ascii="Arial" w:hAnsi="Arial"/>
          <w:color w:val="000000" w:themeColor="text1"/>
          <w:sz w:val="24"/>
          <w:szCs w:val="24"/>
          <w:lang w:val="en-ZA" w:eastAsia="en-ZA"/>
        </w:rPr>
        <w:t xml:space="preserve">by the Registrar prior to the application being served on the </w:t>
      </w:r>
      <w:r w:rsidRPr="00481243">
        <w:rPr>
          <w:rFonts w:ascii="Arial" w:hAnsi="Arial"/>
          <w:color w:val="000000" w:themeColor="text1"/>
          <w:sz w:val="24"/>
          <w:szCs w:val="24"/>
          <w:lang w:val="en-ZA"/>
        </w:rPr>
        <w:t>respondents by the Deputy-Sheriff or the Police</w:t>
      </w:r>
      <w:r w:rsidRPr="00481243">
        <w:rPr>
          <w:rFonts w:ascii="Arial" w:hAnsi="Arial"/>
          <w:color w:val="000000" w:themeColor="text1"/>
          <w:sz w:val="24"/>
          <w:szCs w:val="24"/>
        </w:rPr>
        <w:t>. Being a separate, independent process on its own,</w:t>
      </w:r>
      <w:r w:rsidRPr="00481243">
        <w:rPr>
          <w:rFonts w:ascii="Arial" w:hAnsi="Arial"/>
          <w:color w:val="000000" w:themeColor="text1"/>
          <w:sz w:val="24"/>
          <w:szCs w:val="24"/>
          <w:lang w:val="en-ZA"/>
        </w:rPr>
        <w:t xml:space="preserve"> held the court,</w:t>
      </w:r>
      <w:r w:rsidRPr="00481243">
        <w:rPr>
          <w:rFonts w:ascii="Arial" w:hAnsi="Arial"/>
          <w:color w:val="000000" w:themeColor="text1"/>
          <w:sz w:val="24"/>
          <w:szCs w:val="24"/>
        </w:rPr>
        <w:t xml:space="preserve"> the application for </w:t>
      </w:r>
      <w:r w:rsidR="00DC06A8" w:rsidRPr="00481243">
        <w:rPr>
          <w:rFonts w:ascii="Arial" w:hAnsi="Arial"/>
          <w:color w:val="000000" w:themeColor="text1"/>
          <w:sz w:val="24"/>
          <w:szCs w:val="24"/>
          <w:lang w:val="en-ZA"/>
        </w:rPr>
        <w:t>a</w:t>
      </w:r>
      <w:r w:rsidRPr="00481243">
        <w:rPr>
          <w:rFonts w:ascii="Arial" w:hAnsi="Arial"/>
          <w:color w:val="000000" w:themeColor="text1"/>
          <w:sz w:val="24"/>
          <w:szCs w:val="24"/>
          <w:lang w:val="en-ZA"/>
        </w:rPr>
        <w:t xml:space="preserve"> </w:t>
      </w:r>
      <w:r w:rsidRPr="00481243">
        <w:rPr>
          <w:rFonts w:ascii="Arial" w:hAnsi="Arial"/>
          <w:color w:val="000000" w:themeColor="text1"/>
          <w:sz w:val="24"/>
          <w:szCs w:val="24"/>
        </w:rPr>
        <w:t xml:space="preserve">forfeiture </w:t>
      </w:r>
      <w:r w:rsidR="00DC06A8" w:rsidRPr="00481243">
        <w:rPr>
          <w:rFonts w:ascii="Arial" w:hAnsi="Arial"/>
          <w:color w:val="000000" w:themeColor="text1"/>
          <w:sz w:val="24"/>
          <w:szCs w:val="24"/>
        </w:rPr>
        <w:t xml:space="preserve">order </w:t>
      </w:r>
      <w:r w:rsidRPr="00481243">
        <w:rPr>
          <w:rFonts w:ascii="Arial" w:hAnsi="Arial"/>
          <w:color w:val="000000" w:themeColor="text1"/>
          <w:sz w:val="24"/>
          <w:szCs w:val="24"/>
          <w:lang w:val="en-ZA"/>
        </w:rPr>
        <w:t xml:space="preserve">also had to </w:t>
      </w:r>
      <w:r w:rsidRPr="00481243">
        <w:rPr>
          <w:rFonts w:ascii="Arial" w:hAnsi="Arial"/>
          <w:color w:val="000000" w:themeColor="text1"/>
          <w:sz w:val="24"/>
          <w:szCs w:val="24"/>
        </w:rPr>
        <w:t xml:space="preserve">adhere to the notice requirements </w:t>
      </w:r>
      <w:r w:rsidRPr="00481243">
        <w:rPr>
          <w:rFonts w:ascii="Arial" w:hAnsi="Arial"/>
          <w:color w:val="000000" w:themeColor="text1"/>
          <w:sz w:val="24"/>
          <w:szCs w:val="24"/>
          <w:lang w:val="en-ZA"/>
        </w:rPr>
        <w:t>of</w:t>
      </w:r>
      <w:r w:rsidRPr="00481243">
        <w:rPr>
          <w:rFonts w:ascii="Arial" w:hAnsi="Arial"/>
          <w:color w:val="000000" w:themeColor="text1"/>
          <w:sz w:val="24"/>
          <w:szCs w:val="24"/>
        </w:rPr>
        <w:t xml:space="preserve"> rule 65(1). </w:t>
      </w:r>
      <w:r w:rsidRPr="00481243">
        <w:rPr>
          <w:rFonts w:ascii="Arial" w:hAnsi="Arial"/>
          <w:color w:val="000000" w:themeColor="text1"/>
          <w:sz w:val="24"/>
          <w:szCs w:val="24"/>
          <w:lang w:val="en-ZA"/>
        </w:rPr>
        <w:t>The appellant having</w:t>
      </w:r>
      <w:r w:rsidRPr="00481243">
        <w:rPr>
          <w:rFonts w:ascii="Arial" w:hAnsi="Arial"/>
          <w:color w:val="000000" w:themeColor="text1"/>
          <w:sz w:val="24"/>
          <w:szCs w:val="24"/>
        </w:rPr>
        <w:t xml:space="preserve"> failed to do</w:t>
      </w:r>
      <w:r w:rsidRPr="00481243">
        <w:rPr>
          <w:rFonts w:ascii="Arial" w:hAnsi="Arial"/>
          <w:color w:val="000000" w:themeColor="text1"/>
          <w:sz w:val="24"/>
          <w:szCs w:val="24"/>
          <w:lang w:val="en-ZA"/>
        </w:rPr>
        <w:t xml:space="preserve"> so thus </w:t>
      </w:r>
      <w:r w:rsidRPr="00481243">
        <w:rPr>
          <w:rFonts w:ascii="Arial" w:hAnsi="Arial"/>
          <w:color w:val="000000" w:themeColor="text1"/>
          <w:sz w:val="24"/>
          <w:szCs w:val="24"/>
          <w:lang w:val="en-ZA" w:eastAsia="en-ZA"/>
        </w:rPr>
        <w:t>rend</w:t>
      </w:r>
      <w:r w:rsidRPr="00481243">
        <w:rPr>
          <w:rFonts w:ascii="Arial" w:hAnsi="Arial"/>
          <w:color w:val="000000" w:themeColor="text1"/>
          <w:sz w:val="24"/>
          <w:szCs w:val="24"/>
          <w:lang w:val="en-ZA"/>
        </w:rPr>
        <w:t xml:space="preserve">ered </w:t>
      </w:r>
      <w:r w:rsidRPr="00481243">
        <w:rPr>
          <w:rFonts w:ascii="Arial" w:hAnsi="Arial"/>
          <w:color w:val="000000" w:themeColor="text1"/>
          <w:sz w:val="24"/>
          <w:szCs w:val="24"/>
          <w:lang w:val="en-ZA" w:eastAsia="en-ZA"/>
        </w:rPr>
        <w:t>the forfeiture application</w:t>
      </w:r>
      <w:r w:rsidRPr="00481243">
        <w:rPr>
          <w:rFonts w:ascii="Arial" w:hAnsi="Arial"/>
          <w:color w:val="000000" w:themeColor="text1"/>
          <w:sz w:val="24"/>
          <w:szCs w:val="24"/>
          <w:lang w:val="en-ZA"/>
        </w:rPr>
        <w:t xml:space="preserve"> </w:t>
      </w:r>
      <w:r w:rsidRPr="00481243">
        <w:rPr>
          <w:rFonts w:ascii="Arial" w:hAnsi="Arial"/>
          <w:color w:val="000000" w:themeColor="text1"/>
          <w:sz w:val="24"/>
          <w:szCs w:val="24"/>
          <w:lang w:val="en-ZA" w:eastAsia="en-ZA"/>
        </w:rPr>
        <w:t>a nullity</w:t>
      </w:r>
      <w:r w:rsidRPr="00481243">
        <w:rPr>
          <w:rFonts w:ascii="Arial" w:hAnsi="Arial"/>
          <w:color w:val="000000" w:themeColor="text1"/>
          <w:sz w:val="24"/>
          <w:szCs w:val="24"/>
          <w:lang w:val="en-ZA"/>
        </w:rPr>
        <w:t xml:space="preserve">. </w:t>
      </w:r>
    </w:p>
    <w:p w:rsidR="00702D7A" w:rsidRPr="00481243" w:rsidRDefault="00702D7A" w:rsidP="00702D7A">
      <w:pPr>
        <w:spacing w:after="0" w:line="480" w:lineRule="auto"/>
        <w:jc w:val="both"/>
        <w:rPr>
          <w:rFonts w:ascii="Arial" w:hAnsi="Arial"/>
          <w:color w:val="000000" w:themeColor="text1"/>
          <w:sz w:val="24"/>
          <w:szCs w:val="24"/>
          <w:lang w:val="en-ZA" w:eastAsia="en-ZA"/>
        </w:rPr>
      </w:pPr>
    </w:p>
    <w:p w:rsidR="00702D7A" w:rsidRPr="00481243" w:rsidRDefault="00702D7A" w:rsidP="00702D7A">
      <w:pPr>
        <w:pStyle w:val="ListParagraph"/>
        <w:numPr>
          <w:ilvl w:val="0"/>
          <w:numId w:val="46"/>
        </w:numPr>
        <w:spacing w:after="0" w:line="480" w:lineRule="auto"/>
        <w:ind w:left="0" w:firstLine="0"/>
        <w:jc w:val="both"/>
        <w:rPr>
          <w:rFonts w:ascii="Arial" w:hAnsi="Arial"/>
          <w:color w:val="000000" w:themeColor="text1"/>
          <w:sz w:val="24"/>
          <w:szCs w:val="24"/>
          <w:lang w:val="en-ZA"/>
        </w:rPr>
      </w:pPr>
      <w:r w:rsidRPr="00481243">
        <w:rPr>
          <w:rFonts w:ascii="Arial" w:hAnsi="Arial"/>
          <w:color w:val="000000" w:themeColor="text1"/>
          <w:sz w:val="24"/>
          <w:szCs w:val="24"/>
          <w:lang w:val="en-ZA"/>
        </w:rPr>
        <w:t xml:space="preserve">The </w:t>
      </w:r>
      <w:r w:rsidRPr="00481243">
        <w:rPr>
          <w:rFonts w:ascii="Arial" w:hAnsi="Arial"/>
          <w:color w:val="000000" w:themeColor="text1"/>
          <w:sz w:val="24"/>
          <w:szCs w:val="24"/>
          <w:lang w:val="en-ZA" w:eastAsia="en-ZA"/>
        </w:rPr>
        <w:t xml:space="preserve">High Court </w:t>
      </w:r>
      <w:r w:rsidRPr="00481243">
        <w:rPr>
          <w:rFonts w:ascii="Arial" w:hAnsi="Arial"/>
          <w:color w:val="000000" w:themeColor="text1"/>
          <w:sz w:val="24"/>
          <w:szCs w:val="24"/>
          <w:lang w:val="en-ZA"/>
        </w:rPr>
        <w:t xml:space="preserve">further </w:t>
      </w:r>
      <w:r w:rsidRPr="00481243">
        <w:rPr>
          <w:rFonts w:ascii="Arial" w:hAnsi="Arial"/>
          <w:color w:val="000000" w:themeColor="text1"/>
          <w:sz w:val="24"/>
          <w:szCs w:val="24"/>
          <w:lang w:val="en-ZA" w:eastAsia="en-ZA"/>
        </w:rPr>
        <w:t>held that the</w:t>
      </w:r>
      <w:r w:rsidRPr="00481243">
        <w:rPr>
          <w:rFonts w:ascii="Arial" w:hAnsi="Arial"/>
          <w:color w:val="000000" w:themeColor="text1"/>
          <w:sz w:val="24"/>
          <w:szCs w:val="24"/>
          <w:lang w:val="en-ZA"/>
        </w:rPr>
        <w:t xml:space="preserve"> notice</w:t>
      </w:r>
      <w:r w:rsidRPr="00481243">
        <w:rPr>
          <w:rFonts w:ascii="Arial" w:hAnsi="Arial"/>
          <w:color w:val="000000" w:themeColor="text1"/>
          <w:sz w:val="24"/>
          <w:szCs w:val="24"/>
          <w:lang w:val="en-ZA" w:eastAsia="en-ZA"/>
        </w:rPr>
        <w:t xml:space="preserve"> def</w:t>
      </w:r>
      <w:r w:rsidRPr="00481243">
        <w:rPr>
          <w:rFonts w:ascii="Arial" w:hAnsi="Arial"/>
          <w:color w:val="000000" w:themeColor="text1"/>
          <w:sz w:val="24"/>
          <w:szCs w:val="24"/>
          <w:lang w:val="en-ZA"/>
        </w:rPr>
        <w:t>ect in the forfeiture application</w:t>
      </w:r>
      <w:r w:rsidRPr="00481243">
        <w:rPr>
          <w:rFonts w:ascii="Arial" w:hAnsi="Arial"/>
          <w:color w:val="000000" w:themeColor="text1"/>
          <w:sz w:val="24"/>
          <w:szCs w:val="24"/>
          <w:lang w:val="en-ZA" w:eastAsia="en-ZA"/>
        </w:rPr>
        <w:t xml:space="preserve"> was not cur</w:t>
      </w:r>
      <w:r w:rsidRPr="00481243">
        <w:rPr>
          <w:rFonts w:ascii="Arial" w:hAnsi="Arial"/>
          <w:color w:val="000000" w:themeColor="text1"/>
          <w:sz w:val="24"/>
          <w:szCs w:val="24"/>
          <w:lang w:val="en-ZA"/>
        </w:rPr>
        <w:t>ed</w:t>
      </w:r>
      <w:r w:rsidRPr="00481243">
        <w:rPr>
          <w:rFonts w:ascii="Arial" w:hAnsi="Arial"/>
          <w:color w:val="000000" w:themeColor="text1"/>
          <w:sz w:val="24"/>
          <w:szCs w:val="24"/>
          <w:lang w:val="en-ZA" w:eastAsia="en-ZA"/>
        </w:rPr>
        <w:t xml:space="preserve"> by the respondents </w:t>
      </w:r>
      <w:r w:rsidRPr="00481243">
        <w:rPr>
          <w:rFonts w:ascii="Arial" w:hAnsi="Arial"/>
          <w:color w:val="000000" w:themeColor="text1"/>
          <w:sz w:val="24"/>
          <w:szCs w:val="24"/>
          <w:lang w:val="en-ZA"/>
        </w:rPr>
        <w:t xml:space="preserve">having </w:t>
      </w:r>
      <w:r w:rsidRPr="00481243">
        <w:rPr>
          <w:rFonts w:ascii="Arial" w:hAnsi="Arial"/>
          <w:color w:val="000000" w:themeColor="text1"/>
          <w:sz w:val="24"/>
          <w:szCs w:val="24"/>
          <w:lang w:val="en-ZA" w:eastAsia="en-ZA"/>
        </w:rPr>
        <w:t>file</w:t>
      </w:r>
      <w:r w:rsidRPr="00481243">
        <w:rPr>
          <w:rFonts w:ascii="Arial" w:hAnsi="Arial"/>
          <w:color w:val="000000" w:themeColor="text1"/>
          <w:sz w:val="24"/>
          <w:szCs w:val="24"/>
          <w:lang w:val="en-ZA"/>
        </w:rPr>
        <w:t>d</w:t>
      </w:r>
      <w:r w:rsidRPr="00481243">
        <w:rPr>
          <w:rFonts w:ascii="Arial" w:hAnsi="Arial"/>
          <w:color w:val="000000" w:themeColor="text1"/>
          <w:sz w:val="24"/>
          <w:szCs w:val="24"/>
          <w:lang w:val="en-ZA" w:eastAsia="en-ZA"/>
        </w:rPr>
        <w:t xml:space="preserve"> their opposing papers</w:t>
      </w:r>
      <w:r w:rsidRPr="00481243">
        <w:rPr>
          <w:rFonts w:ascii="Arial" w:hAnsi="Arial"/>
          <w:color w:val="000000" w:themeColor="text1"/>
          <w:sz w:val="24"/>
          <w:szCs w:val="24"/>
          <w:lang w:val="en-ZA"/>
        </w:rPr>
        <w:t xml:space="preserve"> in response</w:t>
      </w:r>
      <w:r w:rsidRPr="00481243">
        <w:rPr>
          <w:rFonts w:ascii="Arial" w:hAnsi="Arial"/>
          <w:color w:val="000000" w:themeColor="text1"/>
          <w:sz w:val="24"/>
          <w:szCs w:val="24"/>
        </w:rPr>
        <w:t>,</w:t>
      </w:r>
      <w:r w:rsidRPr="00481243">
        <w:rPr>
          <w:rFonts w:ascii="Arial" w:hAnsi="Arial"/>
          <w:color w:val="000000" w:themeColor="text1"/>
          <w:sz w:val="24"/>
          <w:szCs w:val="24"/>
          <w:lang w:val="en-ZA" w:eastAsia="en-ZA"/>
        </w:rPr>
        <w:t xml:space="preserve"> notwithstanding the </w:t>
      </w:r>
      <w:r w:rsidRPr="00481243">
        <w:rPr>
          <w:rFonts w:ascii="Arial" w:hAnsi="Arial"/>
          <w:color w:val="000000" w:themeColor="text1"/>
          <w:sz w:val="24"/>
          <w:szCs w:val="24"/>
          <w:lang w:val="en-ZA"/>
        </w:rPr>
        <w:t>appellant</w:t>
      </w:r>
      <w:r w:rsidRPr="00481243">
        <w:rPr>
          <w:rFonts w:ascii="Arial" w:hAnsi="Arial"/>
          <w:color w:val="000000" w:themeColor="text1"/>
          <w:sz w:val="24"/>
          <w:szCs w:val="24"/>
          <w:lang w:val="en-ZA" w:eastAsia="en-ZA"/>
        </w:rPr>
        <w:t>’s non-compliance,</w:t>
      </w:r>
      <w:r w:rsidRPr="00481243">
        <w:rPr>
          <w:rFonts w:ascii="Arial" w:hAnsi="Arial"/>
          <w:color w:val="000000" w:themeColor="text1"/>
          <w:sz w:val="24"/>
          <w:szCs w:val="24"/>
          <w:lang w:val="en-ZA"/>
        </w:rPr>
        <w:t xml:space="preserve"> as the latter had argued. </w:t>
      </w:r>
      <w:r w:rsidRPr="00481243">
        <w:rPr>
          <w:rFonts w:ascii="Arial" w:hAnsi="Arial"/>
          <w:color w:val="000000" w:themeColor="text1"/>
          <w:sz w:val="24"/>
          <w:szCs w:val="24"/>
          <w:lang w:val="en-ZA" w:eastAsia="en-ZA"/>
        </w:rPr>
        <w:t>Th</w:t>
      </w:r>
      <w:r w:rsidRPr="00481243">
        <w:rPr>
          <w:rFonts w:ascii="Arial" w:hAnsi="Arial"/>
          <w:color w:val="000000" w:themeColor="text1"/>
          <w:sz w:val="24"/>
          <w:szCs w:val="24"/>
          <w:lang w:val="en-ZA"/>
        </w:rPr>
        <w:t>e court found that the</w:t>
      </w:r>
      <w:r w:rsidRPr="00481243">
        <w:rPr>
          <w:rFonts w:ascii="Arial" w:hAnsi="Arial"/>
          <w:color w:val="000000" w:themeColor="text1"/>
          <w:sz w:val="24"/>
          <w:szCs w:val="24"/>
          <w:lang w:val="en-ZA" w:eastAsia="en-ZA"/>
        </w:rPr>
        <w:t xml:space="preserve"> application </w:t>
      </w:r>
      <w:r w:rsidRPr="00481243">
        <w:rPr>
          <w:rFonts w:ascii="Arial" w:hAnsi="Arial"/>
          <w:color w:val="000000" w:themeColor="text1"/>
          <w:sz w:val="24"/>
          <w:szCs w:val="24"/>
          <w:lang w:val="en-ZA"/>
        </w:rPr>
        <w:t xml:space="preserve">nonetheless </w:t>
      </w:r>
      <w:r w:rsidRPr="00481243">
        <w:rPr>
          <w:rFonts w:ascii="Arial" w:hAnsi="Arial"/>
          <w:color w:val="000000" w:themeColor="text1"/>
          <w:sz w:val="24"/>
          <w:szCs w:val="24"/>
          <w:lang w:val="en-ZA" w:eastAsia="en-ZA"/>
        </w:rPr>
        <w:t>rema</w:t>
      </w:r>
      <w:r w:rsidRPr="00481243">
        <w:rPr>
          <w:rFonts w:ascii="Arial" w:hAnsi="Arial"/>
          <w:color w:val="000000" w:themeColor="text1"/>
          <w:sz w:val="24"/>
          <w:szCs w:val="24"/>
          <w:lang w:val="en-ZA"/>
        </w:rPr>
        <w:t xml:space="preserve">ined a nullity, relying </w:t>
      </w:r>
      <w:r w:rsidRPr="00481243">
        <w:rPr>
          <w:rFonts w:ascii="Arial" w:hAnsi="Arial"/>
          <w:color w:val="000000" w:themeColor="text1"/>
          <w:sz w:val="24"/>
          <w:szCs w:val="24"/>
          <w:lang w:val="en-ZA" w:eastAsia="en-ZA"/>
        </w:rPr>
        <w:t xml:space="preserve">on rules 79(1), (2) and 65(1) </w:t>
      </w:r>
      <w:r w:rsidRPr="00481243">
        <w:rPr>
          <w:rFonts w:ascii="Arial" w:hAnsi="Arial"/>
          <w:color w:val="000000" w:themeColor="text1"/>
          <w:sz w:val="24"/>
          <w:szCs w:val="24"/>
          <w:lang w:val="en-ZA"/>
        </w:rPr>
        <w:t xml:space="preserve">of the High Court Rules </w:t>
      </w:r>
      <w:r w:rsidRPr="00481243">
        <w:rPr>
          <w:rFonts w:ascii="Arial" w:hAnsi="Arial"/>
          <w:color w:val="000000" w:themeColor="text1"/>
          <w:sz w:val="24"/>
          <w:szCs w:val="24"/>
          <w:lang w:val="en-ZA" w:eastAsia="en-ZA"/>
        </w:rPr>
        <w:t>read with s 59 of POCA and its regulations</w:t>
      </w:r>
      <w:r w:rsidRPr="00481243">
        <w:rPr>
          <w:rFonts w:ascii="Arial" w:hAnsi="Arial"/>
          <w:color w:val="000000" w:themeColor="text1"/>
          <w:sz w:val="24"/>
          <w:szCs w:val="24"/>
          <w:lang w:val="en-ZA"/>
        </w:rPr>
        <w:t>. Th</w:t>
      </w:r>
      <w:r w:rsidRPr="00481243">
        <w:rPr>
          <w:rFonts w:ascii="Arial" w:hAnsi="Arial"/>
          <w:color w:val="000000" w:themeColor="text1"/>
          <w:sz w:val="24"/>
          <w:szCs w:val="24"/>
          <w:lang w:val="en-ZA" w:eastAsia="en-ZA"/>
        </w:rPr>
        <w:t xml:space="preserve">e </w:t>
      </w:r>
      <w:r w:rsidRPr="00481243">
        <w:rPr>
          <w:rFonts w:ascii="Arial" w:hAnsi="Arial"/>
          <w:color w:val="000000" w:themeColor="text1"/>
          <w:sz w:val="24"/>
          <w:szCs w:val="24"/>
          <w:lang w:val="en-ZA"/>
        </w:rPr>
        <w:t>application for a forfeiture</w:t>
      </w:r>
      <w:r w:rsidR="00DC06A8" w:rsidRPr="00481243">
        <w:rPr>
          <w:rFonts w:ascii="Arial" w:hAnsi="Arial"/>
          <w:color w:val="000000" w:themeColor="text1"/>
          <w:sz w:val="24"/>
          <w:szCs w:val="24"/>
          <w:lang w:val="en-ZA"/>
        </w:rPr>
        <w:t xml:space="preserve"> order</w:t>
      </w:r>
      <w:r w:rsidRPr="00481243">
        <w:rPr>
          <w:rFonts w:ascii="Arial" w:hAnsi="Arial"/>
          <w:color w:val="000000" w:themeColor="text1"/>
          <w:sz w:val="24"/>
          <w:szCs w:val="24"/>
          <w:lang w:val="en-ZA"/>
        </w:rPr>
        <w:t xml:space="preserve"> which was the main matter in this case, was </w:t>
      </w:r>
      <w:r w:rsidRPr="00481243">
        <w:rPr>
          <w:rFonts w:ascii="Arial" w:hAnsi="Arial"/>
          <w:color w:val="000000" w:themeColor="text1"/>
          <w:sz w:val="24"/>
          <w:szCs w:val="24"/>
        </w:rPr>
        <w:t xml:space="preserve">thus </w:t>
      </w:r>
      <w:r w:rsidRPr="00481243">
        <w:rPr>
          <w:rFonts w:ascii="Arial" w:hAnsi="Arial"/>
          <w:color w:val="000000" w:themeColor="text1"/>
          <w:sz w:val="24"/>
          <w:szCs w:val="24"/>
          <w:lang w:val="en-ZA"/>
        </w:rPr>
        <w:lastRenderedPageBreak/>
        <w:t xml:space="preserve">ordered to </w:t>
      </w:r>
      <w:r w:rsidRPr="00481243">
        <w:rPr>
          <w:rFonts w:ascii="Arial" w:hAnsi="Arial"/>
          <w:color w:val="000000" w:themeColor="text1"/>
          <w:sz w:val="24"/>
          <w:szCs w:val="24"/>
          <w:lang w:val="en-ZA" w:eastAsia="en-ZA"/>
        </w:rPr>
        <w:t xml:space="preserve">be struck from the </w:t>
      </w:r>
      <w:r w:rsidRPr="00481243">
        <w:rPr>
          <w:rFonts w:ascii="Arial" w:hAnsi="Arial"/>
          <w:color w:val="000000" w:themeColor="text1"/>
          <w:sz w:val="24"/>
          <w:szCs w:val="24"/>
          <w:lang w:val="en-ZA"/>
        </w:rPr>
        <w:t xml:space="preserve">court </w:t>
      </w:r>
      <w:r w:rsidRPr="00481243">
        <w:rPr>
          <w:rFonts w:ascii="Arial" w:hAnsi="Arial"/>
          <w:color w:val="000000" w:themeColor="text1"/>
          <w:sz w:val="24"/>
          <w:szCs w:val="24"/>
          <w:lang w:val="en-ZA" w:eastAsia="en-ZA"/>
        </w:rPr>
        <w:t>roll with costs</w:t>
      </w:r>
      <w:r w:rsidRPr="00481243">
        <w:rPr>
          <w:rFonts w:ascii="Arial" w:hAnsi="Arial"/>
          <w:color w:val="000000" w:themeColor="text1"/>
          <w:sz w:val="24"/>
          <w:szCs w:val="24"/>
          <w:lang w:val="en-ZA"/>
        </w:rPr>
        <w:t xml:space="preserve">. It is that decision which is the subject of this appeal. </w:t>
      </w:r>
    </w:p>
    <w:p w:rsidR="00702D7A" w:rsidRPr="00481243" w:rsidRDefault="00702D7A" w:rsidP="00702D7A">
      <w:pPr>
        <w:pStyle w:val="ListParagraph"/>
        <w:spacing w:after="0" w:line="480" w:lineRule="auto"/>
        <w:ind w:left="0"/>
        <w:jc w:val="both"/>
        <w:rPr>
          <w:rFonts w:ascii="Arial" w:hAnsi="Arial"/>
          <w:color w:val="000000" w:themeColor="text1"/>
          <w:sz w:val="24"/>
          <w:szCs w:val="24"/>
          <w:lang w:val="en-ZA" w:eastAsia="en-ZA"/>
        </w:rPr>
      </w:pPr>
    </w:p>
    <w:p w:rsidR="00702D7A" w:rsidRPr="00481243" w:rsidRDefault="00702D7A" w:rsidP="00702D7A">
      <w:pPr>
        <w:pStyle w:val="ListParagraph"/>
        <w:numPr>
          <w:ilvl w:val="0"/>
          <w:numId w:val="46"/>
        </w:numPr>
        <w:spacing w:after="0" w:line="480" w:lineRule="auto"/>
        <w:ind w:left="0" w:firstLine="0"/>
        <w:jc w:val="both"/>
        <w:rPr>
          <w:rFonts w:ascii="Arial" w:hAnsi="Arial"/>
          <w:color w:val="000000" w:themeColor="text1"/>
          <w:sz w:val="24"/>
          <w:szCs w:val="24"/>
          <w:lang w:val="en-ZA" w:eastAsia="en-ZA"/>
        </w:rPr>
      </w:pPr>
      <w:r w:rsidRPr="00481243">
        <w:rPr>
          <w:rFonts w:ascii="Arial" w:hAnsi="Arial"/>
          <w:color w:val="000000" w:themeColor="text1"/>
          <w:sz w:val="24"/>
          <w:szCs w:val="24"/>
          <w:lang w:val="en-ZA"/>
        </w:rPr>
        <w:t>Before determining the appeal, it behoves this court to consider the appellant’s application for condonation of her non-compliance with the rules of this court.</w:t>
      </w:r>
    </w:p>
    <w:p w:rsidR="00702D7A" w:rsidRPr="00481243" w:rsidRDefault="00702D7A" w:rsidP="00702D7A">
      <w:pPr>
        <w:pStyle w:val="ListParagraph"/>
        <w:spacing w:after="0" w:line="480" w:lineRule="auto"/>
        <w:ind w:left="0"/>
        <w:jc w:val="both"/>
        <w:rPr>
          <w:rFonts w:ascii="Arial" w:hAnsi="Arial"/>
          <w:color w:val="000000" w:themeColor="text1"/>
          <w:sz w:val="24"/>
          <w:szCs w:val="24"/>
          <w:lang w:val="en-ZA" w:eastAsia="en-ZA"/>
        </w:rPr>
      </w:pPr>
    </w:p>
    <w:p w:rsidR="00702D7A" w:rsidRPr="00481243" w:rsidRDefault="00702D7A" w:rsidP="00702D7A">
      <w:pPr>
        <w:pStyle w:val="ListParagraph"/>
        <w:spacing w:after="0" w:line="480" w:lineRule="auto"/>
        <w:ind w:left="0"/>
        <w:jc w:val="both"/>
        <w:rPr>
          <w:rFonts w:ascii="Arial" w:hAnsi="Arial"/>
          <w:color w:val="000000" w:themeColor="text1"/>
          <w:sz w:val="24"/>
          <w:szCs w:val="24"/>
          <w:u w:val="single"/>
          <w:lang w:val="en-ZA" w:eastAsia="en-ZA"/>
        </w:rPr>
      </w:pPr>
      <w:r w:rsidRPr="00481243">
        <w:rPr>
          <w:rFonts w:ascii="Arial" w:hAnsi="Arial"/>
          <w:color w:val="000000" w:themeColor="text1"/>
          <w:sz w:val="24"/>
          <w:szCs w:val="24"/>
          <w:u w:val="single"/>
          <w:lang w:val="en-ZA"/>
        </w:rPr>
        <w:t>Application for condonation</w:t>
      </w:r>
    </w:p>
    <w:p w:rsidR="00702D7A" w:rsidRPr="00481243" w:rsidRDefault="00702D7A" w:rsidP="00C7055B">
      <w:pPr>
        <w:pStyle w:val="ListParagraph"/>
        <w:numPr>
          <w:ilvl w:val="0"/>
          <w:numId w:val="46"/>
        </w:numPr>
        <w:spacing w:after="0" w:line="480" w:lineRule="auto"/>
        <w:ind w:left="0" w:firstLine="0"/>
        <w:jc w:val="both"/>
        <w:rPr>
          <w:rFonts w:ascii="Arial" w:hAnsi="Arial"/>
          <w:color w:val="000000" w:themeColor="text1"/>
          <w:sz w:val="24"/>
          <w:szCs w:val="24"/>
          <w:lang w:val="en-ZA" w:eastAsia="en-ZA"/>
        </w:rPr>
      </w:pPr>
      <w:r w:rsidRPr="00481243">
        <w:rPr>
          <w:rFonts w:ascii="Arial" w:hAnsi="Arial"/>
          <w:color w:val="000000" w:themeColor="text1"/>
          <w:sz w:val="24"/>
          <w:szCs w:val="24"/>
          <w:lang w:val="en-ZA"/>
        </w:rPr>
        <w:t xml:space="preserve">The application for condonation concerns the appellant’s </w:t>
      </w:r>
      <w:r w:rsidRPr="00481243">
        <w:rPr>
          <w:rFonts w:ascii="Arial" w:hAnsi="Arial"/>
          <w:color w:val="000000" w:themeColor="text1"/>
          <w:sz w:val="24"/>
          <w:szCs w:val="24"/>
          <w:lang w:val="en-ZA" w:eastAsia="en-ZA"/>
        </w:rPr>
        <w:t xml:space="preserve">non-compliance with rules 5 and </w:t>
      </w:r>
      <w:r w:rsidR="00FD3D36" w:rsidRPr="00481243">
        <w:rPr>
          <w:rFonts w:ascii="Arial" w:hAnsi="Arial"/>
          <w:color w:val="000000" w:themeColor="text1"/>
          <w:sz w:val="24"/>
          <w:szCs w:val="24"/>
          <w:lang w:val="en-ZA" w:eastAsia="en-ZA"/>
        </w:rPr>
        <w:t>21(1)</w:t>
      </w:r>
      <w:r w:rsidRPr="00481243">
        <w:rPr>
          <w:rFonts w:ascii="Arial" w:hAnsi="Arial"/>
          <w:color w:val="000000" w:themeColor="text1"/>
          <w:sz w:val="24"/>
          <w:szCs w:val="24"/>
          <w:lang w:val="en-ZA" w:eastAsia="en-ZA"/>
        </w:rPr>
        <w:t xml:space="preserve"> of the Rules of the Supreme Court</w:t>
      </w:r>
      <w:r w:rsidRPr="00481243">
        <w:rPr>
          <w:rFonts w:ascii="Arial" w:hAnsi="Arial"/>
          <w:color w:val="000000" w:themeColor="text1"/>
          <w:sz w:val="24"/>
          <w:szCs w:val="24"/>
          <w:lang w:val="en-ZA"/>
        </w:rPr>
        <w:t>, in respect of</w:t>
      </w:r>
      <w:r w:rsidRPr="00481243">
        <w:rPr>
          <w:rFonts w:ascii="Arial" w:hAnsi="Arial"/>
          <w:color w:val="000000" w:themeColor="text1"/>
          <w:sz w:val="24"/>
          <w:szCs w:val="24"/>
          <w:lang w:val="en-ZA" w:eastAsia="en-ZA"/>
        </w:rPr>
        <w:t xml:space="preserve"> the late submission of the appellant’s bundle of authorities and her failure to lodge the bundle of authorities simultaneously with the heads of argument in the main matter respectively. In addition, the </w:t>
      </w:r>
      <w:r w:rsidRPr="00481243">
        <w:rPr>
          <w:rFonts w:ascii="Arial" w:hAnsi="Arial"/>
          <w:color w:val="000000" w:themeColor="text1"/>
          <w:sz w:val="24"/>
          <w:szCs w:val="24"/>
          <w:lang w:val="en-ZA"/>
        </w:rPr>
        <w:t xml:space="preserve">appellant </w:t>
      </w:r>
      <w:r w:rsidRPr="00481243">
        <w:rPr>
          <w:rFonts w:ascii="Arial" w:hAnsi="Arial"/>
          <w:color w:val="000000" w:themeColor="text1"/>
          <w:sz w:val="24"/>
          <w:szCs w:val="24"/>
          <w:lang w:val="en-ZA" w:eastAsia="en-ZA"/>
        </w:rPr>
        <w:t>applies for any further and/or alternative relief from this court.</w:t>
      </w:r>
    </w:p>
    <w:p w:rsidR="00702D7A" w:rsidRPr="00481243" w:rsidRDefault="00702D7A" w:rsidP="00702D7A">
      <w:pPr>
        <w:pStyle w:val="ListParagraph"/>
        <w:spacing w:after="0" w:line="480" w:lineRule="auto"/>
        <w:ind w:left="0"/>
        <w:jc w:val="both"/>
        <w:rPr>
          <w:rFonts w:ascii="Arial" w:hAnsi="Arial"/>
          <w:color w:val="000000" w:themeColor="text1"/>
          <w:sz w:val="24"/>
          <w:szCs w:val="24"/>
          <w:lang w:val="en-ZA" w:eastAsia="en-ZA"/>
        </w:rPr>
      </w:pPr>
    </w:p>
    <w:p w:rsidR="00702D7A" w:rsidRPr="00481243" w:rsidRDefault="00702D7A" w:rsidP="007C77A1">
      <w:pPr>
        <w:pStyle w:val="ListParagraph"/>
        <w:numPr>
          <w:ilvl w:val="0"/>
          <w:numId w:val="46"/>
        </w:numPr>
        <w:spacing w:after="0" w:line="480" w:lineRule="auto"/>
        <w:ind w:left="0" w:firstLine="0"/>
        <w:jc w:val="both"/>
        <w:rPr>
          <w:rFonts w:ascii="Arial" w:hAnsi="Arial"/>
          <w:color w:val="000000" w:themeColor="text1"/>
          <w:sz w:val="24"/>
          <w:szCs w:val="24"/>
          <w:lang w:val="en-ZA" w:eastAsia="en-ZA"/>
        </w:rPr>
      </w:pPr>
      <w:r w:rsidRPr="00481243">
        <w:rPr>
          <w:rFonts w:ascii="Arial" w:hAnsi="Arial"/>
          <w:color w:val="000000" w:themeColor="text1"/>
          <w:sz w:val="24"/>
          <w:szCs w:val="24"/>
          <w:lang w:val="en-ZA" w:eastAsia="en-ZA"/>
        </w:rPr>
        <w:t xml:space="preserve">In this court, Ms Boonzaier from the Office of the </w:t>
      </w:r>
      <w:r w:rsidR="00612E72" w:rsidRPr="00481243">
        <w:rPr>
          <w:rFonts w:ascii="Arial" w:hAnsi="Arial"/>
          <w:color w:val="000000" w:themeColor="text1"/>
          <w:sz w:val="24"/>
          <w:szCs w:val="24"/>
          <w:lang w:val="en-ZA" w:eastAsia="en-ZA"/>
        </w:rPr>
        <w:t>appellant</w:t>
      </w:r>
      <w:r w:rsidRPr="00481243">
        <w:rPr>
          <w:rFonts w:ascii="Arial" w:hAnsi="Arial"/>
          <w:color w:val="000000" w:themeColor="text1"/>
          <w:sz w:val="24"/>
          <w:szCs w:val="24"/>
          <w:lang w:val="en-ZA" w:eastAsia="en-ZA"/>
        </w:rPr>
        <w:t xml:space="preserve"> justifies their failure to comply with rul</w:t>
      </w:r>
      <w:r w:rsidR="00266F58">
        <w:rPr>
          <w:rFonts w:ascii="Arial" w:hAnsi="Arial"/>
          <w:color w:val="000000" w:themeColor="text1"/>
          <w:sz w:val="24"/>
          <w:szCs w:val="24"/>
          <w:lang w:val="en-ZA" w:eastAsia="en-ZA"/>
        </w:rPr>
        <w:t>e 21(1)</w:t>
      </w:r>
      <w:r w:rsidR="000B1ACE" w:rsidRPr="00481243">
        <w:rPr>
          <w:rFonts w:ascii="Arial" w:hAnsi="Arial"/>
          <w:color w:val="000000" w:themeColor="text1"/>
          <w:sz w:val="24"/>
          <w:szCs w:val="24"/>
          <w:lang w:val="en-ZA" w:eastAsia="en-ZA"/>
        </w:rPr>
        <w:t xml:space="preserve"> of the Supreme Court Rules.  She submitted</w:t>
      </w:r>
      <w:r w:rsidRPr="00481243">
        <w:rPr>
          <w:rFonts w:ascii="Arial" w:hAnsi="Arial"/>
          <w:color w:val="000000" w:themeColor="text1"/>
          <w:sz w:val="24"/>
          <w:szCs w:val="24"/>
          <w:lang w:val="en-ZA" w:eastAsia="en-ZA"/>
        </w:rPr>
        <w:t xml:space="preserve"> that as early as 13 February 2019, the day they filed the </w:t>
      </w:r>
      <w:r w:rsidR="000B1ACE" w:rsidRPr="00481243">
        <w:rPr>
          <w:rFonts w:ascii="Arial" w:hAnsi="Arial"/>
          <w:color w:val="000000" w:themeColor="text1"/>
          <w:sz w:val="24"/>
          <w:szCs w:val="24"/>
          <w:lang w:val="en-ZA" w:eastAsia="en-ZA"/>
        </w:rPr>
        <w:t>application for leave to appeal</w:t>
      </w:r>
      <w:r w:rsidRPr="00481243">
        <w:rPr>
          <w:rFonts w:ascii="Arial" w:hAnsi="Arial"/>
          <w:color w:val="000000" w:themeColor="text1"/>
          <w:sz w:val="24"/>
          <w:szCs w:val="24"/>
          <w:lang w:val="en-ZA" w:eastAsia="en-ZA"/>
        </w:rPr>
        <w:t xml:space="preserve"> as the instructed legal practitioners acting for the </w:t>
      </w:r>
      <w:r w:rsidR="00612E72" w:rsidRPr="00481243">
        <w:rPr>
          <w:rFonts w:ascii="Arial" w:hAnsi="Arial"/>
          <w:color w:val="000000" w:themeColor="text1"/>
          <w:sz w:val="24"/>
          <w:szCs w:val="24"/>
          <w:lang w:val="en-ZA" w:eastAsia="en-ZA"/>
        </w:rPr>
        <w:t>appellant</w:t>
      </w:r>
      <w:r w:rsidRPr="00481243">
        <w:rPr>
          <w:rFonts w:ascii="Arial" w:hAnsi="Arial"/>
          <w:color w:val="000000" w:themeColor="text1"/>
          <w:sz w:val="24"/>
          <w:szCs w:val="24"/>
          <w:lang w:val="en-ZA" w:eastAsia="en-ZA"/>
        </w:rPr>
        <w:t>, they proceeded to prepare the heads of argument as well as the bundle of authorities. During the process, a colleague inquired as to whether the bundle of authorities were to be filed simultaneously with the heads of argument. Her response was that it is practice t</w:t>
      </w:r>
      <w:r w:rsidR="007C77A1" w:rsidRPr="00481243">
        <w:rPr>
          <w:rFonts w:ascii="Arial" w:hAnsi="Arial"/>
          <w:color w:val="000000" w:themeColor="text1"/>
          <w:sz w:val="24"/>
          <w:szCs w:val="24"/>
          <w:lang w:val="en-ZA" w:eastAsia="en-ZA"/>
        </w:rPr>
        <w:t>hat the bundle of authorities are</w:t>
      </w:r>
      <w:r w:rsidRPr="00481243">
        <w:rPr>
          <w:rFonts w:ascii="Arial" w:hAnsi="Arial"/>
          <w:color w:val="000000" w:themeColor="text1"/>
          <w:sz w:val="24"/>
          <w:szCs w:val="24"/>
          <w:lang w:val="en-ZA" w:eastAsia="en-ZA"/>
        </w:rPr>
        <w:t xml:space="preserve"> to be handed up to the court on the day of the hearing.</w:t>
      </w:r>
    </w:p>
    <w:p w:rsidR="00702D7A" w:rsidRPr="00481243" w:rsidRDefault="00702D7A" w:rsidP="00702D7A">
      <w:pPr>
        <w:spacing w:after="0" w:line="480" w:lineRule="auto"/>
        <w:jc w:val="both"/>
        <w:rPr>
          <w:rFonts w:ascii="Arial" w:hAnsi="Arial"/>
          <w:color w:val="000000" w:themeColor="text1"/>
          <w:sz w:val="24"/>
          <w:szCs w:val="24"/>
          <w:lang w:val="en-ZA" w:eastAsia="en-ZA"/>
        </w:rPr>
      </w:pPr>
    </w:p>
    <w:p w:rsidR="00702D7A" w:rsidRPr="00481243" w:rsidRDefault="00702D7A" w:rsidP="007C77A1">
      <w:pPr>
        <w:pStyle w:val="ListParagraph"/>
        <w:numPr>
          <w:ilvl w:val="0"/>
          <w:numId w:val="46"/>
        </w:numPr>
        <w:spacing w:after="0" w:line="480" w:lineRule="auto"/>
        <w:ind w:left="0" w:firstLine="0"/>
        <w:jc w:val="both"/>
        <w:rPr>
          <w:rFonts w:ascii="Arial" w:hAnsi="Arial"/>
          <w:color w:val="000000" w:themeColor="text1"/>
          <w:sz w:val="24"/>
          <w:szCs w:val="24"/>
          <w:lang w:val="en-ZA" w:eastAsia="en-ZA"/>
        </w:rPr>
      </w:pPr>
      <w:r w:rsidRPr="00481243">
        <w:rPr>
          <w:rFonts w:ascii="Arial" w:hAnsi="Arial"/>
          <w:color w:val="000000" w:themeColor="text1"/>
          <w:sz w:val="24"/>
          <w:szCs w:val="24"/>
          <w:lang w:val="en-ZA" w:eastAsia="en-ZA"/>
        </w:rPr>
        <w:lastRenderedPageBreak/>
        <w:t>Almost a month later, on 11 March 2019, as copies of the bundle of authorities were being produced in preparation for the court hearing, Ms  Boonzaier realized that the bundle of authorities should instead have been lodged simultaneously with their heads of argument. She had confused the Supreme Court’s previous procedure with the new rule 21(1) procedure, which provides that the legal representative shall file the bundle of authorities at the same time as their heads of argument. </w:t>
      </w:r>
    </w:p>
    <w:p w:rsidR="00702D7A" w:rsidRPr="00481243" w:rsidRDefault="00702D7A" w:rsidP="00702D7A">
      <w:pPr>
        <w:spacing w:after="0" w:line="480" w:lineRule="auto"/>
        <w:jc w:val="both"/>
        <w:rPr>
          <w:rFonts w:ascii="Arial" w:hAnsi="Arial"/>
          <w:color w:val="000000" w:themeColor="text1"/>
          <w:sz w:val="24"/>
          <w:szCs w:val="24"/>
          <w:lang w:val="en-ZA" w:eastAsia="en-ZA"/>
        </w:rPr>
      </w:pPr>
    </w:p>
    <w:p w:rsidR="007C77A1" w:rsidRPr="00481243" w:rsidRDefault="00702D7A" w:rsidP="00702D7A">
      <w:pPr>
        <w:pStyle w:val="ListParagraph"/>
        <w:numPr>
          <w:ilvl w:val="0"/>
          <w:numId w:val="46"/>
        </w:numPr>
        <w:spacing w:after="0" w:line="480" w:lineRule="auto"/>
        <w:ind w:left="0" w:firstLine="0"/>
        <w:jc w:val="both"/>
        <w:rPr>
          <w:rFonts w:ascii="Arial" w:hAnsi="Arial"/>
          <w:color w:val="000000" w:themeColor="text1"/>
          <w:sz w:val="24"/>
          <w:szCs w:val="24"/>
          <w:lang w:val="en-ZA" w:eastAsia="en-ZA"/>
        </w:rPr>
      </w:pPr>
      <w:r w:rsidRPr="00481243">
        <w:rPr>
          <w:rFonts w:ascii="Arial" w:hAnsi="Arial"/>
          <w:color w:val="000000" w:themeColor="text1"/>
          <w:sz w:val="24"/>
          <w:szCs w:val="24"/>
          <w:lang w:val="en-ZA" w:eastAsia="en-ZA"/>
        </w:rPr>
        <w:t xml:space="preserve">Having realized her error </w:t>
      </w:r>
      <w:r w:rsidRPr="00481243">
        <w:rPr>
          <w:rFonts w:ascii="Arial" w:hAnsi="Arial"/>
          <w:color w:val="000000" w:themeColor="text1"/>
          <w:sz w:val="24"/>
          <w:szCs w:val="24"/>
          <w:lang w:val="en-ZA"/>
        </w:rPr>
        <w:t xml:space="preserve">and </w:t>
      </w:r>
      <w:r w:rsidRPr="00481243">
        <w:rPr>
          <w:rFonts w:ascii="Arial" w:hAnsi="Arial"/>
          <w:color w:val="000000" w:themeColor="text1"/>
          <w:sz w:val="24"/>
          <w:szCs w:val="24"/>
          <w:lang w:val="en-ZA" w:eastAsia="en-ZA"/>
        </w:rPr>
        <w:t>on that same day, she immediately prepared the condonation application for the late filing of the bundle of authorities</w:t>
      </w:r>
      <w:r w:rsidRPr="00481243">
        <w:rPr>
          <w:rFonts w:ascii="Arial" w:hAnsi="Arial"/>
          <w:color w:val="000000" w:themeColor="text1"/>
          <w:sz w:val="24"/>
          <w:szCs w:val="24"/>
          <w:lang w:val="en-ZA"/>
        </w:rPr>
        <w:t xml:space="preserve">. On </w:t>
      </w:r>
      <w:r w:rsidRPr="00481243">
        <w:rPr>
          <w:rFonts w:ascii="Arial" w:hAnsi="Arial"/>
          <w:color w:val="000000" w:themeColor="text1"/>
          <w:sz w:val="24"/>
          <w:szCs w:val="24"/>
          <w:lang w:val="en-ZA" w:eastAsia="en-ZA"/>
        </w:rPr>
        <w:t xml:space="preserve">12 March 2019, only three days before the date of the appeal hearing in this court, </w:t>
      </w:r>
      <w:r w:rsidRPr="00481243">
        <w:rPr>
          <w:rFonts w:ascii="Arial" w:hAnsi="Arial"/>
          <w:color w:val="000000" w:themeColor="text1"/>
          <w:sz w:val="24"/>
          <w:szCs w:val="24"/>
          <w:lang w:val="en-ZA"/>
        </w:rPr>
        <w:t>the appellant filed her condonation application.</w:t>
      </w:r>
    </w:p>
    <w:p w:rsidR="007C77A1" w:rsidRPr="00481243" w:rsidRDefault="007C77A1" w:rsidP="007C77A1">
      <w:pPr>
        <w:pStyle w:val="ListParagraph"/>
        <w:rPr>
          <w:rFonts w:ascii="Arial" w:hAnsi="Arial"/>
          <w:color w:val="000000" w:themeColor="text1"/>
          <w:sz w:val="24"/>
          <w:szCs w:val="24"/>
          <w:lang w:val="en-ZA"/>
        </w:rPr>
      </w:pPr>
    </w:p>
    <w:p w:rsidR="00702D7A" w:rsidRPr="00481243" w:rsidRDefault="00702D7A" w:rsidP="00702D7A">
      <w:pPr>
        <w:pStyle w:val="ListParagraph"/>
        <w:numPr>
          <w:ilvl w:val="0"/>
          <w:numId w:val="46"/>
        </w:numPr>
        <w:spacing w:after="0" w:line="480" w:lineRule="auto"/>
        <w:ind w:left="0" w:firstLine="0"/>
        <w:jc w:val="both"/>
        <w:rPr>
          <w:rFonts w:ascii="Arial" w:hAnsi="Arial"/>
          <w:color w:val="000000" w:themeColor="text1"/>
          <w:sz w:val="24"/>
          <w:szCs w:val="24"/>
          <w:lang w:val="en-ZA" w:eastAsia="en-ZA"/>
        </w:rPr>
      </w:pPr>
      <w:r w:rsidRPr="00481243">
        <w:rPr>
          <w:rFonts w:ascii="Arial" w:hAnsi="Arial"/>
          <w:color w:val="000000" w:themeColor="text1"/>
          <w:sz w:val="24"/>
          <w:szCs w:val="24"/>
          <w:lang w:val="en-ZA"/>
        </w:rPr>
        <w:t>Submittin</w:t>
      </w:r>
      <w:r w:rsidR="00783B4B" w:rsidRPr="00481243">
        <w:rPr>
          <w:rFonts w:ascii="Arial" w:hAnsi="Arial"/>
          <w:color w:val="000000" w:themeColor="text1"/>
          <w:sz w:val="24"/>
          <w:szCs w:val="24"/>
          <w:lang w:val="en-ZA"/>
        </w:rPr>
        <w:t xml:space="preserve">g that as soon as she </w:t>
      </w:r>
      <w:r w:rsidR="003B62CE" w:rsidRPr="00481243">
        <w:rPr>
          <w:rFonts w:ascii="Arial" w:hAnsi="Arial"/>
          <w:color w:val="000000" w:themeColor="text1"/>
          <w:sz w:val="24"/>
          <w:szCs w:val="24"/>
          <w:lang w:val="en-ZA"/>
        </w:rPr>
        <w:t>realiz</w:t>
      </w:r>
      <w:r w:rsidRPr="00481243">
        <w:rPr>
          <w:rFonts w:ascii="Arial" w:hAnsi="Arial"/>
          <w:color w:val="000000" w:themeColor="text1"/>
          <w:sz w:val="24"/>
          <w:szCs w:val="24"/>
          <w:lang w:val="en-ZA"/>
        </w:rPr>
        <w:t xml:space="preserve">ed her error, she took immediate steps to </w:t>
      </w:r>
      <w:r w:rsidR="008B4716" w:rsidRPr="00481243">
        <w:rPr>
          <w:rFonts w:ascii="Arial" w:hAnsi="Arial"/>
          <w:color w:val="000000" w:themeColor="text1"/>
          <w:sz w:val="24"/>
          <w:szCs w:val="24"/>
          <w:lang w:val="en-ZA"/>
        </w:rPr>
        <w:t>address it. T</w:t>
      </w:r>
      <w:r w:rsidRPr="00481243">
        <w:rPr>
          <w:rFonts w:ascii="Arial" w:hAnsi="Arial"/>
          <w:color w:val="000000" w:themeColor="text1"/>
          <w:sz w:val="24"/>
          <w:szCs w:val="24"/>
          <w:lang w:val="en-ZA"/>
        </w:rPr>
        <w:t>he appellant contended that</w:t>
      </w:r>
      <w:r w:rsidRPr="00481243">
        <w:rPr>
          <w:rFonts w:ascii="Arial" w:hAnsi="Arial"/>
          <w:color w:val="000000" w:themeColor="text1"/>
          <w:sz w:val="24"/>
          <w:szCs w:val="24"/>
          <w:lang w:val="en-ZA" w:eastAsia="en-ZA"/>
        </w:rPr>
        <w:t xml:space="preserve"> there was no intentional and/or flagrant disregard of the prescribed time periods or the rules of this court on her part, nor was there any intention to act to the detriment of the respondents. Her mistake</w:t>
      </w:r>
      <w:r w:rsidR="00E619AE" w:rsidRPr="00481243">
        <w:rPr>
          <w:rFonts w:ascii="Arial" w:hAnsi="Arial"/>
          <w:color w:val="000000" w:themeColor="text1"/>
          <w:sz w:val="24"/>
          <w:szCs w:val="24"/>
          <w:lang w:val="en-ZA"/>
        </w:rPr>
        <w:t>, the appellant contended</w:t>
      </w:r>
      <w:r w:rsidRPr="00481243">
        <w:rPr>
          <w:rFonts w:ascii="Arial" w:hAnsi="Arial"/>
          <w:color w:val="000000" w:themeColor="text1"/>
          <w:sz w:val="24"/>
          <w:szCs w:val="24"/>
          <w:lang w:val="en-ZA"/>
        </w:rPr>
        <w:t xml:space="preserve">, </w:t>
      </w:r>
      <w:r w:rsidRPr="00481243">
        <w:rPr>
          <w:rFonts w:ascii="Arial" w:hAnsi="Arial"/>
          <w:color w:val="000000" w:themeColor="text1"/>
          <w:sz w:val="24"/>
          <w:szCs w:val="24"/>
          <w:lang w:val="en-ZA" w:eastAsia="en-ZA"/>
        </w:rPr>
        <w:t>was an honest one made in good faith</w:t>
      </w:r>
      <w:r w:rsidRPr="00481243">
        <w:rPr>
          <w:rFonts w:ascii="Arial" w:hAnsi="Arial"/>
          <w:color w:val="000000" w:themeColor="text1"/>
          <w:sz w:val="24"/>
          <w:szCs w:val="24"/>
          <w:lang w:val="en-ZA"/>
        </w:rPr>
        <w:t>.</w:t>
      </w:r>
    </w:p>
    <w:p w:rsidR="00702D7A" w:rsidRPr="00481243" w:rsidRDefault="00702D7A" w:rsidP="00702D7A">
      <w:pPr>
        <w:pStyle w:val="ListParagraph"/>
        <w:spacing w:after="0" w:line="480" w:lineRule="auto"/>
        <w:ind w:left="0"/>
        <w:jc w:val="both"/>
        <w:rPr>
          <w:rFonts w:ascii="Arial" w:hAnsi="Arial"/>
          <w:color w:val="000000" w:themeColor="text1"/>
          <w:sz w:val="24"/>
          <w:szCs w:val="24"/>
          <w:lang w:val="en-ZA" w:eastAsia="en-ZA"/>
        </w:rPr>
      </w:pPr>
    </w:p>
    <w:p w:rsidR="00702D7A" w:rsidRPr="00481243" w:rsidRDefault="00702D7A" w:rsidP="007C77A1">
      <w:pPr>
        <w:pStyle w:val="ListParagraph"/>
        <w:numPr>
          <w:ilvl w:val="0"/>
          <w:numId w:val="46"/>
        </w:numPr>
        <w:spacing w:after="0" w:line="480" w:lineRule="auto"/>
        <w:ind w:left="0" w:firstLine="0"/>
        <w:jc w:val="both"/>
        <w:rPr>
          <w:rFonts w:ascii="Arial" w:hAnsi="Arial"/>
          <w:color w:val="000000" w:themeColor="text1"/>
          <w:sz w:val="24"/>
          <w:szCs w:val="24"/>
          <w:lang w:val="en-ZA" w:eastAsia="en-ZA"/>
        </w:rPr>
      </w:pPr>
      <w:r w:rsidRPr="00481243">
        <w:rPr>
          <w:rFonts w:ascii="Arial" w:hAnsi="Arial"/>
          <w:color w:val="000000" w:themeColor="text1"/>
          <w:sz w:val="24"/>
          <w:szCs w:val="24"/>
          <w:lang w:val="en-ZA" w:eastAsia="en-ZA"/>
        </w:rPr>
        <w:t xml:space="preserve">For that reason, </w:t>
      </w:r>
      <w:r w:rsidRPr="00481243">
        <w:rPr>
          <w:rFonts w:ascii="Arial" w:hAnsi="Arial"/>
          <w:color w:val="000000" w:themeColor="text1"/>
          <w:sz w:val="24"/>
          <w:szCs w:val="24"/>
          <w:lang w:val="en-ZA"/>
        </w:rPr>
        <w:t>went the contention,</w:t>
      </w:r>
      <w:r w:rsidRPr="00481243">
        <w:rPr>
          <w:rFonts w:ascii="Arial" w:hAnsi="Arial"/>
          <w:color w:val="000000" w:themeColor="text1"/>
          <w:sz w:val="24"/>
          <w:szCs w:val="24"/>
          <w:lang w:val="en-ZA" w:eastAsia="en-ZA"/>
        </w:rPr>
        <w:t xml:space="preserve"> the application for condonation itself was </w:t>
      </w:r>
      <w:r w:rsidRPr="00481243">
        <w:rPr>
          <w:rFonts w:ascii="Arial" w:hAnsi="Arial"/>
          <w:i/>
          <w:iCs/>
          <w:color w:val="000000" w:themeColor="text1"/>
          <w:sz w:val="24"/>
          <w:szCs w:val="24"/>
          <w:lang w:val="en-ZA" w:eastAsia="en-ZA"/>
        </w:rPr>
        <w:t>bona fide</w:t>
      </w:r>
      <w:r w:rsidRPr="00481243">
        <w:rPr>
          <w:rFonts w:ascii="Arial" w:hAnsi="Arial"/>
          <w:i/>
          <w:iCs/>
          <w:color w:val="000000" w:themeColor="text1"/>
          <w:sz w:val="24"/>
          <w:szCs w:val="24"/>
          <w:lang w:val="en-ZA"/>
        </w:rPr>
        <w:t>s</w:t>
      </w:r>
      <w:r w:rsidRPr="00481243">
        <w:rPr>
          <w:rFonts w:ascii="Arial" w:hAnsi="Arial"/>
          <w:i/>
          <w:iCs/>
          <w:color w:val="000000" w:themeColor="text1"/>
          <w:sz w:val="24"/>
          <w:szCs w:val="24"/>
          <w:lang w:val="en-ZA" w:eastAsia="en-ZA"/>
        </w:rPr>
        <w:t> </w:t>
      </w:r>
      <w:r w:rsidRPr="00481243">
        <w:rPr>
          <w:rFonts w:ascii="Arial" w:hAnsi="Arial"/>
          <w:color w:val="000000" w:themeColor="text1"/>
          <w:sz w:val="24"/>
          <w:szCs w:val="24"/>
          <w:lang w:val="en-ZA" w:eastAsia="en-ZA"/>
        </w:rPr>
        <w:t>as can be seen from her efforts</w:t>
      </w:r>
      <w:r w:rsidRPr="00481243">
        <w:rPr>
          <w:rFonts w:ascii="Arial" w:hAnsi="Arial"/>
          <w:color w:val="000000" w:themeColor="text1"/>
          <w:sz w:val="24"/>
          <w:szCs w:val="24"/>
          <w:lang w:val="en-ZA"/>
        </w:rPr>
        <w:t xml:space="preserve">, </w:t>
      </w:r>
      <w:r w:rsidRPr="00481243">
        <w:rPr>
          <w:rFonts w:ascii="Arial" w:hAnsi="Arial"/>
          <w:color w:val="000000" w:themeColor="text1"/>
          <w:sz w:val="24"/>
          <w:szCs w:val="24"/>
          <w:lang w:val="en-ZA" w:eastAsia="en-ZA"/>
        </w:rPr>
        <w:t>including in the bundle a variety of authorities</w:t>
      </w:r>
      <w:r w:rsidRPr="00481243">
        <w:rPr>
          <w:rFonts w:ascii="Arial" w:hAnsi="Arial"/>
          <w:color w:val="000000" w:themeColor="text1"/>
          <w:sz w:val="24"/>
          <w:szCs w:val="24"/>
          <w:lang w:val="en-ZA"/>
        </w:rPr>
        <w:t xml:space="preserve"> that would inform the court’s decision-making. </w:t>
      </w:r>
      <w:r w:rsidRPr="00481243">
        <w:rPr>
          <w:rFonts w:ascii="Arial" w:hAnsi="Arial"/>
          <w:color w:val="000000" w:themeColor="text1"/>
          <w:sz w:val="24"/>
          <w:szCs w:val="24"/>
          <w:lang w:val="en-ZA" w:eastAsia="en-ZA"/>
        </w:rPr>
        <w:t>Furthermo</w:t>
      </w:r>
      <w:r w:rsidRPr="00481243">
        <w:rPr>
          <w:rFonts w:ascii="Arial" w:hAnsi="Arial"/>
          <w:color w:val="000000" w:themeColor="text1"/>
          <w:sz w:val="24"/>
          <w:szCs w:val="24"/>
          <w:lang w:val="en-ZA"/>
        </w:rPr>
        <w:t>re,</w:t>
      </w:r>
      <w:r w:rsidRPr="00481243">
        <w:rPr>
          <w:rFonts w:ascii="Arial" w:hAnsi="Arial"/>
          <w:color w:val="000000" w:themeColor="text1"/>
          <w:sz w:val="24"/>
          <w:szCs w:val="24"/>
          <w:lang w:val="en-ZA" w:eastAsia="en-ZA"/>
        </w:rPr>
        <w:t xml:space="preserve"> as the</w:t>
      </w:r>
      <w:r w:rsidRPr="00481243">
        <w:rPr>
          <w:rFonts w:ascii="Arial" w:hAnsi="Arial"/>
          <w:color w:val="000000" w:themeColor="text1"/>
          <w:sz w:val="24"/>
          <w:szCs w:val="24"/>
          <w:lang w:val="en-ZA"/>
        </w:rPr>
        <w:t xml:space="preserve"> issues regarding the rule 65(1) question </w:t>
      </w:r>
      <w:r w:rsidRPr="00481243">
        <w:rPr>
          <w:rFonts w:ascii="Arial" w:hAnsi="Arial"/>
          <w:color w:val="000000" w:themeColor="text1"/>
          <w:sz w:val="24"/>
          <w:szCs w:val="24"/>
          <w:lang w:val="en-ZA" w:eastAsia="en-ZA"/>
        </w:rPr>
        <w:t>on appea</w:t>
      </w:r>
      <w:r w:rsidRPr="00481243">
        <w:rPr>
          <w:rFonts w:ascii="Arial" w:hAnsi="Arial"/>
          <w:color w:val="000000" w:themeColor="text1"/>
          <w:sz w:val="24"/>
          <w:szCs w:val="24"/>
          <w:lang w:val="en-ZA"/>
        </w:rPr>
        <w:t xml:space="preserve">l before this court </w:t>
      </w:r>
      <w:r w:rsidRPr="00481243">
        <w:rPr>
          <w:rFonts w:ascii="Arial" w:hAnsi="Arial"/>
          <w:color w:val="000000" w:themeColor="text1"/>
          <w:sz w:val="24"/>
          <w:szCs w:val="24"/>
          <w:lang w:val="en-ZA" w:eastAsia="en-ZA"/>
        </w:rPr>
        <w:t>are a novelty, they would be precedent-setting, bringing about legal certainty in the field</w:t>
      </w:r>
      <w:r w:rsidRPr="00481243">
        <w:rPr>
          <w:rFonts w:ascii="Arial" w:hAnsi="Arial"/>
          <w:color w:val="000000" w:themeColor="text1"/>
          <w:sz w:val="24"/>
          <w:szCs w:val="24"/>
          <w:lang w:val="en-ZA"/>
        </w:rPr>
        <w:t xml:space="preserve">. The </w:t>
      </w:r>
      <w:r w:rsidRPr="00481243">
        <w:rPr>
          <w:rFonts w:ascii="Arial" w:hAnsi="Arial"/>
          <w:color w:val="000000" w:themeColor="text1"/>
          <w:sz w:val="24"/>
          <w:szCs w:val="24"/>
          <w:lang w:val="en-ZA"/>
        </w:rPr>
        <w:lastRenderedPageBreak/>
        <w:t xml:space="preserve">appeal, submitted the appellant, should </w:t>
      </w:r>
      <w:r w:rsidRPr="00481243">
        <w:rPr>
          <w:rFonts w:ascii="Arial" w:hAnsi="Arial"/>
          <w:color w:val="000000" w:themeColor="text1"/>
          <w:sz w:val="24"/>
          <w:szCs w:val="24"/>
          <w:lang w:val="en-ZA" w:eastAsia="en-ZA"/>
        </w:rPr>
        <w:t>therefore be heard and resolved by this court</w:t>
      </w:r>
      <w:r w:rsidRPr="00481243">
        <w:rPr>
          <w:rFonts w:ascii="Arial" w:hAnsi="Arial"/>
          <w:color w:val="000000" w:themeColor="text1"/>
          <w:sz w:val="24"/>
          <w:szCs w:val="24"/>
          <w:lang w:val="en-ZA"/>
        </w:rPr>
        <w:t xml:space="preserve"> </w:t>
      </w:r>
      <w:r w:rsidRPr="00481243">
        <w:rPr>
          <w:rFonts w:ascii="Arial" w:hAnsi="Arial"/>
          <w:color w:val="000000" w:themeColor="text1"/>
          <w:sz w:val="24"/>
          <w:szCs w:val="24"/>
          <w:lang w:val="en-ZA" w:eastAsia="en-ZA"/>
        </w:rPr>
        <w:t>as the apex court in the land. </w:t>
      </w:r>
    </w:p>
    <w:p w:rsidR="00702D7A" w:rsidRPr="00481243" w:rsidRDefault="00702D7A" w:rsidP="00702D7A">
      <w:pPr>
        <w:pStyle w:val="ListParagraph"/>
        <w:spacing w:after="0" w:line="480" w:lineRule="auto"/>
        <w:ind w:left="0"/>
        <w:jc w:val="both"/>
        <w:rPr>
          <w:rFonts w:ascii="Arial" w:hAnsi="Arial"/>
          <w:color w:val="000000" w:themeColor="text1"/>
          <w:sz w:val="24"/>
          <w:szCs w:val="24"/>
          <w:lang w:val="en-ZA" w:eastAsia="en-ZA"/>
        </w:rPr>
      </w:pPr>
    </w:p>
    <w:p w:rsidR="00702D7A" w:rsidRPr="00481243" w:rsidRDefault="00702D7A" w:rsidP="007C77A1">
      <w:pPr>
        <w:pStyle w:val="ListParagraph"/>
        <w:numPr>
          <w:ilvl w:val="0"/>
          <w:numId w:val="46"/>
        </w:numPr>
        <w:spacing w:after="0" w:line="480" w:lineRule="auto"/>
        <w:ind w:left="0" w:firstLine="0"/>
        <w:jc w:val="both"/>
        <w:rPr>
          <w:rFonts w:ascii="Arial" w:hAnsi="Arial"/>
          <w:color w:val="000000" w:themeColor="text1"/>
          <w:sz w:val="24"/>
          <w:szCs w:val="24"/>
          <w:lang w:val="en-ZA" w:eastAsia="en-ZA"/>
        </w:rPr>
      </w:pPr>
      <w:r w:rsidRPr="00481243">
        <w:rPr>
          <w:rFonts w:ascii="Arial" w:hAnsi="Arial"/>
          <w:color w:val="000000" w:themeColor="text1"/>
          <w:sz w:val="24"/>
          <w:szCs w:val="24"/>
          <w:lang w:val="en-ZA"/>
        </w:rPr>
        <w:t>T</w:t>
      </w:r>
      <w:r w:rsidRPr="00481243">
        <w:rPr>
          <w:rFonts w:ascii="Arial" w:hAnsi="Arial"/>
          <w:color w:val="000000" w:themeColor="text1"/>
          <w:sz w:val="24"/>
          <w:szCs w:val="24"/>
          <w:lang w:val="en-ZA" w:eastAsia="en-ZA"/>
        </w:rPr>
        <w:t>he respondents ar</w:t>
      </w:r>
      <w:r w:rsidRPr="00481243">
        <w:rPr>
          <w:rFonts w:ascii="Arial" w:hAnsi="Arial"/>
          <w:color w:val="000000" w:themeColor="text1"/>
          <w:sz w:val="24"/>
          <w:szCs w:val="24"/>
          <w:lang w:val="en-ZA"/>
        </w:rPr>
        <w:t xml:space="preserve">e </w:t>
      </w:r>
      <w:r w:rsidRPr="00481243">
        <w:rPr>
          <w:rFonts w:ascii="Arial" w:hAnsi="Arial"/>
          <w:color w:val="000000" w:themeColor="text1"/>
          <w:sz w:val="24"/>
          <w:szCs w:val="24"/>
          <w:lang w:val="en-ZA" w:eastAsia="en-ZA"/>
        </w:rPr>
        <w:t>not opposed to the condonation application</w:t>
      </w:r>
      <w:r w:rsidRPr="00481243">
        <w:rPr>
          <w:rFonts w:ascii="Arial" w:hAnsi="Arial"/>
          <w:color w:val="000000" w:themeColor="text1"/>
          <w:sz w:val="24"/>
          <w:szCs w:val="24"/>
          <w:lang w:val="en-ZA"/>
        </w:rPr>
        <w:t>. E</w:t>
      </w:r>
      <w:r w:rsidRPr="00481243">
        <w:rPr>
          <w:rFonts w:ascii="Arial" w:hAnsi="Arial"/>
          <w:color w:val="000000" w:themeColor="text1"/>
          <w:sz w:val="24"/>
          <w:szCs w:val="24"/>
          <w:lang w:val="en-ZA" w:eastAsia="en-ZA"/>
        </w:rPr>
        <w:t>ven if they did, the argument goes, the non-compliance for which there is a reasonable explanation, can be cured by an appropriate cost order. </w:t>
      </w:r>
    </w:p>
    <w:p w:rsidR="00702D7A" w:rsidRPr="00481243" w:rsidRDefault="00702D7A" w:rsidP="00702D7A">
      <w:pPr>
        <w:spacing w:after="0" w:line="480" w:lineRule="auto"/>
        <w:jc w:val="both"/>
        <w:rPr>
          <w:rFonts w:ascii="Arial" w:hAnsi="Arial"/>
          <w:color w:val="000000" w:themeColor="text1"/>
          <w:sz w:val="24"/>
          <w:szCs w:val="24"/>
          <w:lang w:val="en-ZA" w:eastAsia="en-ZA"/>
        </w:rPr>
      </w:pPr>
    </w:p>
    <w:p w:rsidR="00702D7A" w:rsidRPr="00481243" w:rsidRDefault="00702D7A" w:rsidP="007C77A1">
      <w:pPr>
        <w:pStyle w:val="ListParagraph"/>
        <w:numPr>
          <w:ilvl w:val="0"/>
          <w:numId w:val="46"/>
        </w:numPr>
        <w:spacing w:after="0" w:line="480" w:lineRule="auto"/>
        <w:ind w:left="0" w:firstLine="0"/>
        <w:jc w:val="both"/>
        <w:rPr>
          <w:rFonts w:ascii="Arial" w:hAnsi="Arial"/>
          <w:color w:val="000000" w:themeColor="text1"/>
          <w:sz w:val="24"/>
          <w:szCs w:val="24"/>
          <w:lang w:val="en-ZA" w:eastAsia="en-ZA"/>
        </w:rPr>
      </w:pPr>
      <w:r w:rsidRPr="00481243">
        <w:rPr>
          <w:rFonts w:ascii="Arial" w:hAnsi="Arial"/>
          <w:color w:val="000000" w:themeColor="text1"/>
          <w:sz w:val="24"/>
          <w:szCs w:val="24"/>
          <w:lang w:val="en-ZA" w:eastAsia="en-ZA"/>
        </w:rPr>
        <w:t xml:space="preserve">Finally, before apologizing to this court for the inconvenience </w:t>
      </w:r>
      <w:r w:rsidRPr="00481243">
        <w:rPr>
          <w:rFonts w:ascii="Arial" w:hAnsi="Arial"/>
          <w:color w:val="000000" w:themeColor="text1"/>
          <w:sz w:val="24"/>
          <w:szCs w:val="24"/>
          <w:lang w:val="en-ZA"/>
        </w:rPr>
        <w:t>that might have resulted from</w:t>
      </w:r>
      <w:r w:rsidRPr="00481243">
        <w:rPr>
          <w:rFonts w:ascii="Arial" w:hAnsi="Arial"/>
          <w:color w:val="000000" w:themeColor="text1"/>
          <w:sz w:val="24"/>
          <w:szCs w:val="24"/>
          <w:lang w:val="en-ZA" w:eastAsia="en-ZA"/>
        </w:rPr>
        <w:t xml:space="preserve"> non-compliance with rule 21(1), the </w:t>
      </w:r>
      <w:r w:rsidR="00701AFE" w:rsidRPr="00481243">
        <w:rPr>
          <w:rFonts w:ascii="Arial" w:hAnsi="Arial"/>
          <w:color w:val="000000" w:themeColor="text1"/>
          <w:sz w:val="24"/>
          <w:szCs w:val="24"/>
          <w:lang w:val="en-ZA"/>
        </w:rPr>
        <w:t>appellant contended</w:t>
      </w:r>
      <w:r w:rsidRPr="00481243">
        <w:rPr>
          <w:rFonts w:ascii="Arial" w:hAnsi="Arial"/>
          <w:color w:val="000000" w:themeColor="text1"/>
          <w:sz w:val="24"/>
          <w:szCs w:val="24"/>
          <w:lang w:val="en-ZA"/>
        </w:rPr>
        <w:t xml:space="preserve"> that </w:t>
      </w:r>
      <w:r w:rsidRPr="00481243">
        <w:rPr>
          <w:rFonts w:ascii="Arial" w:hAnsi="Arial"/>
          <w:color w:val="000000" w:themeColor="text1"/>
          <w:sz w:val="24"/>
          <w:szCs w:val="24"/>
          <w:lang w:val="en-ZA" w:eastAsia="en-ZA"/>
        </w:rPr>
        <w:t>there are good prospects that th</w:t>
      </w:r>
      <w:r w:rsidRPr="00481243">
        <w:rPr>
          <w:rFonts w:ascii="Arial" w:hAnsi="Arial"/>
          <w:color w:val="000000" w:themeColor="text1"/>
          <w:sz w:val="24"/>
          <w:szCs w:val="24"/>
          <w:lang w:val="en-ZA"/>
        </w:rPr>
        <w:t>e</w:t>
      </w:r>
      <w:r w:rsidRPr="00481243">
        <w:rPr>
          <w:rFonts w:ascii="Arial" w:hAnsi="Arial"/>
          <w:color w:val="000000" w:themeColor="text1"/>
          <w:sz w:val="24"/>
          <w:szCs w:val="24"/>
          <w:lang w:val="en-ZA" w:eastAsia="en-ZA"/>
        </w:rPr>
        <w:t xml:space="preserve"> appeal</w:t>
      </w:r>
      <w:r w:rsidRPr="00481243">
        <w:rPr>
          <w:rFonts w:ascii="Arial" w:hAnsi="Arial"/>
          <w:color w:val="000000" w:themeColor="text1"/>
          <w:sz w:val="24"/>
          <w:szCs w:val="24"/>
          <w:lang w:val="en-ZA"/>
        </w:rPr>
        <w:t xml:space="preserve"> against the decision of the High Court, declaring the application for a fo</w:t>
      </w:r>
      <w:r w:rsidR="007C77A1" w:rsidRPr="00481243">
        <w:rPr>
          <w:rFonts w:ascii="Arial" w:hAnsi="Arial"/>
          <w:color w:val="000000" w:themeColor="text1"/>
          <w:sz w:val="24"/>
          <w:szCs w:val="24"/>
          <w:lang w:val="en-ZA"/>
        </w:rPr>
        <w:t>r</w:t>
      </w:r>
      <w:r w:rsidRPr="00481243">
        <w:rPr>
          <w:rFonts w:ascii="Arial" w:hAnsi="Arial"/>
          <w:color w:val="000000" w:themeColor="text1"/>
          <w:sz w:val="24"/>
          <w:szCs w:val="24"/>
          <w:lang w:val="en-ZA"/>
        </w:rPr>
        <w:t>feiture</w:t>
      </w:r>
      <w:r w:rsidR="00DC06A8" w:rsidRPr="00481243">
        <w:rPr>
          <w:rFonts w:ascii="Arial" w:hAnsi="Arial"/>
          <w:color w:val="000000" w:themeColor="text1"/>
          <w:sz w:val="24"/>
          <w:szCs w:val="24"/>
          <w:lang w:val="en-ZA"/>
        </w:rPr>
        <w:t xml:space="preserve"> order</w:t>
      </w:r>
      <w:r w:rsidRPr="00481243">
        <w:rPr>
          <w:rFonts w:ascii="Arial" w:hAnsi="Arial"/>
          <w:color w:val="000000" w:themeColor="text1"/>
          <w:sz w:val="24"/>
          <w:szCs w:val="24"/>
          <w:lang w:val="en-ZA"/>
        </w:rPr>
        <w:t xml:space="preserve"> a nullity, </w:t>
      </w:r>
      <w:r w:rsidRPr="00481243">
        <w:rPr>
          <w:rFonts w:ascii="Arial" w:hAnsi="Arial"/>
          <w:color w:val="000000" w:themeColor="text1"/>
          <w:sz w:val="24"/>
          <w:szCs w:val="24"/>
          <w:lang w:val="en-ZA" w:eastAsia="en-ZA"/>
        </w:rPr>
        <w:t>would succeed</w:t>
      </w:r>
      <w:r w:rsidRPr="00481243">
        <w:rPr>
          <w:rFonts w:ascii="Arial" w:hAnsi="Arial"/>
          <w:color w:val="000000" w:themeColor="text1"/>
          <w:sz w:val="24"/>
          <w:szCs w:val="24"/>
          <w:lang w:val="en-ZA"/>
        </w:rPr>
        <w:t>. That, it is submitted,</w:t>
      </w:r>
      <w:r w:rsidRPr="00481243">
        <w:rPr>
          <w:rFonts w:ascii="Arial" w:hAnsi="Arial"/>
          <w:color w:val="000000" w:themeColor="text1"/>
          <w:sz w:val="24"/>
          <w:szCs w:val="24"/>
          <w:lang w:val="en-ZA" w:eastAsia="en-ZA"/>
        </w:rPr>
        <w:t xml:space="preserve"> is apparent from the</w:t>
      </w:r>
      <w:r w:rsidRPr="00481243">
        <w:rPr>
          <w:rFonts w:ascii="Arial" w:hAnsi="Arial"/>
          <w:color w:val="000000" w:themeColor="text1"/>
          <w:sz w:val="24"/>
          <w:szCs w:val="24"/>
          <w:lang w:val="en-ZA"/>
        </w:rPr>
        <w:t xml:space="preserve"> </w:t>
      </w:r>
      <w:r w:rsidRPr="00481243">
        <w:rPr>
          <w:rFonts w:ascii="Arial" w:hAnsi="Arial"/>
          <w:color w:val="000000" w:themeColor="text1"/>
          <w:sz w:val="24"/>
          <w:szCs w:val="24"/>
          <w:lang w:val="en-ZA" w:eastAsia="en-ZA"/>
        </w:rPr>
        <w:t>case made out in the heads of argument</w:t>
      </w:r>
      <w:r w:rsidRPr="00481243">
        <w:rPr>
          <w:rFonts w:ascii="Arial" w:hAnsi="Arial"/>
          <w:color w:val="000000" w:themeColor="text1"/>
          <w:sz w:val="24"/>
          <w:szCs w:val="24"/>
          <w:lang w:val="en-ZA"/>
        </w:rPr>
        <w:t>.</w:t>
      </w:r>
    </w:p>
    <w:p w:rsidR="00702D7A" w:rsidRPr="00481243" w:rsidRDefault="00702D7A" w:rsidP="00702D7A">
      <w:pPr>
        <w:pStyle w:val="ListParagraph"/>
        <w:spacing w:after="0" w:line="480" w:lineRule="auto"/>
        <w:ind w:left="0"/>
        <w:jc w:val="both"/>
        <w:rPr>
          <w:rFonts w:ascii="Arial" w:hAnsi="Arial"/>
          <w:color w:val="000000" w:themeColor="text1"/>
          <w:sz w:val="24"/>
          <w:szCs w:val="24"/>
          <w:lang w:val="en-ZA" w:eastAsia="en-ZA"/>
        </w:rPr>
      </w:pPr>
    </w:p>
    <w:p w:rsidR="00702D7A" w:rsidRPr="00481243" w:rsidRDefault="00702D7A" w:rsidP="007C77A1">
      <w:pPr>
        <w:pStyle w:val="ListParagraph"/>
        <w:numPr>
          <w:ilvl w:val="0"/>
          <w:numId w:val="46"/>
        </w:numPr>
        <w:spacing w:after="0" w:line="480" w:lineRule="auto"/>
        <w:ind w:left="0" w:firstLine="0"/>
        <w:jc w:val="both"/>
        <w:rPr>
          <w:rFonts w:ascii="Arial" w:hAnsi="Arial"/>
          <w:color w:val="000000" w:themeColor="text1"/>
          <w:sz w:val="24"/>
          <w:szCs w:val="24"/>
          <w:lang w:val="en-ZA" w:eastAsia="en-ZA"/>
        </w:rPr>
      </w:pPr>
      <w:r w:rsidRPr="00481243">
        <w:rPr>
          <w:rFonts w:ascii="Arial" w:hAnsi="Arial"/>
          <w:color w:val="000000" w:themeColor="text1"/>
          <w:sz w:val="24"/>
          <w:szCs w:val="24"/>
          <w:lang w:val="en-ZA" w:eastAsia="en-ZA"/>
        </w:rPr>
        <w:t xml:space="preserve">The respondents indeed do not oppose the application for </w:t>
      </w:r>
      <w:r w:rsidRPr="00481243">
        <w:rPr>
          <w:rFonts w:ascii="Arial" w:hAnsi="Arial"/>
          <w:color w:val="000000" w:themeColor="text1"/>
          <w:sz w:val="24"/>
          <w:szCs w:val="24"/>
          <w:lang w:val="en-ZA"/>
        </w:rPr>
        <w:t xml:space="preserve">condonation. </w:t>
      </w:r>
      <w:r w:rsidRPr="00481243">
        <w:rPr>
          <w:rFonts w:ascii="Arial" w:hAnsi="Arial"/>
          <w:color w:val="000000" w:themeColor="text1"/>
          <w:sz w:val="24"/>
          <w:szCs w:val="24"/>
          <w:lang w:val="en-ZA" w:eastAsia="en-ZA"/>
        </w:rPr>
        <w:t xml:space="preserve">The </w:t>
      </w:r>
      <w:r w:rsidRPr="00481243">
        <w:rPr>
          <w:rFonts w:ascii="Arial" w:hAnsi="Arial"/>
          <w:color w:val="000000" w:themeColor="text1"/>
          <w:sz w:val="24"/>
          <w:szCs w:val="24"/>
          <w:lang w:val="en-ZA"/>
        </w:rPr>
        <w:t>assumption</w:t>
      </w:r>
      <w:r w:rsidRPr="00481243">
        <w:rPr>
          <w:rFonts w:ascii="Arial" w:hAnsi="Arial"/>
          <w:color w:val="000000" w:themeColor="text1"/>
          <w:sz w:val="24"/>
          <w:szCs w:val="24"/>
          <w:lang w:val="en-ZA" w:eastAsia="en-ZA"/>
        </w:rPr>
        <w:t xml:space="preserve"> is that</w:t>
      </w:r>
      <w:r w:rsidRPr="00481243">
        <w:rPr>
          <w:rFonts w:ascii="Arial" w:hAnsi="Arial"/>
          <w:color w:val="000000" w:themeColor="text1"/>
          <w:sz w:val="24"/>
          <w:szCs w:val="24"/>
          <w:lang w:val="en-ZA"/>
        </w:rPr>
        <w:t xml:space="preserve"> they are not prejudiced by the appellant’s non-compliance </w:t>
      </w:r>
      <w:r w:rsidRPr="00481243">
        <w:rPr>
          <w:rFonts w:ascii="Arial" w:hAnsi="Arial"/>
          <w:color w:val="000000" w:themeColor="text1"/>
          <w:sz w:val="24"/>
          <w:szCs w:val="24"/>
          <w:lang w:val="en-ZA" w:eastAsia="en-ZA"/>
        </w:rPr>
        <w:t>with the time period</w:t>
      </w:r>
      <w:r w:rsidRPr="00481243">
        <w:rPr>
          <w:rFonts w:ascii="Arial" w:hAnsi="Arial"/>
          <w:color w:val="000000" w:themeColor="text1"/>
          <w:sz w:val="24"/>
          <w:szCs w:val="24"/>
          <w:lang w:val="en-ZA"/>
        </w:rPr>
        <w:t xml:space="preserve">s and this court has no reason to doubt the submission. Nonetheless, it </w:t>
      </w:r>
      <w:r w:rsidRPr="00481243">
        <w:rPr>
          <w:rFonts w:ascii="Arial" w:hAnsi="Arial"/>
          <w:color w:val="000000" w:themeColor="text1"/>
          <w:sz w:val="24"/>
          <w:szCs w:val="24"/>
          <w:lang w:val="en-ZA" w:eastAsia="en-ZA"/>
        </w:rPr>
        <w:t>i</w:t>
      </w:r>
      <w:r w:rsidRPr="00481243">
        <w:rPr>
          <w:rFonts w:ascii="Arial" w:hAnsi="Arial"/>
          <w:color w:val="000000" w:themeColor="text1"/>
          <w:sz w:val="24"/>
          <w:szCs w:val="24"/>
          <w:lang w:val="en-ZA"/>
        </w:rPr>
        <w:t xml:space="preserve">s </w:t>
      </w:r>
      <w:r w:rsidRPr="00481243">
        <w:rPr>
          <w:rFonts w:ascii="Arial" w:hAnsi="Arial"/>
          <w:color w:val="000000" w:themeColor="text1"/>
          <w:sz w:val="24"/>
          <w:szCs w:val="24"/>
          <w:lang w:val="en-ZA" w:eastAsia="en-ZA"/>
        </w:rPr>
        <w:t xml:space="preserve">important to emphasize </w:t>
      </w:r>
      <w:r w:rsidRPr="00481243">
        <w:rPr>
          <w:rFonts w:ascii="Arial" w:hAnsi="Arial"/>
          <w:color w:val="000000" w:themeColor="text1"/>
          <w:sz w:val="24"/>
          <w:szCs w:val="24"/>
          <w:lang w:val="en-ZA"/>
        </w:rPr>
        <w:t xml:space="preserve">here </w:t>
      </w:r>
      <w:r w:rsidRPr="00481243">
        <w:rPr>
          <w:rFonts w:ascii="Arial" w:hAnsi="Arial"/>
          <w:color w:val="000000" w:themeColor="text1"/>
          <w:sz w:val="24"/>
          <w:szCs w:val="24"/>
          <w:lang w:val="en-ZA" w:eastAsia="en-ZA"/>
        </w:rPr>
        <w:t>that a respondent’s non-opposition to a condonation application is not the only an</w:t>
      </w:r>
      <w:r w:rsidRPr="00481243">
        <w:rPr>
          <w:rFonts w:ascii="Arial" w:hAnsi="Arial"/>
          <w:color w:val="000000" w:themeColor="text1"/>
          <w:sz w:val="24"/>
          <w:szCs w:val="24"/>
          <w:lang w:val="en-ZA"/>
        </w:rPr>
        <w:t>d/</w:t>
      </w:r>
      <w:r w:rsidRPr="00481243">
        <w:rPr>
          <w:rFonts w:ascii="Arial" w:hAnsi="Arial"/>
          <w:color w:val="000000" w:themeColor="text1"/>
          <w:sz w:val="24"/>
          <w:szCs w:val="24"/>
          <w:lang w:val="en-ZA" w:eastAsia="en-ZA"/>
        </w:rPr>
        <w:t xml:space="preserve">or determining factor for a court condoning an applicant’s non-compliance with </w:t>
      </w:r>
      <w:r w:rsidRPr="00481243">
        <w:rPr>
          <w:rFonts w:ascii="Arial" w:hAnsi="Arial"/>
          <w:color w:val="000000" w:themeColor="text1"/>
          <w:sz w:val="24"/>
          <w:szCs w:val="24"/>
          <w:lang w:val="en-ZA"/>
        </w:rPr>
        <w:t>its rules</w:t>
      </w:r>
      <w:r w:rsidRPr="00481243">
        <w:rPr>
          <w:rFonts w:ascii="Arial" w:hAnsi="Arial"/>
          <w:color w:val="000000" w:themeColor="text1"/>
          <w:sz w:val="20"/>
          <w:szCs w:val="20"/>
          <w:lang w:val="en-ZA" w:eastAsia="en-ZA"/>
        </w:rPr>
        <w:t>.</w:t>
      </w:r>
      <w:r w:rsidRPr="00481243">
        <w:rPr>
          <w:rFonts w:ascii="Arial" w:hAnsi="Arial"/>
          <w:color w:val="000000" w:themeColor="text1"/>
          <w:sz w:val="20"/>
          <w:szCs w:val="20"/>
          <w:vertAlign w:val="superscript"/>
          <w:lang w:val="en-ZA" w:eastAsia="en-ZA"/>
        </w:rPr>
        <w:footnoteReference w:id="3"/>
      </w:r>
      <w:r w:rsidRPr="00481243">
        <w:rPr>
          <w:rFonts w:ascii="Arial" w:hAnsi="Arial"/>
          <w:color w:val="000000" w:themeColor="text1"/>
          <w:sz w:val="20"/>
          <w:szCs w:val="20"/>
          <w:vertAlign w:val="superscript"/>
          <w:lang w:val="en-ZA" w:eastAsia="en-ZA"/>
        </w:rPr>
        <w:t xml:space="preserve"> </w:t>
      </w:r>
    </w:p>
    <w:p w:rsidR="00702D7A" w:rsidRPr="00481243" w:rsidRDefault="00702D7A" w:rsidP="00702D7A">
      <w:pPr>
        <w:spacing w:after="0" w:line="480" w:lineRule="auto"/>
        <w:jc w:val="both"/>
        <w:rPr>
          <w:rFonts w:ascii="Arial" w:hAnsi="Arial"/>
          <w:color w:val="000000" w:themeColor="text1"/>
          <w:sz w:val="24"/>
          <w:szCs w:val="24"/>
          <w:lang w:val="en-ZA" w:eastAsia="en-ZA"/>
        </w:rPr>
      </w:pPr>
    </w:p>
    <w:p w:rsidR="00702D7A" w:rsidRPr="00481243" w:rsidRDefault="00702D7A" w:rsidP="007C77A1">
      <w:pPr>
        <w:pStyle w:val="ListParagraph"/>
        <w:numPr>
          <w:ilvl w:val="0"/>
          <w:numId w:val="46"/>
        </w:numPr>
        <w:spacing w:after="0" w:line="480" w:lineRule="auto"/>
        <w:ind w:left="0" w:firstLine="0"/>
        <w:jc w:val="both"/>
        <w:rPr>
          <w:rFonts w:ascii="Arial" w:hAnsi="Arial"/>
          <w:color w:val="000000" w:themeColor="text1"/>
          <w:sz w:val="24"/>
          <w:szCs w:val="24"/>
          <w:lang w:val="en-ZA"/>
        </w:rPr>
      </w:pPr>
      <w:r w:rsidRPr="00481243">
        <w:rPr>
          <w:rFonts w:ascii="Arial" w:hAnsi="Arial"/>
          <w:color w:val="000000" w:themeColor="text1"/>
          <w:sz w:val="24"/>
          <w:szCs w:val="24"/>
          <w:lang w:val="en-ZA" w:eastAsia="en-ZA"/>
        </w:rPr>
        <w:t xml:space="preserve">Courts </w:t>
      </w:r>
      <w:r w:rsidRPr="00481243">
        <w:rPr>
          <w:rFonts w:ascii="Arial" w:hAnsi="Arial"/>
          <w:color w:val="000000" w:themeColor="text1"/>
          <w:sz w:val="24"/>
          <w:szCs w:val="24"/>
          <w:lang w:val="en-ZA"/>
        </w:rPr>
        <w:t xml:space="preserve">have the authority to </w:t>
      </w:r>
      <w:r w:rsidRPr="00481243">
        <w:rPr>
          <w:rFonts w:ascii="Arial" w:hAnsi="Arial"/>
          <w:color w:val="000000" w:themeColor="text1"/>
          <w:sz w:val="24"/>
          <w:szCs w:val="24"/>
          <w:lang w:val="en-ZA" w:eastAsia="en-ZA"/>
        </w:rPr>
        <w:t>determine</w:t>
      </w:r>
      <w:r w:rsidRPr="00481243">
        <w:rPr>
          <w:rFonts w:ascii="Arial" w:hAnsi="Arial"/>
          <w:color w:val="000000" w:themeColor="text1"/>
          <w:sz w:val="24"/>
          <w:szCs w:val="24"/>
          <w:lang w:val="en-ZA"/>
        </w:rPr>
        <w:t xml:space="preserve"> and regulate</w:t>
      </w:r>
      <w:r w:rsidRPr="00481243">
        <w:rPr>
          <w:rFonts w:ascii="Arial" w:hAnsi="Arial"/>
          <w:color w:val="000000" w:themeColor="text1"/>
          <w:sz w:val="24"/>
          <w:szCs w:val="24"/>
          <w:lang w:val="en-ZA" w:eastAsia="en-ZA"/>
        </w:rPr>
        <w:t xml:space="preserve"> their own rules and procedures</w:t>
      </w:r>
      <w:r w:rsidRPr="00481243">
        <w:rPr>
          <w:rFonts w:ascii="Arial" w:hAnsi="Arial"/>
          <w:color w:val="000000" w:themeColor="text1"/>
          <w:sz w:val="24"/>
          <w:szCs w:val="24"/>
          <w:lang w:val="en-ZA"/>
        </w:rPr>
        <w:t>. Th</w:t>
      </w:r>
      <w:r w:rsidRPr="00481243">
        <w:rPr>
          <w:rFonts w:ascii="Arial" w:hAnsi="Arial"/>
          <w:color w:val="000000" w:themeColor="text1"/>
          <w:sz w:val="24"/>
          <w:szCs w:val="24"/>
          <w:lang w:val="en-ZA" w:eastAsia="en-ZA"/>
        </w:rPr>
        <w:t>at</w:t>
      </w:r>
      <w:r w:rsidRPr="00481243">
        <w:rPr>
          <w:rFonts w:ascii="Arial" w:hAnsi="Arial"/>
          <w:color w:val="000000" w:themeColor="text1"/>
          <w:sz w:val="24"/>
          <w:szCs w:val="24"/>
          <w:lang w:val="en-ZA"/>
        </w:rPr>
        <w:t xml:space="preserve"> authority is </w:t>
      </w:r>
      <w:r w:rsidRPr="00481243">
        <w:rPr>
          <w:rFonts w:ascii="Arial" w:hAnsi="Arial"/>
          <w:color w:val="000000" w:themeColor="text1"/>
          <w:sz w:val="24"/>
          <w:szCs w:val="24"/>
          <w:lang w:val="en-ZA" w:eastAsia="en-ZA"/>
        </w:rPr>
        <w:t>integral to their independen</w:t>
      </w:r>
      <w:r w:rsidRPr="00481243">
        <w:rPr>
          <w:rFonts w:ascii="Arial" w:hAnsi="Arial"/>
          <w:color w:val="000000" w:themeColor="text1"/>
          <w:sz w:val="24"/>
          <w:szCs w:val="24"/>
          <w:lang w:val="en-ZA"/>
        </w:rPr>
        <w:t xml:space="preserve">ce. </w:t>
      </w:r>
      <w:r w:rsidRPr="00481243">
        <w:rPr>
          <w:rFonts w:ascii="Arial" w:hAnsi="Arial"/>
          <w:color w:val="000000" w:themeColor="text1"/>
          <w:sz w:val="24"/>
          <w:szCs w:val="24"/>
          <w:lang w:val="en-ZA" w:eastAsia="en-ZA"/>
        </w:rPr>
        <w:t xml:space="preserve">Court rules and procedures are </w:t>
      </w:r>
      <w:r w:rsidRPr="00481243">
        <w:rPr>
          <w:rFonts w:ascii="Arial" w:hAnsi="Arial"/>
          <w:color w:val="000000" w:themeColor="text1"/>
          <w:sz w:val="24"/>
          <w:szCs w:val="24"/>
          <w:lang w:val="en-ZA"/>
        </w:rPr>
        <w:t>adopted</w:t>
      </w:r>
      <w:r w:rsidRPr="00481243">
        <w:rPr>
          <w:rFonts w:ascii="Arial" w:hAnsi="Arial"/>
          <w:color w:val="000000" w:themeColor="text1"/>
          <w:sz w:val="24"/>
          <w:szCs w:val="24"/>
          <w:lang w:val="en-ZA" w:eastAsia="en-ZA"/>
        </w:rPr>
        <w:t xml:space="preserve"> to </w:t>
      </w:r>
      <w:r w:rsidRPr="00481243">
        <w:rPr>
          <w:rFonts w:ascii="Arial" w:hAnsi="Arial"/>
          <w:color w:val="000000" w:themeColor="text1"/>
          <w:sz w:val="24"/>
          <w:szCs w:val="24"/>
          <w:lang w:val="en-ZA"/>
        </w:rPr>
        <w:t>create court operational</w:t>
      </w:r>
      <w:r w:rsidRPr="00481243">
        <w:rPr>
          <w:rFonts w:ascii="Arial" w:hAnsi="Arial"/>
          <w:color w:val="000000" w:themeColor="text1"/>
          <w:sz w:val="24"/>
          <w:szCs w:val="24"/>
          <w:lang w:val="en-ZA" w:eastAsia="en-ZA"/>
        </w:rPr>
        <w:t xml:space="preserve"> systems </w:t>
      </w:r>
      <w:r w:rsidRPr="00481243">
        <w:rPr>
          <w:rFonts w:ascii="Arial" w:hAnsi="Arial"/>
          <w:color w:val="000000" w:themeColor="text1"/>
          <w:sz w:val="24"/>
          <w:szCs w:val="24"/>
          <w:lang w:val="en-ZA"/>
        </w:rPr>
        <w:t xml:space="preserve">that provide orderly </w:t>
      </w:r>
      <w:r w:rsidRPr="00481243">
        <w:rPr>
          <w:rFonts w:ascii="Arial" w:hAnsi="Arial"/>
          <w:color w:val="000000" w:themeColor="text1"/>
          <w:sz w:val="24"/>
          <w:szCs w:val="24"/>
          <w:lang w:val="en-ZA"/>
        </w:rPr>
        <w:lastRenderedPageBreak/>
        <w:t>access to justice and other court services. Thus, compliance with court rules and procedures is a rule of law requirement which enables courts to perform with utmost efficacy their important role and function of providing access to justice and focus on resolving the dispute at hand. N</w:t>
      </w:r>
      <w:r w:rsidRPr="00481243">
        <w:rPr>
          <w:rFonts w:ascii="Arial" w:hAnsi="Arial"/>
          <w:color w:val="000000" w:themeColor="text1"/>
          <w:sz w:val="24"/>
          <w:szCs w:val="24"/>
          <w:lang w:val="en-ZA" w:eastAsia="en-ZA"/>
        </w:rPr>
        <w:t xml:space="preserve">on-compliance with </w:t>
      </w:r>
      <w:r w:rsidRPr="00481243">
        <w:rPr>
          <w:rFonts w:ascii="Arial" w:hAnsi="Arial"/>
          <w:color w:val="000000" w:themeColor="text1"/>
          <w:sz w:val="24"/>
          <w:szCs w:val="24"/>
          <w:lang w:val="en-ZA"/>
        </w:rPr>
        <w:t xml:space="preserve">court </w:t>
      </w:r>
      <w:r w:rsidRPr="00481243">
        <w:rPr>
          <w:rFonts w:ascii="Arial" w:hAnsi="Arial"/>
          <w:color w:val="000000" w:themeColor="text1"/>
          <w:sz w:val="24"/>
          <w:szCs w:val="24"/>
          <w:lang w:val="en-ZA" w:eastAsia="en-ZA"/>
        </w:rPr>
        <w:t xml:space="preserve">rules </w:t>
      </w:r>
      <w:r w:rsidRPr="00481243">
        <w:rPr>
          <w:rFonts w:ascii="Arial" w:hAnsi="Arial"/>
          <w:color w:val="000000" w:themeColor="text1"/>
          <w:sz w:val="24"/>
          <w:szCs w:val="24"/>
          <w:lang w:val="en-ZA"/>
        </w:rPr>
        <w:t xml:space="preserve">thus </w:t>
      </w:r>
      <w:r w:rsidRPr="00481243">
        <w:rPr>
          <w:rFonts w:ascii="Arial" w:hAnsi="Arial"/>
          <w:color w:val="000000" w:themeColor="text1"/>
          <w:sz w:val="24"/>
          <w:szCs w:val="24"/>
          <w:lang w:val="en-ZA" w:eastAsia="en-ZA"/>
        </w:rPr>
        <w:t xml:space="preserve">poses not only an inconvenience </w:t>
      </w:r>
      <w:r w:rsidR="00022DF5" w:rsidRPr="00481243">
        <w:rPr>
          <w:rFonts w:ascii="Arial" w:hAnsi="Arial"/>
          <w:color w:val="000000" w:themeColor="text1"/>
          <w:sz w:val="24"/>
          <w:szCs w:val="24"/>
          <w:lang w:val="en-ZA" w:eastAsia="en-ZA"/>
        </w:rPr>
        <w:t>to</w:t>
      </w:r>
      <w:r w:rsidRPr="00481243">
        <w:rPr>
          <w:rFonts w:ascii="Arial" w:hAnsi="Arial"/>
          <w:color w:val="000000" w:themeColor="text1"/>
          <w:sz w:val="24"/>
          <w:szCs w:val="24"/>
          <w:lang w:val="en-ZA" w:eastAsia="en-ZA"/>
        </w:rPr>
        <w:t xml:space="preserve"> the court itself in performing its</w:t>
      </w:r>
      <w:r w:rsidRPr="00481243">
        <w:rPr>
          <w:rFonts w:ascii="Arial" w:hAnsi="Arial"/>
          <w:color w:val="000000" w:themeColor="text1"/>
          <w:sz w:val="24"/>
          <w:szCs w:val="24"/>
          <w:lang w:val="en-ZA"/>
        </w:rPr>
        <w:t xml:space="preserve"> central</w:t>
      </w:r>
      <w:r w:rsidRPr="00481243">
        <w:rPr>
          <w:rFonts w:ascii="Arial" w:hAnsi="Arial"/>
          <w:color w:val="000000" w:themeColor="text1"/>
          <w:sz w:val="24"/>
          <w:szCs w:val="24"/>
          <w:lang w:val="en-ZA" w:eastAsia="en-ZA"/>
        </w:rPr>
        <w:t xml:space="preserve"> role and function, it also inconveniences </w:t>
      </w:r>
      <w:r w:rsidRPr="00481243">
        <w:rPr>
          <w:rFonts w:ascii="Arial" w:hAnsi="Arial"/>
          <w:color w:val="000000" w:themeColor="text1"/>
          <w:sz w:val="24"/>
          <w:szCs w:val="24"/>
          <w:lang w:val="en-ZA"/>
        </w:rPr>
        <w:t>other li</w:t>
      </w:r>
      <w:r w:rsidRPr="00481243">
        <w:rPr>
          <w:rFonts w:ascii="Arial" w:hAnsi="Arial"/>
          <w:color w:val="000000" w:themeColor="text1"/>
          <w:sz w:val="24"/>
          <w:szCs w:val="24"/>
          <w:lang w:val="en-ZA" w:eastAsia="en-ZA"/>
        </w:rPr>
        <w:t>tigants</w:t>
      </w:r>
      <w:r w:rsidRPr="00481243">
        <w:rPr>
          <w:rFonts w:ascii="Arial" w:hAnsi="Arial"/>
          <w:color w:val="000000" w:themeColor="text1"/>
          <w:sz w:val="24"/>
          <w:szCs w:val="24"/>
          <w:lang w:val="en-ZA"/>
        </w:rPr>
        <w:t>, w</w:t>
      </w:r>
      <w:r w:rsidRPr="00481243">
        <w:rPr>
          <w:rFonts w:ascii="Arial" w:hAnsi="Arial"/>
          <w:color w:val="000000" w:themeColor="text1"/>
          <w:sz w:val="24"/>
          <w:szCs w:val="24"/>
          <w:lang w:val="en-ZA" w:eastAsia="en-ZA"/>
        </w:rPr>
        <w:t>hose cases may be delayed and/or not heard at all.</w:t>
      </w:r>
      <w:r w:rsidRPr="00481243">
        <w:rPr>
          <w:rFonts w:ascii="Arial" w:hAnsi="Arial"/>
          <w:color w:val="000000" w:themeColor="text1"/>
          <w:vertAlign w:val="superscript"/>
          <w:lang w:val="en-ZA" w:eastAsia="en-ZA"/>
        </w:rPr>
        <w:footnoteReference w:id="4"/>
      </w:r>
      <w:r w:rsidRPr="00481243">
        <w:rPr>
          <w:rFonts w:ascii="Arial" w:hAnsi="Arial"/>
          <w:color w:val="000000" w:themeColor="text1"/>
          <w:sz w:val="24"/>
          <w:szCs w:val="24"/>
          <w:lang w:val="en-ZA" w:eastAsia="en-ZA"/>
        </w:rPr>
        <w:t xml:space="preserve"> Thus, non-compliance with court </w:t>
      </w:r>
      <w:r w:rsidRPr="00481243">
        <w:rPr>
          <w:rFonts w:ascii="Arial" w:hAnsi="Arial"/>
          <w:color w:val="000000" w:themeColor="text1"/>
          <w:sz w:val="24"/>
          <w:szCs w:val="24"/>
          <w:lang w:val="en-ZA"/>
        </w:rPr>
        <w:t xml:space="preserve">rules and </w:t>
      </w:r>
      <w:r w:rsidRPr="00481243">
        <w:rPr>
          <w:rFonts w:ascii="Arial" w:hAnsi="Arial"/>
          <w:color w:val="000000" w:themeColor="text1"/>
          <w:sz w:val="24"/>
          <w:szCs w:val="24"/>
          <w:lang w:val="en-ZA" w:eastAsia="en-ZA"/>
        </w:rPr>
        <w:t>processes</w:t>
      </w:r>
      <w:r w:rsidRPr="00481243">
        <w:rPr>
          <w:rFonts w:ascii="Arial" w:hAnsi="Arial"/>
          <w:color w:val="000000" w:themeColor="text1"/>
          <w:sz w:val="24"/>
          <w:szCs w:val="24"/>
          <w:lang w:val="en-ZA"/>
        </w:rPr>
        <w:t>, even where the respondent may not be opposed ther</w:t>
      </w:r>
      <w:r w:rsidR="00022DF5" w:rsidRPr="00481243">
        <w:rPr>
          <w:rFonts w:ascii="Arial" w:hAnsi="Arial"/>
          <w:color w:val="000000" w:themeColor="text1"/>
          <w:sz w:val="24"/>
          <w:szCs w:val="24"/>
          <w:lang w:val="en-ZA"/>
        </w:rPr>
        <w:t>eto, may still be inconvenient to</w:t>
      </w:r>
      <w:r w:rsidRPr="00481243">
        <w:rPr>
          <w:rFonts w:ascii="Arial" w:hAnsi="Arial"/>
          <w:color w:val="000000" w:themeColor="text1"/>
          <w:sz w:val="24"/>
          <w:szCs w:val="24"/>
          <w:lang w:val="en-ZA"/>
        </w:rPr>
        <w:t xml:space="preserve"> the</w:t>
      </w:r>
      <w:r w:rsidRPr="00481243">
        <w:rPr>
          <w:rFonts w:ascii="Arial" w:hAnsi="Arial"/>
          <w:color w:val="000000" w:themeColor="text1"/>
          <w:sz w:val="24"/>
          <w:szCs w:val="24"/>
          <w:lang w:val="en-ZA" w:eastAsia="en-ZA"/>
        </w:rPr>
        <w:t xml:space="preserve"> court and other litigants</w:t>
      </w:r>
      <w:r w:rsidRPr="00481243">
        <w:rPr>
          <w:rFonts w:ascii="Arial" w:hAnsi="Arial"/>
          <w:color w:val="000000" w:themeColor="text1"/>
          <w:sz w:val="24"/>
          <w:szCs w:val="24"/>
          <w:lang w:val="en-ZA"/>
        </w:rPr>
        <w:t>, impacting on whether or not a court will grant condonation for non-compliance.</w:t>
      </w:r>
    </w:p>
    <w:p w:rsidR="00702D7A" w:rsidRPr="00481243" w:rsidRDefault="00702D7A" w:rsidP="00702D7A">
      <w:pPr>
        <w:pStyle w:val="ListParagraph"/>
        <w:spacing w:after="0" w:line="480" w:lineRule="auto"/>
        <w:ind w:left="0"/>
        <w:jc w:val="both"/>
        <w:rPr>
          <w:rFonts w:ascii="Arial" w:hAnsi="Arial"/>
          <w:color w:val="000000" w:themeColor="text1"/>
          <w:sz w:val="24"/>
          <w:szCs w:val="24"/>
          <w:lang w:val="en-ZA" w:eastAsia="en-ZA"/>
        </w:rPr>
      </w:pPr>
    </w:p>
    <w:p w:rsidR="00702D7A" w:rsidRPr="00481243" w:rsidRDefault="00702D7A" w:rsidP="00702D7A">
      <w:pPr>
        <w:pStyle w:val="ListParagraph"/>
        <w:numPr>
          <w:ilvl w:val="0"/>
          <w:numId w:val="46"/>
        </w:numPr>
        <w:spacing w:after="0" w:line="480" w:lineRule="auto"/>
        <w:ind w:left="0" w:firstLine="0"/>
        <w:jc w:val="both"/>
        <w:rPr>
          <w:rFonts w:ascii="Arial" w:hAnsi="Arial"/>
          <w:color w:val="000000" w:themeColor="text1"/>
          <w:sz w:val="24"/>
          <w:szCs w:val="24"/>
          <w:lang w:val="en-ZA" w:eastAsia="en-ZA"/>
        </w:rPr>
      </w:pPr>
      <w:r w:rsidRPr="00481243">
        <w:rPr>
          <w:rFonts w:ascii="Arial" w:hAnsi="Arial"/>
          <w:color w:val="000000" w:themeColor="text1"/>
          <w:sz w:val="24"/>
          <w:szCs w:val="24"/>
          <w:lang w:val="en-ZA"/>
        </w:rPr>
        <w:t>There are, however, a number of judicially established factors which courts will take into account when exercising their discretion, condoning non-compliance with their rules. The factors will be based on the surrounding circumstances of the case</w:t>
      </w:r>
      <w:r w:rsidRPr="00481243">
        <w:rPr>
          <w:rFonts w:ascii="Arial" w:hAnsi="Arial"/>
          <w:color w:val="000000" w:themeColor="text1"/>
          <w:sz w:val="24"/>
          <w:szCs w:val="24"/>
          <w:lang w:val="en-ZA" w:eastAsia="en-ZA"/>
        </w:rPr>
        <w:t>.</w:t>
      </w:r>
      <w:r w:rsidRPr="00481243">
        <w:rPr>
          <w:rFonts w:ascii="Arial" w:hAnsi="Arial"/>
          <w:color w:val="000000" w:themeColor="text1"/>
          <w:vertAlign w:val="superscript"/>
          <w:lang w:val="en-ZA" w:eastAsia="en-ZA"/>
        </w:rPr>
        <w:footnoteReference w:id="5"/>
      </w:r>
      <w:r w:rsidRPr="00481243">
        <w:rPr>
          <w:rFonts w:ascii="Arial" w:hAnsi="Arial"/>
          <w:color w:val="000000" w:themeColor="text1"/>
          <w:sz w:val="24"/>
          <w:szCs w:val="24"/>
          <w:lang w:val="en-ZA" w:eastAsia="en-ZA"/>
        </w:rPr>
        <w:t xml:space="preserve"> The court in </w:t>
      </w:r>
      <w:r w:rsidRPr="00481243">
        <w:rPr>
          <w:rFonts w:ascii="Arial" w:hAnsi="Arial"/>
          <w:i/>
          <w:color w:val="000000" w:themeColor="text1"/>
          <w:sz w:val="24"/>
          <w:szCs w:val="24"/>
          <w:lang w:val="en-ZA" w:eastAsia="en-ZA"/>
        </w:rPr>
        <w:t xml:space="preserve">Telecom </w:t>
      </w:r>
      <w:r w:rsidR="00FD3D36" w:rsidRPr="00481243">
        <w:rPr>
          <w:rFonts w:ascii="Arial" w:hAnsi="Arial"/>
          <w:i/>
          <w:color w:val="000000" w:themeColor="text1"/>
          <w:sz w:val="24"/>
          <w:szCs w:val="24"/>
          <w:lang w:val="en-ZA" w:eastAsia="en-ZA"/>
        </w:rPr>
        <w:t>Namibia Ltd v Michael Nangolo &amp;</w:t>
      </w:r>
      <w:r w:rsidRPr="00481243">
        <w:rPr>
          <w:rFonts w:ascii="Arial" w:hAnsi="Arial"/>
          <w:i/>
          <w:color w:val="000000" w:themeColor="text1"/>
          <w:sz w:val="24"/>
          <w:szCs w:val="24"/>
          <w:lang w:val="en-ZA" w:eastAsia="en-ZA"/>
        </w:rPr>
        <w:t xml:space="preserve"> others</w:t>
      </w:r>
      <w:r w:rsidRPr="00481243">
        <w:rPr>
          <w:rFonts w:ascii="Arial" w:hAnsi="Arial"/>
          <w:color w:val="000000" w:themeColor="text1"/>
          <w:sz w:val="24"/>
          <w:szCs w:val="24"/>
          <w:lang w:val="en-ZA" w:eastAsia="en-ZA"/>
        </w:rPr>
        <w:t>, restated the settled legal principles and factors that a court will take into account when exercising its discretion notwithstanding that the respondents are not opposed to condonation. First, an application for condonation must be submitted as soon as the delay has come to notice. If not, a reasonable, accurate and acceptable explanation for the delay must be provided.</w:t>
      </w:r>
      <w:r w:rsidRPr="00481243">
        <w:rPr>
          <w:rFonts w:ascii="Arial" w:hAnsi="Arial"/>
          <w:color w:val="000000" w:themeColor="text1"/>
          <w:vertAlign w:val="superscript"/>
          <w:lang w:val="en-ZA" w:eastAsia="en-ZA"/>
        </w:rPr>
        <w:footnoteReference w:id="6"/>
      </w:r>
    </w:p>
    <w:p w:rsidR="00702D7A" w:rsidRPr="00481243" w:rsidRDefault="00702D7A" w:rsidP="007C77A1">
      <w:pPr>
        <w:pStyle w:val="ListParagraph"/>
        <w:numPr>
          <w:ilvl w:val="0"/>
          <w:numId w:val="46"/>
        </w:numPr>
        <w:spacing w:after="0" w:line="480" w:lineRule="auto"/>
        <w:ind w:left="0" w:firstLine="0"/>
        <w:jc w:val="both"/>
        <w:rPr>
          <w:rFonts w:ascii="Arial" w:hAnsi="Arial"/>
          <w:color w:val="000000" w:themeColor="text1"/>
          <w:sz w:val="24"/>
          <w:szCs w:val="24"/>
          <w:lang w:val="en-ZA" w:eastAsia="en-ZA"/>
        </w:rPr>
      </w:pPr>
      <w:r w:rsidRPr="00481243">
        <w:rPr>
          <w:rFonts w:ascii="Arial" w:hAnsi="Arial"/>
          <w:color w:val="000000" w:themeColor="text1"/>
          <w:sz w:val="24"/>
          <w:szCs w:val="24"/>
          <w:lang w:val="en-ZA" w:eastAsia="en-ZA"/>
        </w:rPr>
        <w:lastRenderedPageBreak/>
        <w:t xml:space="preserve">Further, the court in </w:t>
      </w:r>
      <w:r w:rsidRPr="00481243">
        <w:rPr>
          <w:rFonts w:ascii="Arial" w:hAnsi="Arial"/>
          <w:i/>
          <w:color w:val="000000" w:themeColor="text1"/>
          <w:sz w:val="24"/>
          <w:szCs w:val="24"/>
          <w:lang w:val="en-ZA" w:eastAsia="en-ZA"/>
        </w:rPr>
        <w:t>Metropolitan Namibia v Amos Nangolo</w:t>
      </w:r>
      <w:r w:rsidRPr="00481243">
        <w:rPr>
          <w:rFonts w:ascii="Arial" w:hAnsi="Arial"/>
          <w:color w:val="000000" w:themeColor="text1"/>
          <w:vertAlign w:val="superscript"/>
          <w:lang w:val="en-ZA" w:eastAsia="en-ZA"/>
        </w:rPr>
        <w:footnoteReference w:id="7"/>
      </w:r>
      <w:r w:rsidRPr="00481243">
        <w:rPr>
          <w:rFonts w:ascii="Arial" w:hAnsi="Arial"/>
          <w:color w:val="000000" w:themeColor="text1"/>
          <w:sz w:val="24"/>
          <w:szCs w:val="24"/>
          <w:lang w:val="en-ZA" w:eastAsia="en-ZA"/>
        </w:rPr>
        <w:t xml:space="preserve"> held that not only shall an applicant provide a reasonable and acceptable explanation for their non-compliance, it must also be shown that the main matter has prospects of success in fact and in terms of the applicable law. A court may however decline to consider the prospects of success on the merits, if the non-compliance is found to be glaring, flagrant and there is no reasonable explanation for the non-compliance.</w:t>
      </w:r>
      <w:r w:rsidRPr="00481243">
        <w:rPr>
          <w:rFonts w:ascii="Arial" w:hAnsi="Arial"/>
          <w:color w:val="000000" w:themeColor="text1"/>
          <w:vertAlign w:val="superscript"/>
          <w:lang w:val="en-ZA" w:eastAsia="en-ZA"/>
        </w:rPr>
        <w:footnoteReference w:id="8"/>
      </w:r>
      <w:r w:rsidRPr="00481243">
        <w:rPr>
          <w:rFonts w:ascii="Arial" w:hAnsi="Arial"/>
          <w:color w:val="000000" w:themeColor="text1"/>
          <w:sz w:val="24"/>
          <w:szCs w:val="24"/>
          <w:lang w:val="en-ZA" w:eastAsia="en-ZA"/>
        </w:rPr>
        <w:t xml:space="preserve"> It goes without saying that each case will be determined on its own merits. </w:t>
      </w:r>
    </w:p>
    <w:p w:rsidR="00702D7A" w:rsidRPr="00481243" w:rsidRDefault="00702D7A" w:rsidP="00702D7A">
      <w:pPr>
        <w:spacing w:after="0" w:line="480" w:lineRule="auto"/>
        <w:jc w:val="both"/>
        <w:rPr>
          <w:rFonts w:ascii="Arial" w:hAnsi="Arial"/>
          <w:color w:val="000000" w:themeColor="text1"/>
          <w:sz w:val="24"/>
          <w:szCs w:val="24"/>
          <w:lang w:val="en-ZA" w:eastAsia="en-ZA"/>
        </w:rPr>
      </w:pPr>
    </w:p>
    <w:p w:rsidR="00702D7A" w:rsidRPr="00481243" w:rsidRDefault="00702D7A" w:rsidP="007C77A1">
      <w:pPr>
        <w:pStyle w:val="ListParagraph"/>
        <w:numPr>
          <w:ilvl w:val="0"/>
          <w:numId w:val="46"/>
        </w:numPr>
        <w:spacing w:after="0" w:line="480" w:lineRule="auto"/>
        <w:ind w:left="0" w:firstLine="0"/>
        <w:jc w:val="both"/>
        <w:rPr>
          <w:rFonts w:ascii="Arial" w:hAnsi="Arial"/>
          <w:color w:val="000000" w:themeColor="text1"/>
          <w:sz w:val="24"/>
          <w:szCs w:val="24"/>
          <w:lang w:val="en-ZA" w:eastAsia="en-ZA"/>
        </w:rPr>
      </w:pPr>
      <w:r w:rsidRPr="00481243">
        <w:rPr>
          <w:rFonts w:ascii="Arial" w:hAnsi="Arial"/>
          <w:color w:val="000000" w:themeColor="text1"/>
          <w:sz w:val="24"/>
          <w:szCs w:val="24"/>
          <w:lang w:val="en-ZA" w:eastAsia="en-ZA"/>
        </w:rPr>
        <w:t xml:space="preserve">The above requirements were re-affirmed by the Supreme Court in </w:t>
      </w:r>
      <w:r w:rsidRPr="00481243">
        <w:rPr>
          <w:rFonts w:ascii="Arial" w:hAnsi="Arial"/>
          <w:i/>
          <w:color w:val="000000" w:themeColor="text1"/>
          <w:sz w:val="24"/>
          <w:szCs w:val="24"/>
          <w:lang w:val="en-ZA" w:eastAsia="en-ZA"/>
        </w:rPr>
        <w:t>Minister of Health and Social Services v Amakali Matheus</w:t>
      </w:r>
      <w:r w:rsidRPr="00481243">
        <w:rPr>
          <w:rFonts w:ascii="Arial" w:hAnsi="Arial"/>
          <w:color w:val="000000" w:themeColor="text1"/>
          <w:sz w:val="24"/>
          <w:szCs w:val="24"/>
          <w:lang w:val="en-ZA" w:eastAsia="en-ZA"/>
        </w:rPr>
        <w:t>,</w:t>
      </w:r>
      <w:r w:rsidRPr="00481243">
        <w:rPr>
          <w:rFonts w:ascii="Arial" w:hAnsi="Arial"/>
          <w:color w:val="000000" w:themeColor="text1"/>
          <w:vertAlign w:val="superscript"/>
          <w:lang w:val="en-ZA" w:eastAsia="en-ZA"/>
        </w:rPr>
        <w:footnoteReference w:id="9"/>
      </w:r>
      <w:r w:rsidRPr="00481243">
        <w:rPr>
          <w:rFonts w:ascii="Arial" w:hAnsi="Arial"/>
          <w:color w:val="000000" w:themeColor="text1"/>
          <w:sz w:val="24"/>
          <w:szCs w:val="24"/>
          <w:lang w:val="en-ZA" w:eastAsia="en-ZA"/>
        </w:rPr>
        <w:t xml:space="preserve"> where the court in addition considered the </w:t>
      </w:r>
      <w:r w:rsidRPr="00481243">
        <w:rPr>
          <w:rFonts w:ascii="Arial" w:hAnsi="Arial"/>
          <w:i/>
          <w:color w:val="000000" w:themeColor="text1"/>
          <w:sz w:val="24"/>
          <w:szCs w:val="24"/>
          <w:lang w:val="en-ZA" w:eastAsia="en-ZA"/>
        </w:rPr>
        <w:t>bona fides</w:t>
      </w:r>
      <w:r w:rsidRPr="00481243">
        <w:rPr>
          <w:rFonts w:ascii="Arial" w:hAnsi="Arial"/>
          <w:color w:val="000000" w:themeColor="text1"/>
          <w:sz w:val="24"/>
          <w:szCs w:val="24"/>
          <w:lang w:val="en-ZA" w:eastAsia="en-ZA"/>
        </w:rPr>
        <w:t xml:space="preserve"> of the application as a factor for condonation. </w:t>
      </w:r>
    </w:p>
    <w:p w:rsidR="00702D7A" w:rsidRPr="00481243" w:rsidRDefault="00702D7A" w:rsidP="00702D7A">
      <w:pPr>
        <w:pStyle w:val="ListParagraph"/>
        <w:spacing w:after="0" w:line="480" w:lineRule="auto"/>
        <w:ind w:left="0"/>
        <w:jc w:val="both"/>
        <w:rPr>
          <w:rFonts w:ascii="Arial" w:hAnsi="Arial"/>
          <w:color w:val="000000" w:themeColor="text1"/>
          <w:sz w:val="24"/>
          <w:szCs w:val="24"/>
          <w:lang w:val="en-ZA" w:eastAsia="en-ZA"/>
        </w:rPr>
      </w:pPr>
    </w:p>
    <w:p w:rsidR="00702D7A" w:rsidRPr="00481243" w:rsidRDefault="00702D7A" w:rsidP="00702D7A">
      <w:pPr>
        <w:pStyle w:val="ListParagraph"/>
        <w:numPr>
          <w:ilvl w:val="0"/>
          <w:numId w:val="46"/>
        </w:numPr>
        <w:spacing w:after="0" w:line="480" w:lineRule="auto"/>
        <w:ind w:left="0" w:firstLine="0"/>
        <w:jc w:val="both"/>
        <w:rPr>
          <w:rFonts w:ascii="Arial" w:hAnsi="Arial"/>
          <w:color w:val="000000" w:themeColor="text1"/>
          <w:sz w:val="24"/>
          <w:szCs w:val="24"/>
          <w:lang w:val="en-ZA" w:eastAsia="en-ZA"/>
        </w:rPr>
      </w:pPr>
      <w:r w:rsidRPr="00481243">
        <w:rPr>
          <w:rFonts w:ascii="Arial" w:hAnsi="Arial"/>
          <w:color w:val="000000" w:themeColor="text1"/>
          <w:sz w:val="24"/>
          <w:szCs w:val="24"/>
          <w:lang w:val="en-ZA" w:eastAsia="en-ZA"/>
        </w:rPr>
        <w:t xml:space="preserve">The error of the </w:t>
      </w:r>
      <w:r w:rsidR="00612E72" w:rsidRPr="00481243">
        <w:rPr>
          <w:rFonts w:ascii="Arial" w:hAnsi="Arial"/>
          <w:color w:val="000000" w:themeColor="text1"/>
          <w:sz w:val="24"/>
          <w:szCs w:val="24"/>
          <w:lang w:val="en-ZA" w:eastAsia="en-ZA"/>
        </w:rPr>
        <w:t>appellant</w:t>
      </w:r>
      <w:r w:rsidRPr="00481243">
        <w:rPr>
          <w:rFonts w:ascii="Arial" w:hAnsi="Arial"/>
          <w:color w:val="000000" w:themeColor="text1"/>
          <w:sz w:val="24"/>
          <w:szCs w:val="24"/>
          <w:lang w:val="en-ZA" w:eastAsia="en-ZA"/>
        </w:rPr>
        <w:t>’s legal representative a</w:t>
      </w:r>
      <w:r w:rsidR="00433BA2" w:rsidRPr="00481243">
        <w:rPr>
          <w:rFonts w:ascii="Arial" w:hAnsi="Arial"/>
          <w:color w:val="000000" w:themeColor="text1"/>
          <w:sz w:val="24"/>
          <w:szCs w:val="24"/>
          <w:lang w:val="en-ZA" w:eastAsia="en-ZA"/>
        </w:rPr>
        <w:t xml:space="preserve">nd the explanation thereof was </w:t>
      </w:r>
      <w:r w:rsidRPr="00481243">
        <w:rPr>
          <w:rFonts w:ascii="Arial" w:hAnsi="Arial"/>
          <w:color w:val="000000" w:themeColor="text1"/>
          <w:sz w:val="24"/>
          <w:szCs w:val="24"/>
          <w:lang w:val="en-ZA" w:eastAsia="en-ZA"/>
        </w:rPr>
        <w:t xml:space="preserve">not </w:t>
      </w:r>
      <w:r w:rsidRPr="00481243">
        <w:rPr>
          <w:rFonts w:ascii="Arial" w:hAnsi="Arial"/>
          <w:color w:val="000000" w:themeColor="text1"/>
          <w:sz w:val="24"/>
          <w:szCs w:val="24"/>
          <w:lang w:val="en-ZA"/>
        </w:rPr>
        <w:t>acceptable.</w:t>
      </w:r>
      <w:r w:rsidRPr="00481243">
        <w:rPr>
          <w:rFonts w:ascii="Arial" w:hAnsi="Arial"/>
          <w:color w:val="000000" w:themeColor="text1"/>
          <w:vertAlign w:val="superscript"/>
          <w:lang w:val="en-ZA" w:eastAsia="en-ZA"/>
        </w:rPr>
        <w:footnoteReference w:id="10"/>
      </w:r>
      <w:r w:rsidRPr="00481243">
        <w:rPr>
          <w:rFonts w:ascii="Arial" w:hAnsi="Arial"/>
          <w:color w:val="000000" w:themeColor="text1"/>
          <w:sz w:val="24"/>
          <w:szCs w:val="24"/>
          <w:lang w:val="en-ZA" w:eastAsia="en-ZA"/>
        </w:rPr>
        <w:t xml:space="preserve"> </w:t>
      </w:r>
      <w:r w:rsidRPr="00481243">
        <w:rPr>
          <w:rFonts w:ascii="Arial" w:hAnsi="Arial"/>
          <w:color w:val="000000" w:themeColor="text1"/>
          <w:sz w:val="24"/>
          <w:szCs w:val="24"/>
          <w:lang w:val="en-ZA"/>
        </w:rPr>
        <w:t>A l</w:t>
      </w:r>
      <w:r w:rsidRPr="00481243">
        <w:rPr>
          <w:rFonts w:ascii="Arial" w:hAnsi="Arial"/>
          <w:color w:val="000000" w:themeColor="text1"/>
          <w:sz w:val="24"/>
          <w:szCs w:val="24"/>
          <w:lang w:val="en-ZA" w:eastAsia="en-ZA"/>
        </w:rPr>
        <w:t xml:space="preserve">egal representative </w:t>
      </w:r>
      <w:r w:rsidRPr="00481243">
        <w:rPr>
          <w:rFonts w:ascii="Arial" w:hAnsi="Arial"/>
          <w:color w:val="000000" w:themeColor="text1"/>
          <w:sz w:val="24"/>
          <w:szCs w:val="24"/>
          <w:lang w:val="en-ZA"/>
        </w:rPr>
        <w:t xml:space="preserve">acts on behalf of a client and is expected to do so with due diligence and </w:t>
      </w:r>
      <w:r w:rsidRPr="00481243">
        <w:rPr>
          <w:rFonts w:ascii="Arial" w:hAnsi="Arial"/>
          <w:color w:val="000000" w:themeColor="text1"/>
          <w:sz w:val="24"/>
          <w:szCs w:val="24"/>
          <w:lang w:val="en-ZA" w:eastAsia="en-ZA"/>
        </w:rPr>
        <w:t>be conversant and updated with the rules of the court before which they are imminently due to appear. Confusing the previous Supreme Court Rule with the new one points to the fact that the legal representative was aware of the existence of a new rule. At the time when the inquiry about the time periods of the submission of the bundle of authorities was to be filed was made, there was still sufficient time to confirm the particular time periods and avoid the error. The bundle of authorities were already in the process of being prepared and could easily have been submitted together with the heads of argument.</w:t>
      </w:r>
    </w:p>
    <w:p w:rsidR="00702D7A" w:rsidRPr="00481243" w:rsidRDefault="00702D7A" w:rsidP="004C7C59">
      <w:pPr>
        <w:pStyle w:val="ListParagraph"/>
        <w:numPr>
          <w:ilvl w:val="0"/>
          <w:numId w:val="46"/>
        </w:numPr>
        <w:spacing w:after="0" w:line="480" w:lineRule="auto"/>
        <w:ind w:left="0" w:firstLine="0"/>
        <w:jc w:val="both"/>
        <w:rPr>
          <w:rFonts w:ascii="Arial" w:hAnsi="Arial"/>
          <w:color w:val="000000" w:themeColor="text1"/>
          <w:sz w:val="24"/>
          <w:szCs w:val="24"/>
          <w:lang w:val="en-ZA" w:eastAsia="en-ZA"/>
        </w:rPr>
      </w:pPr>
      <w:r w:rsidRPr="00481243">
        <w:rPr>
          <w:rFonts w:ascii="Arial" w:hAnsi="Arial"/>
          <w:color w:val="000000" w:themeColor="text1"/>
          <w:sz w:val="24"/>
          <w:szCs w:val="24"/>
          <w:lang w:val="en-ZA" w:eastAsia="en-ZA"/>
        </w:rPr>
        <w:lastRenderedPageBreak/>
        <w:t>Nevertheless, as soon as the legal representative realized her error on 11 March 2019, she treated the matter with utmost urgency. She immediately finalized the preparation of the bundle of authorities and on the same day submitted it together with an application for condonation for the late filing of the bundle of authorities and for failure to submit it toge</w:t>
      </w:r>
      <w:r w:rsidR="004031E3" w:rsidRPr="00481243">
        <w:rPr>
          <w:rFonts w:ascii="Arial" w:hAnsi="Arial"/>
          <w:color w:val="000000" w:themeColor="text1"/>
          <w:sz w:val="24"/>
          <w:szCs w:val="24"/>
          <w:lang w:val="en-ZA" w:eastAsia="en-ZA"/>
        </w:rPr>
        <w:t>ther with the heads of argument</w:t>
      </w:r>
      <w:r w:rsidRPr="00481243">
        <w:rPr>
          <w:rFonts w:ascii="Arial" w:hAnsi="Arial"/>
          <w:color w:val="000000" w:themeColor="text1"/>
          <w:sz w:val="24"/>
          <w:szCs w:val="24"/>
          <w:lang w:val="en-ZA" w:eastAsia="en-ZA"/>
        </w:rPr>
        <w:t>. Although these were submitted only three days prior to the hearing of the appeal in this court instead of the prescribed 21 days,</w:t>
      </w:r>
      <w:r w:rsidRPr="00481243">
        <w:rPr>
          <w:rFonts w:ascii="Arial" w:hAnsi="Arial"/>
          <w:color w:val="000000" w:themeColor="text1"/>
          <w:vertAlign w:val="superscript"/>
          <w:lang w:val="en-ZA" w:eastAsia="en-ZA"/>
        </w:rPr>
        <w:footnoteReference w:id="11"/>
      </w:r>
      <w:r w:rsidRPr="00481243">
        <w:rPr>
          <w:rFonts w:ascii="Arial" w:hAnsi="Arial"/>
          <w:color w:val="000000" w:themeColor="text1"/>
          <w:sz w:val="24"/>
          <w:szCs w:val="24"/>
          <w:lang w:val="en-ZA" w:eastAsia="en-ZA"/>
        </w:rPr>
        <w:t xml:space="preserve"> much effort was </w:t>
      </w:r>
      <w:r w:rsidRPr="00481243">
        <w:rPr>
          <w:rFonts w:ascii="Arial" w:hAnsi="Arial"/>
          <w:color w:val="000000" w:themeColor="text1"/>
          <w:sz w:val="24"/>
          <w:szCs w:val="24"/>
          <w:lang w:val="en-ZA"/>
        </w:rPr>
        <w:t xml:space="preserve">however </w:t>
      </w:r>
      <w:r w:rsidRPr="00481243">
        <w:rPr>
          <w:rFonts w:ascii="Arial" w:hAnsi="Arial"/>
          <w:color w:val="000000" w:themeColor="text1"/>
          <w:sz w:val="24"/>
          <w:szCs w:val="24"/>
          <w:lang w:val="en-ZA" w:eastAsia="en-ZA"/>
        </w:rPr>
        <w:t>made</w:t>
      </w:r>
      <w:r w:rsidRPr="00481243">
        <w:rPr>
          <w:rFonts w:ascii="Arial" w:hAnsi="Arial"/>
          <w:color w:val="000000" w:themeColor="text1"/>
          <w:sz w:val="24"/>
          <w:szCs w:val="24"/>
          <w:lang w:val="en-ZA"/>
        </w:rPr>
        <w:t xml:space="preserve">, </w:t>
      </w:r>
      <w:r w:rsidRPr="00481243">
        <w:rPr>
          <w:rFonts w:ascii="Arial" w:hAnsi="Arial"/>
          <w:color w:val="000000" w:themeColor="text1"/>
          <w:sz w:val="24"/>
          <w:szCs w:val="24"/>
          <w:lang w:val="en-ZA" w:eastAsia="en-ZA"/>
        </w:rPr>
        <w:t>preparing the documents for immediate lodging</w:t>
      </w:r>
      <w:r w:rsidR="007C77A1" w:rsidRPr="00481243">
        <w:rPr>
          <w:rFonts w:ascii="Arial" w:hAnsi="Arial"/>
          <w:color w:val="000000" w:themeColor="text1"/>
          <w:sz w:val="24"/>
          <w:szCs w:val="24"/>
          <w:lang w:val="en-ZA" w:eastAsia="en-ZA"/>
        </w:rPr>
        <w:t>,</w:t>
      </w:r>
      <w:r w:rsidRPr="00481243">
        <w:rPr>
          <w:rFonts w:ascii="Arial" w:hAnsi="Arial"/>
          <w:color w:val="000000" w:themeColor="text1"/>
          <w:sz w:val="24"/>
          <w:szCs w:val="24"/>
          <w:lang w:val="en-ZA" w:eastAsia="en-ZA"/>
        </w:rPr>
        <w:t xml:space="preserve"> thus avoiding further delay</w:t>
      </w:r>
      <w:r w:rsidRPr="00481243">
        <w:rPr>
          <w:rFonts w:ascii="Arial" w:hAnsi="Arial"/>
          <w:color w:val="000000" w:themeColor="text1"/>
          <w:vertAlign w:val="superscript"/>
          <w:lang w:val="en-ZA" w:eastAsia="en-ZA"/>
        </w:rPr>
        <w:footnoteReference w:id="12"/>
      </w:r>
      <w:r w:rsidRPr="00481243">
        <w:rPr>
          <w:rFonts w:ascii="Arial" w:hAnsi="Arial"/>
          <w:color w:val="000000" w:themeColor="text1"/>
          <w:sz w:val="24"/>
          <w:szCs w:val="24"/>
          <w:lang w:val="en-ZA" w:eastAsia="en-ZA"/>
        </w:rPr>
        <w:t xml:space="preserve"> and further inconvenien</w:t>
      </w:r>
      <w:r w:rsidRPr="00481243">
        <w:rPr>
          <w:rFonts w:ascii="Arial" w:hAnsi="Arial"/>
          <w:color w:val="000000" w:themeColor="text1"/>
          <w:sz w:val="24"/>
          <w:szCs w:val="24"/>
          <w:lang w:val="en-ZA"/>
        </w:rPr>
        <w:t>ce to</w:t>
      </w:r>
      <w:r w:rsidRPr="00481243">
        <w:rPr>
          <w:rFonts w:ascii="Arial" w:hAnsi="Arial"/>
          <w:color w:val="000000" w:themeColor="text1"/>
          <w:sz w:val="24"/>
          <w:szCs w:val="24"/>
          <w:lang w:val="en-ZA" w:eastAsia="en-ZA"/>
        </w:rPr>
        <w:t xml:space="preserve"> this court </w:t>
      </w:r>
      <w:r w:rsidRPr="00481243">
        <w:rPr>
          <w:rFonts w:ascii="Arial" w:hAnsi="Arial"/>
          <w:color w:val="000000" w:themeColor="text1"/>
          <w:sz w:val="24"/>
          <w:szCs w:val="24"/>
          <w:lang w:val="en-ZA"/>
        </w:rPr>
        <w:t xml:space="preserve">in preparing for the hearing </w:t>
      </w:r>
      <w:r w:rsidRPr="00481243">
        <w:rPr>
          <w:rFonts w:ascii="Arial" w:hAnsi="Arial"/>
          <w:color w:val="000000" w:themeColor="text1"/>
          <w:sz w:val="24"/>
          <w:szCs w:val="24"/>
          <w:lang w:val="en-ZA" w:eastAsia="en-ZA"/>
        </w:rPr>
        <w:t>by their failure to</w:t>
      </w:r>
      <w:r w:rsidRPr="00481243">
        <w:rPr>
          <w:rFonts w:ascii="Arial" w:hAnsi="Arial"/>
          <w:color w:val="000000" w:themeColor="text1"/>
          <w:sz w:val="24"/>
          <w:szCs w:val="24"/>
          <w:lang w:val="en-ZA"/>
        </w:rPr>
        <w:t xml:space="preserve"> timeously</w:t>
      </w:r>
      <w:r w:rsidRPr="00481243">
        <w:rPr>
          <w:rFonts w:ascii="Arial" w:hAnsi="Arial"/>
          <w:color w:val="000000" w:themeColor="text1"/>
          <w:sz w:val="24"/>
          <w:szCs w:val="24"/>
          <w:lang w:val="en-ZA" w:eastAsia="en-ZA"/>
        </w:rPr>
        <w:t xml:space="preserve"> l</w:t>
      </w:r>
      <w:r w:rsidR="00F84857" w:rsidRPr="00481243">
        <w:rPr>
          <w:rFonts w:ascii="Arial" w:hAnsi="Arial"/>
          <w:color w:val="000000" w:themeColor="text1"/>
          <w:sz w:val="24"/>
          <w:szCs w:val="24"/>
          <w:lang w:val="en-ZA" w:eastAsia="en-ZA"/>
        </w:rPr>
        <w:t xml:space="preserve">odge the bundle of authorities </w:t>
      </w:r>
      <w:r w:rsidRPr="00481243">
        <w:rPr>
          <w:rFonts w:ascii="Arial" w:hAnsi="Arial"/>
          <w:color w:val="000000" w:themeColor="text1"/>
          <w:sz w:val="24"/>
          <w:szCs w:val="24"/>
          <w:lang w:val="en-ZA"/>
        </w:rPr>
        <w:t xml:space="preserve">together with </w:t>
      </w:r>
      <w:r w:rsidRPr="00481243">
        <w:rPr>
          <w:rFonts w:ascii="Arial" w:hAnsi="Arial"/>
          <w:color w:val="000000" w:themeColor="text1"/>
          <w:sz w:val="24"/>
          <w:szCs w:val="24"/>
          <w:lang w:val="en-ZA" w:eastAsia="en-ZA"/>
        </w:rPr>
        <w:t>the</w:t>
      </w:r>
      <w:r w:rsidRPr="00481243">
        <w:rPr>
          <w:rFonts w:ascii="Arial" w:hAnsi="Arial"/>
          <w:color w:val="000000" w:themeColor="text1"/>
          <w:sz w:val="24"/>
          <w:szCs w:val="24"/>
          <w:lang w:val="en-ZA"/>
        </w:rPr>
        <w:t xml:space="preserve">ir </w:t>
      </w:r>
      <w:r w:rsidRPr="00481243">
        <w:rPr>
          <w:rFonts w:ascii="Arial" w:hAnsi="Arial"/>
          <w:color w:val="000000" w:themeColor="text1"/>
          <w:sz w:val="24"/>
          <w:szCs w:val="24"/>
          <w:lang w:val="en-ZA" w:eastAsia="en-ZA"/>
        </w:rPr>
        <w:t>heads of argument. The urgency with which the legal representative treated the con</w:t>
      </w:r>
      <w:r w:rsidR="00A07233" w:rsidRPr="00481243">
        <w:rPr>
          <w:rFonts w:ascii="Arial" w:hAnsi="Arial"/>
          <w:color w:val="000000" w:themeColor="text1"/>
          <w:sz w:val="24"/>
          <w:szCs w:val="24"/>
          <w:lang w:val="en-ZA" w:eastAsia="en-ZA"/>
        </w:rPr>
        <w:t>donation application in our</w:t>
      </w:r>
      <w:r w:rsidR="009A2652" w:rsidRPr="00481243">
        <w:rPr>
          <w:rFonts w:ascii="Arial" w:hAnsi="Arial"/>
          <w:color w:val="000000" w:themeColor="text1"/>
          <w:sz w:val="24"/>
          <w:szCs w:val="24"/>
          <w:lang w:val="en-ZA" w:eastAsia="en-ZA"/>
        </w:rPr>
        <w:t xml:space="preserve"> view, </w:t>
      </w:r>
      <w:r w:rsidRPr="00481243">
        <w:rPr>
          <w:rFonts w:ascii="Arial" w:hAnsi="Arial"/>
          <w:color w:val="000000" w:themeColor="text1"/>
          <w:sz w:val="24"/>
          <w:szCs w:val="24"/>
          <w:lang w:val="en-ZA" w:eastAsia="en-ZA"/>
        </w:rPr>
        <w:t xml:space="preserve">mitigates the negligence of her error and the </w:t>
      </w:r>
      <w:r w:rsidRPr="00481243">
        <w:rPr>
          <w:rFonts w:ascii="Arial" w:hAnsi="Arial"/>
          <w:color w:val="000000" w:themeColor="text1"/>
          <w:sz w:val="24"/>
          <w:szCs w:val="24"/>
          <w:lang w:val="en-ZA"/>
        </w:rPr>
        <w:t xml:space="preserve">inconvenience to this court. </w:t>
      </w:r>
    </w:p>
    <w:p w:rsidR="0033730D" w:rsidRPr="00481243" w:rsidRDefault="0033730D" w:rsidP="0033730D">
      <w:pPr>
        <w:pStyle w:val="ListParagraph"/>
        <w:spacing w:after="0" w:line="480" w:lineRule="auto"/>
        <w:ind w:left="0"/>
        <w:jc w:val="both"/>
        <w:rPr>
          <w:rFonts w:ascii="Arial" w:hAnsi="Arial"/>
          <w:color w:val="000000" w:themeColor="text1"/>
          <w:sz w:val="24"/>
          <w:szCs w:val="24"/>
          <w:lang w:val="en-ZA" w:eastAsia="en-ZA"/>
        </w:rPr>
      </w:pPr>
    </w:p>
    <w:p w:rsidR="00702D7A" w:rsidRPr="00481243" w:rsidRDefault="00702D7A" w:rsidP="005F4236">
      <w:pPr>
        <w:pStyle w:val="ListParagraph"/>
        <w:numPr>
          <w:ilvl w:val="0"/>
          <w:numId w:val="46"/>
        </w:numPr>
        <w:spacing w:after="0" w:line="480" w:lineRule="auto"/>
        <w:ind w:left="0" w:firstLine="0"/>
        <w:jc w:val="both"/>
        <w:rPr>
          <w:rFonts w:ascii="Arial" w:hAnsi="Arial"/>
          <w:color w:val="000000" w:themeColor="text1"/>
          <w:sz w:val="24"/>
          <w:szCs w:val="24"/>
          <w:lang w:val="en-ZA" w:eastAsia="en-ZA"/>
        </w:rPr>
      </w:pPr>
      <w:r w:rsidRPr="00481243">
        <w:rPr>
          <w:rFonts w:ascii="Arial" w:hAnsi="Arial"/>
          <w:color w:val="000000" w:themeColor="text1"/>
          <w:sz w:val="24"/>
          <w:szCs w:val="24"/>
          <w:lang w:val="en-ZA" w:eastAsia="en-ZA"/>
        </w:rPr>
        <w:t xml:space="preserve">The </w:t>
      </w:r>
      <w:r w:rsidRPr="00481243">
        <w:rPr>
          <w:rFonts w:ascii="Arial" w:hAnsi="Arial"/>
          <w:i/>
          <w:color w:val="000000" w:themeColor="text1"/>
          <w:sz w:val="24"/>
          <w:szCs w:val="24"/>
          <w:lang w:val="en-ZA" w:eastAsia="en-ZA"/>
        </w:rPr>
        <w:t>bona fides</w:t>
      </w:r>
      <w:r w:rsidRPr="00481243">
        <w:rPr>
          <w:rFonts w:ascii="Arial" w:hAnsi="Arial"/>
          <w:color w:val="000000" w:themeColor="text1"/>
          <w:sz w:val="24"/>
          <w:szCs w:val="24"/>
          <w:lang w:val="en-ZA" w:eastAsia="en-ZA"/>
        </w:rPr>
        <w:t xml:space="preserve"> of the </w:t>
      </w:r>
      <w:r w:rsidR="00612E72" w:rsidRPr="00481243">
        <w:rPr>
          <w:rFonts w:ascii="Arial" w:hAnsi="Arial"/>
          <w:color w:val="000000" w:themeColor="text1"/>
          <w:sz w:val="24"/>
          <w:szCs w:val="24"/>
          <w:lang w:val="en-ZA" w:eastAsia="en-ZA"/>
        </w:rPr>
        <w:t>appellant</w:t>
      </w:r>
      <w:r w:rsidRPr="00481243">
        <w:rPr>
          <w:rFonts w:ascii="Arial" w:hAnsi="Arial"/>
          <w:color w:val="000000" w:themeColor="text1"/>
          <w:sz w:val="24"/>
          <w:szCs w:val="24"/>
          <w:lang w:val="en-ZA" w:eastAsia="en-ZA"/>
        </w:rPr>
        <w:t>’s legal representative in bringing this appeal is not in doubt. The urgent efforts she made points to the seriousness of her purpose. The variety of authorities provided in the bundle indeed demonstrates the cogency of the arguments she was preparing herself to advance in the main case, showing the importance with which she regards the issues at stake.</w:t>
      </w:r>
      <w:r w:rsidRPr="00481243">
        <w:rPr>
          <w:rFonts w:ascii="Arial" w:hAnsi="Arial"/>
          <w:color w:val="000000" w:themeColor="text1"/>
          <w:vertAlign w:val="superscript"/>
          <w:lang w:val="en-ZA" w:eastAsia="en-ZA"/>
        </w:rPr>
        <w:footnoteReference w:id="13"/>
      </w:r>
      <w:r w:rsidRPr="00481243">
        <w:rPr>
          <w:rFonts w:ascii="Arial" w:hAnsi="Arial"/>
          <w:color w:val="000000" w:themeColor="text1"/>
          <w:sz w:val="24"/>
          <w:szCs w:val="24"/>
          <w:lang w:val="en-ZA" w:eastAsia="en-ZA"/>
        </w:rPr>
        <w:t xml:space="preserve"> </w:t>
      </w:r>
      <w:r w:rsidRPr="00481243">
        <w:rPr>
          <w:rFonts w:ascii="Arial" w:hAnsi="Arial"/>
          <w:color w:val="000000" w:themeColor="text1"/>
          <w:sz w:val="24"/>
          <w:szCs w:val="24"/>
          <w:lang w:val="en-ZA" w:eastAsia="en-ZA"/>
        </w:rPr>
        <w:br/>
        <w:t xml:space="preserve">In the </w:t>
      </w:r>
      <w:r w:rsidRPr="00481243">
        <w:rPr>
          <w:rFonts w:ascii="Arial" w:hAnsi="Arial"/>
          <w:i/>
          <w:color w:val="000000" w:themeColor="text1"/>
          <w:sz w:val="24"/>
          <w:szCs w:val="24"/>
          <w:lang w:val="en-ZA" w:eastAsia="en-ZA"/>
        </w:rPr>
        <w:t>Amakali Matheus</w:t>
      </w:r>
      <w:r w:rsidRPr="00481243">
        <w:rPr>
          <w:rFonts w:ascii="Arial" w:hAnsi="Arial"/>
          <w:color w:val="000000" w:themeColor="text1"/>
          <w:sz w:val="24"/>
          <w:szCs w:val="24"/>
          <w:lang w:val="en-ZA" w:eastAsia="en-ZA"/>
        </w:rPr>
        <w:t xml:space="preserve"> matter cited above, this court having restated the established factors a court would take into account when considering a condonation application for non-compliance with the rules of court, took into account the prospects of success as an added factor. It held that a determination of the </w:t>
      </w:r>
      <w:r w:rsidRPr="00481243">
        <w:rPr>
          <w:rFonts w:ascii="Arial" w:hAnsi="Arial"/>
          <w:color w:val="000000" w:themeColor="text1"/>
          <w:sz w:val="24"/>
          <w:szCs w:val="24"/>
          <w:lang w:val="en-ZA" w:eastAsia="en-ZA"/>
        </w:rPr>
        <w:lastRenderedPageBreak/>
        <w:t>prospects of success in an application for condonation necessarily requires this court to revisit the circumstances that led to the High Court order. That simply points to the fact that should condonation be granted and the appeal i</w:t>
      </w:r>
      <w:r w:rsidRPr="00481243">
        <w:rPr>
          <w:rFonts w:ascii="Arial" w:hAnsi="Arial"/>
          <w:color w:val="000000" w:themeColor="text1"/>
          <w:sz w:val="24"/>
          <w:szCs w:val="24"/>
          <w:lang w:val="en-ZA"/>
        </w:rPr>
        <w:t>n regard to the inte</w:t>
      </w:r>
      <w:r w:rsidR="005F4236" w:rsidRPr="00481243">
        <w:rPr>
          <w:rFonts w:ascii="Arial" w:hAnsi="Arial"/>
          <w:color w:val="000000" w:themeColor="text1"/>
          <w:sz w:val="24"/>
          <w:szCs w:val="24"/>
          <w:lang w:val="en-ZA"/>
        </w:rPr>
        <w:t>rlocutory rule 65(1) question is</w:t>
      </w:r>
      <w:r w:rsidRPr="00481243">
        <w:rPr>
          <w:rFonts w:ascii="Arial" w:hAnsi="Arial"/>
          <w:color w:val="000000" w:themeColor="text1"/>
          <w:sz w:val="24"/>
          <w:szCs w:val="24"/>
          <w:lang w:val="en-ZA"/>
        </w:rPr>
        <w:t xml:space="preserve"> heard, </w:t>
      </w:r>
      <w:r w:rsidRPr="00481243">
        <w:rPr>
          <w:rFonts w:ascii="Arial" w:hAnsi="Arial"/>
          <w:color w:val="000000" w:themeColor="text1"/>
          <w:sz w:val="24"/>
          <w:szCs w:val="24"/>
          <w:lang w:val="en-ZA" w:eastAsia="en-ZA"/>
        </w:rPr>
        <w:t>there is a likelihood that this court w</w:t>
      </w:r>
      <w:r w:rsidRPr="00481243">
        <w:rPr>
          <w:rFonts w:ascii="Arial" w:hAnsi="Arial"/>
          <w:color w:val="000000" w:themeColor="text1"/>
          <w:sz w:val="24"/>
          <w:szCs w:val="24"/>
          <w:lang w:val="en-ZA"/>
        </w:rPr>
        <w:t>ill</w:t>
      </w:r>
      <w:r w:rsidRPr="00481243">
        <w:rPr>
          <w:rFonts w:ascii="Arial" w:hAnsi="Arial"/>
          <w:color w:val="000000" w:themeColor="text1"/>
          <w:sz w:val="24"/>
          <w:szCs w:val="24"/>
          <w:lang w:val="en-ZA" w:eastAsia="en-ZA"/>
        </w:rPr>
        <w:t xml:space="preserve"> reverse the decision of the High </w:t>
      </w:r>
      <w:r w:rsidRPr="00481243">
        <w:rPr>
          <w:rFonts w:ascii="Arial" w:hAnsi="Arial"/>
          <w:color w:val="000000" w:themeColor="text1"/>
          <w:sz w:val="24"/>
          <w:szCs w:val="24"/>
          <w:lang w:val="en-ZA"/>
        </w:rPr>
        <w:t>Court.</w:t>
      </w:r>
    </w:p>
    <w:p w:rsidR="00702D7A" w:rsidRPr="00481243" w:rsidRDefault="00702D7A" w:rsidP="00702D7A">
      <w:pPr>
        <w:pStyle w:val="ListParagraph"/>
        <w:spacing w:after="0" w:line="480" w:lineRule="auto"/>
        <w:ind w:left="0"/>
        <w:jc w:val="both"/>
        <w:rPr>
          <w:rFonts w:ascii="Arial" w:hAnsi="Arial"/>
          <w:color w:val="000000" w:themeColor="text1"/>
          <w:sz w:val="24"/>
          <w:szCs w:val="24"/>
          <w:lang w:val="en-ZA" w:eastAsia="en-ZA"/>
        </w:rPr>
      </w:pPr>
    </w:p>
    <w:p w:rsidR="00702D7A" w:rsidRPr="00481243" w:rsidRDefault="00702D7A" w:rsidP="005F4236">
      <w:pPr>
        <w:pStyle w:val="ListParagraph"/>
        <w:numPr>
          <w:ilvl w:val="0"/>
          <w:numId w:val="46"/>
        </w:numPr>
        <w:spacing w:after="0" w:line="480" w:lineRule="auto"/>
        <w:ind w:left="0" w:firstLine="0"/>
        <w:jc w:val="both"/>
        <w:rPr>
          <w:rFonts w:ascii="Arial" w:hAnsi="Arial"/>
          <w:color w:val="000000" w:themeColor="text1"/>
          <w:sz w:val="24"/>
          <w:szCs w:val="24"/>
          <w:lang w:val="en-ZA"/>
        </w:rPr>
      </w:pPr>
      <w:r w:rsidRPr="00481243">
        <w:rPr>
          <w:rFonts w:ascii="Arial" w:hAnsi="Arial"/>
          <w:color w:val="000000" w:themeColor="text1"/>
          <w:sz w:val="24"/>
          <w:szCs w:val="24"/>
          <w:lang w:val="en-ZA"/>
        </w:rPr>
        <w:t>In this case, it is the respondents’ submission as it was before the High Court, that the procedure provided for the forfeiture of property to the State in Chapter 6 of POCA is constituted by two separate and independent proceedings, each with its own cause or matter. For that reason, they contended, the rule 65(1) notice requirements must be fully complied with at the institution of each application proceedings.</w:t>
      </w:r>
    </w:p>
    <w:p w:rsidR="00702D7A" w:rsidRPr="00481243" w:rsidRDefault="00702D7A" w:rsidP="00702D7A">
      <w:pPr>
        <w:pStyle w:val="ListParagraph"/>
        <w:spacing w:after="0" w:line="480" w:lineRule="auto"/>
        <w:ind w:left="0"/>
        <w:jc w:val="both"/>
        <w:rPr>
          <w:rFonts w:ascii="Arial" w:hAnsi="Arial"/>
          <w:color w:val="000000" w:themeColor="text1"/>
          <w:sz w:val="24"/>
          <w:szCs w:val="24"/>
          <w:lang w:val="en-ZA" w:eastAsia="en-ZA"/>
        </w:rPr>
      </w:pPr>
    </w:p>
    <w:p w:rsidR="00702D7A" w:rsidRPr="00481243" w:rsidRDefault="00702D7A" w:rsidP="005F4236">
      <w:pPr>
        <w:pStyle w:val="ListParagraph"/>
        <w:numPr>
          <w:ilvl w:val="0"/>
          <w:numId w:val="46"/>
        </w:numPr>
        <w:spacing w:after="0" w:line="480" w:lineRule="auto"/>
        <w:ind w:left="0" w:firstLine="0"/>
        <w:jc w:val="both"/>
        <w:rPr>
          <w:rFonts w:ascii="Arial" w:hAnsi="Arial"/>
          <w:color w:val="000000" w:themeColor="text1"/>
          <w:sz w:val="24"/>
          <w:szCs w:val="24"/>
          <w:lang w:val="en-ZA" w:eastAsia="en-ZA"/>
        </w:rPr>
      </w:pPr>
      <w:r w:rsidRPr="00481243">
        <w:rPr>
          <w:rFonts w:ascii="Arial" w:hAnsi="Arial"/>
          <w:color w:val="000000" w:themeColor="text1"/>
          <w:sz w:val="24"/>
          <w:szCs w:val="24"/>
          <w:lang w:val="en-ZA"/>
        </w:rPr>
        <w:t>The appellant’s position that</w:t>
      </w:r>
      <w:r w:rsidRPr="00481243">
        <w:rPr>
          <w:rFonts w:ascii="Arial" w:hAnsi="Arial"/>
          <w:color w:val="000000" w:themeColor="text1"/>
          <w:sz w:val="24"/>
          <w:szCs w:val="24"/>
          <w:lang w:val="en-ZA" w:eastAsia="en-ZA"/>
        </w:rPr>
        <w:t xml:space="preserve"> the </w:t>
      </w:r>
      <w:r w:rsidRPr="00481243">
        <w:rPr>
          <w:rFonts w:ascii="Arial" w:hAnsi="Arial"/>
          <w:color w:val="000000" w:themeColor="text1"/>
          <w:sz w:val="24"/>
          <w:szCs w:val="24"/>
          <w:lang w:val="en-ZA"/>
        </w:rPr>
        <w:t xml:space="preserve">Chapter 6 forfeiture procedure is </w:t>
      </w:r>
      <w:r w:rsidRPr="00481243">
        <w:rPr>
          <w:rFonts w:ascii="Arial" w:hAnsi="Arial"/>
          <w:color w:val="000000" w:themeColor="text1"/>
          <w:sz w:val="24"/>
          <w:szCs w:val="24"/>
          <w:lang w:val="en-ZA" w:eastAsia="en-ZA"/>
        </w:rPr>
        <w:t>a</w:t>
      </w:r>
      <w:r w:rsidRPr="00481243">
        <w:rPr>
          <w:rFonts w:ascii="Arial" w:hAnsi="Arial"/>
          <w:color w:val="000000" w:themeColor="text1"/>
          <w:sz w:val="24"/>
          <w:szCs w:val="24"/>
          <w:lang w:val="en-ZA"/>
        </w:rPr>
        <w:t xml:space="preserve"> single, intertwined </w:t>
      </w:r>
      <w:r w:rsidRPr="00481243">
        <w:rPr>
          <w:rFonts w:ascii="Arial" w:hAnsi="Arial"/>
          <w:color w:val="000000" w:themeColor="text1"/>
          <w:sz w:val="24"/>
          <w:szCs w:val="24"/>
          <w:lang w:val="en-ZA" w:eastAsia="en-ZA"/>
        </w:rPr>
        <w:t>two-stage proce</w:t>
      </w:r>
      <w:r w:rsidRPr="00481243">
        <w:rPr>
          <w:rFonts w:ascii="Arial" w:hAnsi="Arial"/>
          <w:color w:val="000000" w:themeColor="text1"/>
          <w:sz w:val="24"/>
          <w:szCs w:val="24"/>
          <w:lang w:val="en-ZA"/>
        </w:rPr>
        <w:t xml:space="preserve">ss </w:t>
      </w:r>
      <w:r w:rsidRPr="00481243">
        <w:rPr>
          <w:rFonts w:ascii="Arial" w:hAnsi="Arial"/>
          <w:color w:val="000000" w:themeColor="text1"/>
          <w:sz w:val="24"/>
          <w:szCs w:val="24"/>
          <w:lang w:val="en-ZA" w:eastAsia="en-ZA"/>
        </w:rPr>
        <w:t>where the</w:t>
      </w:r>
      <w:r w:rsidRPr="00481243">
        <w:rPr>
          <w:rFonts w:ascii="Arial" w:hAnsi="Arial"/>
          <w:color w:val="000000" w:themeColor="text1"/>
          <w:sz w:val="24"/>
          <w:szCs w:val="24"/>
          <w:lang w:val="en-ZA"/>
        </w:rPr>
        <w:t xml:space="preserve"> application for a property preservation order is the first of the</w:t>
      </w:r>
      <w:r w:rsidRPr="00481243">
        <w:rPr>
          <w:rFonts w:ascii="Arial" w:hAnsi="Arial"/>
          <w:color w:val="000000" w:themeColor="text1"/>
          <w:sz w:val="24"/>
          <w:szCs w:val="24"/>
          <w:lang w:val="en-ZA" w:eastAsia="en-ZA"/>
        </w:rPr>
        <w:t xml:space="preserve"> two stages </w:t>
      </w:r>
      <w:r w:rsidRPr="00481243">
        <w:rPr>
          <w:rFonts w:ascii="Arial" w:hAnsi="Arial"/>
          <w:color w:val="000000" w:themeColor="text1"/>
          <w:sz w:val="24"/>
          <w:szCs w:val="24"/>
          <w:lang w:val="en-ZA"/>
        </w:rPr>
        <w:t>and the application for a forfeiture</w:t>
      </w:r>
      <w:r w:rsidR="00DC06A8" w:rsidRPr="00481243">
        <w:rPr>
          <w:rFonts w:ascii="Arial" w:hAnsi="Arial"/>
          <w:color w:val="000000" w:themeColor="text1"/>
          <w:sz w:val="24"/>
          <w:szCs w:val="24"/>
          <w:lang w:val="en-ZA"/>
        </w:rPr>
        <w:t xml:space="preserve"> order</w:t>
      </w:r>
      <w:r w:rsidRPr="00481243">
        <w:rPr>
          <w:rFonts w:ascii="Arial" w:hAnsi="Arial"/>
          <w:color w:val="000000" w:themeColor="text1"/>
          <w:sz w:val="24"/>
          <w:szCs w:val="24"/>
          <w:lang w:val="en-ZA"/>
        </w:rPr>
        <w:t xml:space="preserve"> of the preserved property is the second stage and the two procedures are not separate and independent of each other mirrors the interpretation adopted by this court in the POCA matters which have come before it</w:t>
      </w:r>
      <w:r w:rsidR="005F4236" w:rsidRPr="00481243">
        <w:rPr>
          <w:rFonts w:ascii="Arial" w:hAnsi="Arial"/>
          <w:color w:val="000000" w:themeColor="text1"/>
          <w:sz w:val="24"/>
          <w:szCs w:val="24"/>
          <w:lang w:val="en-ZA"/>
        </w:rPr>
        <w:t>.</w:t>
      </w:r>
      <w:r w:rsidR="005F4236" w:rsidRPr="00481243">
        <w:rPr>
          <w:rStyle w:val="FootnoteReference"/>
          <w:rFonts w:ascii="Arial" w:hAnsi="Arial"/>
          <w:color w:val="000000" w:themeColor="text1"/>
          <w:sz w:val="24"/>
          <w:szCs w:val="24"/>
          <w:lang w:val="en-ZA"/>
        </w:rPr>
        <w:footnoteReference w:id="14"/>
      </w:r>
      <w:r w:rsidR="0062101D" w:rsidRPr="00481243">
        <w:rPr>
          <w:rFonts w:ascii="Arial" w:hAnsi="Arial"/>
          <w:color w:val="000000" w:themeColor="text1"/>
          <w:sz w:val="24"/>
          <w:szCs w:val="24"/>
          <w:lang w:val="en-ZA"/>
        </w:rPr>
        <w:t xml:space="preserve">  </w:t>
      </w:r>
      <w:r w:rsidRPr="00481243">
        <w:rPr>
          <w:rFonts w:ascii="Arial" w:hAnsi="Arial"/>
          <w:color w:val="000000" w:themeColor="text1"/>
          <w:sz w:val="24"/>
          <w:szCs w:val="24"/>
          <w:lang w:val="en-ZA"/>
        </w:rPr>
        <w:t xml:space="preserve">Thus, the appellant’s interpretation that </w:t>
      </w:r>
      <w:r w:rsidRPr="00481243">
        <w:rPr>
          <w:rFonts w:ascii="Arial" w:hAnsi="Arial"/>
          <w:color w:val="000000" w:themeColor="text1"/>
          <w:sz w:val="24"/>
          <w:szCs w:val="24"/>
          <w:lang w:val="en-ZA" w:eastAsia="en-ZA"/>
        </w:rPr>
        <w:t xml:space="preserve">once a rule 65(1) notice had been </w:t>
      </w:r>
      <w:r w:rsidRPr="00481243">
        <w:rPr>
          <w:rFonts w:ascii="Arial" w:hAnsi="Arial"/>
          <w:color w:val="000000" w:themeColor="text1"/>
          <w:sz w:val="24"/>
          <w:szCs w:val="24"/>
          <w:lang w:val="en-ZA"/>
        </w:rPr>
        <w:t xml:space="preserve">duly </w:t>
      </w:r>
      <w:r w:rsidRPr="00481243">
        <w:rPr>
          <w:rFonts w:ascii="Arial" w:hAnsi="Arial"/>
          <w:color w:val="000000" w:themeColor="text1"/>
          <w:sz w:val="24"/>
          <w:szCs w:val="24"/>
          <w:lang w:val="en-ZA" w:eastAsia="en-ZA"/>
        </w:rPr>
        <w:t>served on the respondents in the first stage</w:t>
      </w:r>
      <w:r w:rsidRPr="00481243">
        <w:rPr>
          <w:rFonts w:ascii="Arial" w:hAnsi="Arial"/>
          <w:color w:val="000000" w:themeColor="text1"/>
          <w:sz w:val="24"/>
          <w:szCs w:val="24"/>
          <w:lang w:val="en-ZA"/>
        </w:rPr>
        <w:t xml:space="preserve">, makes it unnecessary to repeat that service in </w:t>
      </w:r>
      <w:r w:rsidRPr="00481243">
        <w:rPr>
          <w:rFonts w:ascii="Arial" w:hAnsi="Arial"/>
          <w:color w:val="000000" w:themeColor="text1"/>
          <w:sz w:val="24"/>
          <w:szCs w:val="24"/>
          <w:lang w:val="en-ZA" w:eastAsia="en-ZA"/>
        </w:rPr>
        <w:t>th</w:t>
      </w:r>
      <w:r w:rsidRPr="00481243">
        <w:rPr>
          <w:rFonts w:ascii="Arial" w:hAnsi="Arial"/>
          <w:color w:val="000000" w:themeColor="text1"/>
          <w:sz w:val="24"/>
          <w:szCs w:val="24"/>
          <w:lang w:val="en-ZA"/>
        </w:rPr>
        <w:t xml:space="preserve">e second stage, makes it likely that that interpretation will find support in this court’s interpretation of POCA and its developing jurisprudence. Therefore, there is in our view, reasonable prospects that </w:t>
      </w:r>
      <w:r w:rsidRPr="00481243">
        <w:rPr>
          <w:rFonts w:ascii="Arial" w:hAnsi="Arial"/>
          <w:color w:val="000000" w:themeColor="text1"/>
          <w:sz w:val="24"/>
          <w:szCs w:val="24"/>
          <w:lang w:val="en-ZA"/>
        </w:rPr>
        <w:lastRenderedPageBreak/>
        <w:t xml:space="preserve">this court will reverse the decision and order of the High Court, that the </w:t>
      </w:r>
      <w:r w:rsidRPr="00481243">
        <w:rPr>
          <w:rFonts w:ascii="Arial" w:hAnsi="Arial"/>
          <w:color w:val="000000" w:themeColor="text1"/>
          <w:sz w:val="24"/>
          <w:szCs w:val="24"/>
          <w:lang w:val="en-ZA" w:eastAsia="en-ZA"/>
        </w:rPr>
        <w:t>application for the forfeiture</w:t>
      </w:r>
      <w:r w:rsidR="00DC06A8" w:rsidRPr="00481243">
        <w:rPr>
          <w:rFonts w:ascii="Arial" w:hAnsi="Arial"/>
          <w:color w:val="000000" w:themeColor="text1"/>
          <w:sz w:val="24"/>
          <w:szCs w:val="24"/>
          <w:lang w:val="en-ZA" w:eastAsia="en-ZA"/>
        </w:rPr>
        <w:t xml:space="preserve"> order</w:t>
      </w:r>
      <w:r w:rsidRPr="00481243">
        <w:rPr>
          <w:rFonts w:ascii="Arial" w:hAnsi="Arial"/>
          <w:color w:val="000000" w:themeColor="text1"/>
          <w:sz w:val="24"/>
          <w:szCs w:val="24"/>
          <w:lang w:val="en-ZA" w:eastAsia="en-ZA"/>
        </w:rPr>
        <w:t xml:space="preserve"> of the properties</w:t>
      </w:r>
      <w:r w:rsidRPr="00481243">
        <w:rPr>
          <w:rFonts w:ascii="Arial" w:hAnsi="Arial"/>
          <w:color w:val="000000" w:themeColor="text1"/>
          <w:sz w:val="24"/>
          <w:szCs w:val="24"/>
          <w:lang w:val="en-ZA"/>
        </w:rPr>
        <w:t xml:space="preserve"> before it </w:t>
      </w:r>
      <w:r w:rsidRPr="00481243">
        <w:rPr>
          <w:rFonts w:ascii="Arial" w:hAnsi="Arial"/>
          <w:color w:val="000000" w:themeColor="text1"/>
          <w:sz w:val="24"/>
          <w:szCs w:val="24"/>
          <w:lang w:val="en-ZA" w:eastAsia="en-ZA"/>
        </w:rPr>
        <w:t xml:space="preserve">was </w:t>
      </w:r>
      <w:r w:rsidRPr="00481243">
        <w:rPr>
          <w:rFonts w:ascii="Arial" w:hAnsi="Arial"/>
          <w:color w:val="000000" w:themeColor="text1"/>
          <w:sz w:val="24"/>
          <w:szCs w:val="24"/>
          <w:lang w:val="en-ZA"/>
        </w:rPr>
        <w:t xml:space="preserve">non-compliant with rule 65(1) and therefore </w:t>
      </w:r>
      <w:r w:rsidRPr="00481243">
        <w:rPr>
          <w:rFonts w:ascii="Arial" w:hAnsi="Arial"/>
          <w:color w:val="000000" w:themeColor="text1"/>
          <w:sz w:val="24"/>
          <w:szCs w:val="24"/>
          <w:lang w:val="en-ZA" w:eastAsia="en-ZA"/>
        </w:rPr>
        <w:t>a</w:t>
      </w:r>
      <w:r w:rsidRPr="00481243">
        <w:rPr>
          <w:rFonts w:ascii="Arial" w:hAnsi="Arial"/>
          <w:color w:val="000000" w:themeColor="text1"/>
          <w:sz w:val="24"/>
          <w:szCs w:val="24"/>
          <w:lang w:val="en-ZA"/>
        </w:rPr>
        <w:t xml:space="preserve"> nullity. However, the prospects of success, like all the others, is but only one of the factors that may be taken into account in a condonation application. </w:t>
      </w:r>
    </w:p>
    <w:p w:rsidR="00702D7A" w:rsidRPr="00481243" w:rsidRDefault="00702D7A" w:rsidP="00702D7A">
      <w:pPr>
        <w:pStyle w:val="ListParagraph"/>
        <w:spacing w:after="0" w:line="480" w:lineRule="auto"/>
        <w:ind w:left="0"/>
        <w:jc w:val="both"/>
        <w:rPr>
          <w:rFonts w:ascii="Arial" w:hAnsi="Arial"/>
          <w:color w:val="000000" w:themeColor="text1"/>
          <w:sz w:val="24"/>
          <w:szCs w:val="24"/>
          <w:lang w:val="en-ZA" w:eastAsia="en-ZA"/>
        </w:rPr>
      </w:pPr>
    </w:p>
    <w:p w:rsidR="00702D7A" w:rsidRPr="00481243" w:rsidRDefault="00702D7A" w:rsidP="009043DA">
      <w:pPr>
        <w:pStyle w:val="ListParagraph"/>
        <w:numPr>
          <w:ilvl w:val="0"/>
          <w:numId w:val="46"/>
        </w:numPr>
        <w:spacing w:after="0" w:line="480" w:lineRule="auto"/>
        <w:ind w:left="0" w:firstLine="0"/>
        <w:jc w:val="both"/>
        <w:rPr>
          <w:rFonts w:ascii="Arial" w:hAnsi="Arial"/>
          <w:color w:val="000000" w:themeColor="text1"/>
          <w:sz w:val="24"/>
          <w:szCs w:val="24"/>
          <w:lang w:val="en-ZA" w:eastAsia="en-ZA"/>
        </w:rPr>
      </w:pPr>
      <w:r w:rsidRPr="00481243">
        <w:rPr>
          <w:rFonts w:ascii="Arial" w:hAnsi="Arial"/>
          <w:color w:val="000000" w:themeColor="text1"/>
          <w:sz w:val="24"/>
          <w:szCs w:val="24"/>
          <w:lang w:val="en-ZA" w:eastAsia="en-ZA"/>
        </w:rPr>
        <w:t xml:space="preserve">In </w:t>
      </w:r>
      <w:r w:rsidR="00C262EE" w:rsidRPr="00481243">
        <w:rPr>
          <w:rFonts w:ascii="Arial" w:hAnsi="Arial"/>
          <w:i/>
          <w:color w:val="000000" w:themeColor="text1"/>
          <w:sz w:val="24"/>
          <w:szCs w:val="24"/>
          <w:lang w:val="en-ZA" w:eastAsia="en-ZA"/>
        </w:rPr>
        <w:t>Felisb</w:t>
      </w:r>
      <w:r w:rsidRPr="00481243">
        <w:rPr>
          <w:rFonts w:ascii="Arial" w:hAnsi="Arial"/>
          <w:i/>
          <w:color w:val="000000" w:themeColor="text1"/>
          <w:sz w:val="24"/>
          <w:szCs w:val="24"/>
          <w:lang w:val="en-ZA" w:eastAsia="en-ZA"/>
        </w:rPr>
        <w:t>er</w:t>
      </w:r>
      <w:r w:rsidR="00C262EE" w:rsidRPr="00481243">
        <w:rPr>
          <w:rFonts w:ascii="Arial" w:hAnsi="Arial"/>
          <w:i/>
          <w:color w:val="000000" w:themeColor="text1"/>
          <w:sz w:val="24"/>
          <w:szCs w:val="24"/>
          <w:lang w:val="en-ZA" w:eastAsia="en-ZA"/>
        </w:rPr>
        <w:t>t</w:t>
      </w:r>
      <w:r w:rsidRPr="00481243">
        <w:rPr>
          <w:rFonts w:ascii="Arial" w:hAnsi="Arial"/>
          <w:i/>
          <w:color w:val="000000" w:themeColor="text1"/>
          <w:sz w:val="24"/>
          <w:szCs w:val="24"/>
          <w:lang w:val="en-ZA" w:eastAsia="en-ZA"/>
        </w:rPr>
        <w:t>o</w:t>
      </w:r>
      <w:r w:rsidRPr="00481243">
        <w:rPr>
          <w:rFonts w:ascii="Arial" w:hAnsi="Arial"/>
          <w:color w:val="000000" w:themeColor="text1"/>
          <w:sz w:val="24"/>
          <w:szCs w:val="24"/>
          <w:lang w:val="en-ZA" w:eastAsia="en-ZA"/>
        </w:rPr>
        <w:t xml:space="preserve">, the court </w:t>
      </w:r>
      <w:r w:rsidRPr="00481243">
        <w:rPr>
          <w:rFonts w:ascii="Arial" w:hAnsi="Arial"/>
          <w:color w:val="000000" w:themeColor="text1"/>
          <w:sz w:val="24"/>
          <w:szCs w:val="24"/>
          <w:lang w:val="en-ZA"/>
        </w:rPr>
        <w:t xml:space="preserve">found </w:t>
      </w:r>
      <w:r w:rsidRPr="00481243">
        <w:rPr>
          <w:rFonts w:ascii="Arial" w:hAnsi="Arial"/>
          <w:color w:val="000000" w:themeColor="text1"/>
          <w:sz w:val="24"/>
          <w:szCs w:val="24"/>
          <w:lang w:val="en-ZA" w:eastAsia="en-ZA"/>
        </w:rPr>
        <w:t>that</w:t>
      </w:r>
      <w:r w:rsidRPr="00481243">
        <w:rPr>
          <w:rFonts w:ascii="Arial" w:hAnsi="Arial"/>
          <w:color w:val="000000" w:themeColor="text1"/>
          <w:sz w:val="24"/>
          <w:szCs w:val="24"/>
          <w:lang w:val="en-ZA"/>
        </w:rPr>
        <w:t xml:space="preserve"> for</w:t>
      </w:r>
      <w:r w:rsidR="00B7307F" w:rsidRPr="00481243">
        <w:rPr>
          <w:rFonts w:ascii="Arial" w:hAnsi="Arial"/>
          <w:color w:val="000000" w:themeColor="text1"/>
          <w:sz w:val="24"/>
          <w:szCs w:val="24"/>
          <w:lang w:val="en-ZA" w:eastAsia="en-ZA"/>
        </w:rPr>
        <w:t xml:space="preserve"> a</w:t>
      </w:r>
      <w:r w:rsidRPr="00481243">
        <w:rPr>
          <w:rFonts w:ascii="Arial" w:hAnsi="Arial"/>
          <w:color w:val="000000" w:themeColor="text1"/>
          <w:sz w:val="24"/>
          <w:szCs w:val="24"/>
          <w:lang w:val="en-ZA" w:eastAsia="en-ZA"/>
        </w:rPr>
        <w:t xml:space="preserve"> condonation</w:t>
      </w:r>
      <w:r w:rsidR="00B7307F" w:rsidRPr="00481243">
        <w:rPr>
          <w:rFonts w:ascii="Arial" w:hAnsi="Arial"/>
          <w:color w:val="000000" w:themeColor="text1"/>
          <w:sz w:val="24"/>
          <w:szCs w:val="24"/>
          <w:lang w:val="en-ZA" w:eastAsia="en-ZA"/>
        </w:rPr>
        <w:t xml:space="preserve"> application</w:t>
      </w:r>
      <w:r w:rsidRPr="00481243">
        <w:rPr>
          <w:rFonts w:ascii="Arial" w:hAnsi="Arial"/>
          <w:color w:val="000000" w:themeColor="text1"/>
          <w:sz w:val="24"/>
          <w:szCs w:val="24"/>
          <w:lang w:val="en-ZA" w:eastAsia="en-ZA"/>
        </w:rPr>
        <w:t xml:space="preserve"> to be granted,</w:t>
      </w:r>
    </w:p>
    <w:p w:rsidR="00702D7A" w:rsidRPr="00481243" w:rsidRDefault="00702D7A" w:rsidP="009043DA">
      <w:pPr>
        <w:spacing w:after="0" w:line="480" w:lineRule="auto"/>
        <w:ind w:left="567"/>
        <w:jc w:val="both"/>
        <w:rPr>
          <w:rFonts w:ascii="Arial" w:hAnsi="Arial"/>
          <w:color w:val="000000" w:themeColor="text1"/>
          <w:sz w:val="24"/>
          <w:szCs w:val="24"/>
          <w:lang w:val="en-ZA" w:eastAsia="en-ZA"/>
        </w:rPr>
      </w:pPr>
    </w:p>
    <w:p w:rsidR="00702D7A" w:rsidRPr="00481243" w:rsidRDefault="00702D7A" w:rsidP="00702D7A">
      <w:pPr>
        <w:pStyle w:val="ListParagraph"/>
        <w:spacing w:after="0" w:line="360" w:lineRule="auto"/>
        <w:ind w:left="567"/>
        <w:jc w:val="both"/>
        <w:rPr>
          <w:rFonts w:ascii="Arial" w:hAnsi="Arial"/>
          <w:color w:val="000000" w:themeColor="text1"/>
          <w:lang w:val="en-ZA" w:eastAsia="en-ZA"/>
        </w:rPr>
      </w:pPr>
      <w:r w:rsidRPr="00481243">
        <w:rPr>
          <w:rFonts w:ascii="Arial" w:hAnsi="Arial"/>
          <w:color w:val="000000" w:themeColor="text1"/>
          <w:lang w:val="en-ZA" w:eastAsia="en-ZA"/>
        </w:rPr>
        <w:t>‘These factors [relevant in determining a condonation application] are not individually determinative, but must be weighed, one against the other, nor will all the factors necessarily be considered in one case.</w:t>
      </w:r>
    </w:p>
    <w:p w:rsidR="00702D7A" w:rsidRPr="00481243" w:rsidRDefault="00702D7A" w:rsidP="00702D7A">
      <w:pPr>
        <w:spacing w:after="0" w:line="360" w:lineRule="auto"/>
        <w:jc w:val="both"/>
        <w:rPr>
          <w:rFonts w:ascii="Arial" w:hAnsi="Arial"/>
          <w:color w:val="000000" w:themeColor="text1"/>
          <w:lang w:val="en-ZA" w:eastAsia="en-ZA"/>
        </w:rPr>
      </w:pPr>
    </w:p>
    <w:p w:rsidR="00702D7A" w:rsidRPr="00481243" w:rsidRDefault="00702D7A" w:rsidP="009043DA">
      <w:pPr>
        <w:pStyle w:val="ListParagraph"/>
        <w:spacing w:after="0" w:line="480" w:lineRule="auto"/>
        <w:ind w:left="567"/>
        <w:jc w:val="both"/>
        <w:rPr>
          <w:rFonts w:ascii="Arial" w:hAnsi="Arial"/>
          <w:color w:val="000000" w:themeColor="text1"/>
          <w:lang w:val="en-ZA" w:eastAsia="en-ZA"/>
        </w:rPr>
      </w:pPr>
      <w:r w:rsidRPr="00481243">
        <w:rPr>
          <w:rFonts w:ascii="Arial" w:hAnsi="Arial"/>
          <w:color w:val="000000" w:themeColor="text1"/>
          <w:lang w:val="en-ZA" w:eastAsia="en-ZA"/>
        </w:rPr>
        <w:t>A court may decline to consider prospects of success on the merits of the appeal where non-compliance with the rules have been glaring, flagrant and inexplicable.’</w:t>
      </w:r>
    </w:p>
    <w:p w:rsidR="00702D7A" w:rsidRPr="00481243" w:rsidRDefault="00702D7A" w:rsidP="009043DA">
      <w:pPr>
        <w:spacing w:after="0" w:line="480" w:lineRule="auto"/>
        <w:jc w:val="both"/>
        <w:rPr>
          <w:rFonts w:ascii="Arial" w:hAnsi="Arial"/>
          <w:color w:val="000000" w:themeColor="text1"/>
          <w:sz w:val="24"/>
          <w:szCs w:val="24"/>
          <w:lang w:val="en-ZA" w:eastAsia="en-ZA"/>
        </w:rPr>
      </w:pPr>
    </w:p>
    <w:p w:rsidR="00702D7A" w:rsidRPr="00481243" w:rsidRDefault="00702D7A" w:rsidP="009043DA">
      <w:pPr>
        <w:pStyle w:val="ListParagraph"/>
        <w:numPr>
          <w:ilvl w:val="0"/>
          <w:numId w:val="46"/>
        </w:numPr>
        <w:spacing w:after="0" w:line="480" w:lineRule="auto"/>
        <w:ind w:left="0" w:firstLine="0"/>
        <w:jc w:val="both"/>
        <w:rPr>
          <w:rFonts w:ascii="Arial" w:hAnsi="Arial"/>
          <w:color w:val="000000" w:themeColor="text1"/>
          <w:sz w:val="24"/>
          <w:szCs w:val="24"/>
          <w:lang w:val="en-ZA"/>
        </w:rPr>
      </w:pPr>
      <w:r w:rsidRPr="00481243">
        <w:rPr>
          <w:rFonts w:ascii="Arial" w:hAnsi="Arial"/>
          <w:color w:val="000000" w:themeColor="text1"/>
          <w:sz w:val="24"/>
          <w:szCs w:val="24"/>
          <w:lang w:val="en-ZA" w:eastAsia="en-ZA"/>
        </w:rPr>
        <w:t xml:space="preserve">In </w:t>
      </w:r>
      <w:r w:rsidRPr="00481243">
        <w:rPr>
          <w:rFonts w:ascii="Arial" w:hAnsi="Arial"/>
          <w:color w:val="000000" w:themeColor="text1"/>
          <w:sz w:val="24"/>
          <w:szCs w:val="24"/>
          <w:lang w:val="en-ZA"/>
        </w:rPr>
        <w:t xml:space="preserve">our </w:t>
      </w:r>
      <w:r w:rsidRPr="00481243">
        <w:rPr>
          <w:rFonts w:ascii="Arial" w:hAnsi="Arial"/>
          <w:color w:val="000000" w:themeColor="text1"/>
          <w:sz w:val="24"/>
          <w:szCs w:val="24"/>
          <w:lang w:val="en-ZA" w:eastAsia="en-ZA"/>
        </w:rPr>
        <w:t>view</w:t>
      </w:r>
      <w:r w:rsidRPr="00481243">
        <w:rPr>
          <w:rFonts w:ascii="Arial" w:hAnsi="Arial"/>
          <w:color w:val="000000" w:themeColor="text1"/>
          <w:sz w:val="24"/>
          <w:szCs w:val="24"/>
          <w:lang w:val="en-ZA"/>
        </w:rPr>
        <w:t xml:space="preserve"> and for the above reasons,</w:t>
      </w:r>
      <w:r w:rsidRPr="00481243">
        <w:rPr>
          <w:rFonts w:ascii="Arial" w:hAnsi="Arial"/>
          <w:color w:val="000000" w:themeColor="text1"/>
          <w:sz w:val="24"/>
          <w:szCs w:val="24"/>
          <w:lang w:val="en-ZA" w:eastAsia="en-ZA"/>
        </w:rPr>
        <w:t xml:space="preserve"> the </w:t>
      </w:r>
      <w:r w:rsidRPr="00481243">
        <w:rPr>
          <w:rFonts w:ascii="Arial" w:hAnsi="Arial"/>
          <w:color w:val="000000" w:themeColor="text1"/>
          <w:sz w:val="24"/>
          <w:szCs w:val="24"/>
          <w:lang w:val="en-ZA"/>
        </w:rPr>
        <w:t>appellant</w:t>
      </w:r>
      <w:r w:rsidR="000C6921" w:rsidRPr="00481243">
        <w:rPr>
          <w:rFonts w:ascii="Arial" w:hAnsi="Arial"/>
          <w:color w:val="000000" w:themeColor="text1"/>
          <w:sz w:val="24"/>
          <w:szCs w:val="24"/>
          <w:lang w:val="en-ZA"/>
        </w:rPr>
        <w:t>’</w:t>
      </w:r>
      <w:r w:rsidRPr="00481243">
        <w:rPr>
          <w:rFonts w:ascii="Arial" w:hAnsi="Arial"/>
          <w:color w:val="000000" w:themeColor="text1"/>
          <w:sz w:val="24"/>
          <w:szCs w:val="24"/>
          <w:lang w:val="en-ZA"/>
        </w:rPr>
        <w:t>s non-compliance with the rules has not been found to be glaring and flagrant. Nor has it been found to be inexplicable, making the prospects of success a factor to be taken into account in determining whether condonation may be granted in this case. In our view, as shown above, the appellant has met</w:t>
      </w:r>
      <w:r w:rsidRPr="00481243">
        <w:rPr>
          <w:rFonts w:ascii="Arial" w:hAnsi="Arial"/>
          <w:color w:val="000000" w:themeColor="text1"/>
          <w:sz w:val="24"/>
          <w:szCs w:val="24"/>
          <w:lang w:val="en-ZA" w:eastAsia="en-ZA"/>
        </w:rPr>
        <w:t xml:space="preserve"> all </w:t>
      </w:r>
      <w:r w:rsidRPr="00481243">
        <w:rPr>
          <w:rFonts w:ascii="Arial" w:hAnsi="Arial"/>
          <w:color w:val="000000" w:themeColor="text1"/>
          <w:sz w:val="24"/>
          <w:szCs w:val="24"/>
          <w:lang w:val="en-ZA"/>
        </w:rPr>
        <w:t>the necessary requirements of an application for condonation. In the result, that application is granted.</w:t>
      </w:r>
    </w:p>
    <w:p w:rsidR="009A1FC6" w:rsidRPr="00481243" w:rsidRDefault="009A1FC6" w:rsidP="00402CC1">
      <w:pPr>
        <w:pStyle w:val="ListParagraph"/>
        <w:spacing w:after="0" w:line="480" w:lineRule="auto"/>
        <w:ind w:left="0"/>
        <w:jc w:val="both"/>
        <w:rPr>
          <w:rFonts w:ascii="Arial" w:hAnsi="Arial"/>
          <w:color w:val="000000" w:themeColor="text1"/>
          <w:sz w:val="24"/>
          <w:szCs w:val="24"/>
          <w:u w:val="single"/>
          <w:lang w:val="en-ZA"/>
        </w:rPr>
      </w:pPr>
    </w:p>
    <w:p w:rsidR="00361EBA" w:rsidRPr="00481243" w:rsidRDefault="00361EBA" w:rsidP="00402CC1">
      <w:pPr>
        <w:pStyle w:val="ListParagraph"/>
        <w:spacing w:after="0" w:line="480" w:lineRule="auto"/>
        <w:ind w:left="0"/>
        <w:jc w:val="both"/>
        <w:rPr>
          <w:rFonts w:ascii="Arial" w:hAnsi="Arial"/>
          <w:color w:val="000000" w:themeColor="text1"/>
          <w:sz w:val="24"/>
          <w:szCs w:val="24"/>
          <w:u w:val="single"/>
          <w:lang w:val="en-ZA"/>
        </w:rPr>
      </w:pPr>
      <w:r w:rsidRPr="00481243">
        <w:rPr>
          <w:rFonts w:ascii="Arial" w:hAnsi="Arial"/>
          <w:color w:val="000000" w:themeColor="text1"/>
          <w:sz w:val="24"/>
          <w:szCs w:val="24"/>
          <w:u w:val="single"/>
          <w:lang w:val="en-ZA"/>
        </w:rPr>
        <w:t>The appeal</w:t>
      </w:r>
    </w:p>
    <w:p w:rsidR="00361EBA" w:rsidRPr="00481243" w:rsidRDefault="00361EBA" w:rsidP="00361EBA">
      <w:pPr>
        <w:pStyle w:val="ListParagraph"/>
        <w:numPr>
          <w:ilvl w:val="0"/>
          <w:numId w:val="46"/>
        </w:numPr>
        <w:spacing w:after="0" w:line="480" w:lineRule="auto"/>
        <w:ind w:left="0" w:firstLine="0"/>
        <w:jc w:val="both"/>
        <w:rPr>
          <w:rFonts w:ascii="Arial" w:hAnsi="Arial"/>
          <w:color w:val="000000" w:themeColor="text1"/>
          <w:sz w:val="24"/>
          <w:szCs w:val="24"/>
          <w:lang w:val="en-ZA"/>
        </w:rPr>
      </w:pPr>
      <w:r w:rsidRPr="00481243">
        <w:rPr>
          <w:rFonts w:ascii="Arial" w:hAnsi="Arial"/>
          <w:color w:val="000000" w:themeColor="text1"/>
          <w:sz w:val="24"/>
          <w:szCs w:val="24"/>
          <w:lang w:val="en-ZA" w:eastAsia="en-ZA"/>
        </w:rPr>
        <w:t xml:space="preserve">The High Court did not consider, decide or make an order on the merits of this case. In other words, there is no decision and no order on the merits, making the case not </w:t>
      </w:r>
      <w:r w:rsidRPr="00481243">
        <w:rPr>
          <w:rFonts w:ascii="Arial" w:hAnsi="Arial"/>
          <w:color w:val="000000" w:themeColor="text1"/>
          <w:sz w:val="24"/>
          <w:szCs w:val="24"/>
          <w:lang w:val="en-ZA"/>
        </w:rPr>
        <w:t>ready to be heard</w:t>
      </w:r>
      <w:r w:rsidRPr="00481243">
        <w:rPr>
          <w:rFonts w:ascii="Arial" w:hAnsi="Arial"/>
          <w:color w:val="000000" w:themeColor="text1"/>
          <w:sz w:val="24"/>
          <w:szCs w:val="24"/>
          <w:lang w:val="en-ZA" w:eastAsia="en-ZA"/>
        </w:rPr>
        <w:t xml:space="preserve"> in terms of s 18(3) of the High Court Act. Further, no exceptional circumstances are present nor have any been presente</w:t>
      </w:r>
      <w:r w:rsidRPr="00481243">
        <w:rPr>
          <w:rFonts w:ascii="Arial" w:hAnsi="Arial"/>
          <w:color w:val="000000" w:themeColor="text1"/>
          <w:sz w:val="24"/>
          <w:szCs w:val="24"/>
          <w:lang w:val="en-ZA"/>
        </w:rPr>
        <w:t xml:space="preserve">d, contending </w:t>
      </w:r>
      <w:r w:rsidRPr="00481243">
        <w:rPr>
          <w:rFonts w:ascii="Arial" w:hAnsi="Arial"/>
          <w:color w:val="000000" w:themeColor="text1"/>
          <w:sz w:val="24"/>
          <w:szCs w:val="24"/>
          <w:lang w:val="en-ZA" w:eastAsia="en-ZA"/>
        </w:rPr>
        <w:lastRenderedPageBreak/>
        <w:t>otherwise.</w:t>
      </w:r>
      <w:r w:rsidRPr="00481243">
        <w:rPr>
          <w:rStyle w:val="FootnoteReference"/>
          <w:rFonts w:ascii="Arial" w:hAnsi="Arial"/>
          <w:color w:val="000000" w:themeColor="text1"/>
          <w:sz w:val="24"/>
          <w:szCs w:val="24"/>
          <w:lang w:val="en-ZA" w:eastAsia="en-ZA"/>
        </w:rPr>
        <w:footnoteReference w:id="15"/>
      </w:r>
      <w:r w:rsidRPr="00481243">
        <w:rPr>
          <w:rFonts w:ascii="Arial" w:hAnsi="Arial"/>
          <w:color w:val="000000" w:themeColor="text1"/>
          <w:sz w:val="24"/>
          <w:szCs w:val="24"/>
          <w:lang w:val="en-ZA" w:eastAsia="en-ZA"/>
        </w:rPr>
        <w:t xml:space="preserve"> In this matter however, the novelty of the issue</w:t>
      </w:r>
      <w:r w:rsidR="00A07233" w:rsidRPr="00481243">
        <w:rPr>
          <w:rFonts w:ascii="Arial" w:hAnsi="Arial"/>
          <w:color w:val="000000" w:themeColor="text1"/>
          <w:sz w:val="24"/>
          <w:szCs w:val="24"/>
          <w:lang w:val="en-ZA" w:eastAsia="en-ZA"/>
        </w:rPr>
        <w:t xml:space="preserve">s to be decided regarding POCA </w:t>
      </w:r>
      <w:r w:rsidRPr="00481243">
        <w:rPr>
          <w:rFonts w:ascii="Arial" w:hAnsi="Arial"/>
          <w:color w:val="000000" w:themeColor="text1"/>
          <w:sz w:val="24"/>
          <w:szCs w:val="24"/>
          <w:lang w:val="en-ZA" w:eastAsia="en-ZA"/>
        </w:rPr>
        <w:t>is not sufficient to make an exception to th</w:t>
      </w:r>
      <w:r w:rsidRPr="00481243">
        <w:rPr>
          <w:rFonts w:ascii="Arial" w:hAnsi="Arial"/>
          <w:color w:val="000000" w:themeColor="text1"/>
          <w:sz w:val="24"/>
          <w:szCs w:val="24"/>
          <w:lang w:val="en-ZA"/>
        </w:rPr>
        <w:t xml:space="preserve">e s </w:t>
      </w:r>
      <w:r w:rsidRPr="00481243">
        <w:rPr>
          <w:rFonts w:ascii="Arial" w:hAnsi="Arial"/>
          <w:color w:val="000000" w:themeColor="text1"/>
          <w:sz w:val="24"/>
          <w:szCs w:val="24"/>
          <w:lang w:val="en-ZA" w:eastAsia="en-ZA"/>
        </w:rPr>
        <w:t xml:space="preserve">18(3) requirements as </w:t>
      </w:r>
      <w:r w:rsidR="00A07233" w:rsidRPr="00481243">
        <w:rPr>
          <w:rFonts w:ascii="Arial" w:hAnsi="Arial"/>
          <w:color w:val="000000" w:themeColor="text1"/>
          <w:sz w:val="24"/>
          <w:szCs w:val="24"/>
          <w:lang w:val="en-ZA" w:eastAsia="en-ZA"/>
        </w:rPr>
        <w:t>contended by the appellant</w:t>
      </w:r>
      <w:r w:rsidRPr="00481243">
        <w:rPr>
          <w:rFonts w:ascii="Arial" w:hAnsi="Arial"/>
          <w:color w:val="000000" w:themeColor="text1"/>
          <w:sz w:val="24"/>
          <w:szCs w:val="24"/>
          <w:lang w:val="en-ZA" w:eastAsia="en-ZA"/>
        </w:rPr>
        <w:t xml:space="preserve">. Rather, because of the novelty of the issues, it is important for questions of access to justice as it affects the parties and for the development of </w:t>
      </w:r>
      <w:r w:rsidRPr="00481243">
        <w:rPr>
          <w:rFonts w:ascii="Arial" w:hAnsi="Arial"/>
          <w:color w:val="000000" w:themeColor="text1"/>
          <w:sz w:val="24"/>
          <w:szCs w:val="24"/>
          <w:lang w:val="en-ZA"/>
        </w:rPr>
        <w:t xml:space="preserve">the </w:t>
      </w:r>
      <w:r w:rsidRPr="00481243">
        <w:rPr>
          <w:rFonts w:ascii="Arial" w:hAnsi="Arial"/>
          <w:color w:val="000000" w:themeColor="text1"/>
          <w:sz w:val="24"/>
          <w:szCs w:val="24"/>
          <w:lang w:val="en-ZA" w:eastAsia="en-ZA"/>
        </w:rPr>
        <w:t xml:space="preserve">POCA jurisprudence </w:t>
      </w:r>
      <w:r w:rsidRPr="00481243">
        <w:rPr>
          <w:rFonts w:ascii="Arial" w:hAnsi="Arial"/>
          <w:color w:val="000000" w:themeColor="text1"/>
          <w:sz w:val="24"/>
          <w:szCs w:val="24"/>
          <w:lang w:val="en-ZA"/>
        </w:rPr>
        <w:t xml:space="preserve">of this court </w:t>
      </w:r>
      <w:r w:rsidRPr="00481243">
        <w:rPr>
          <w:rFonts w:ascii="Arial" w:hAnsi="Arial"/>
          <w:color w:val="000000" w:themeColor="text1"/>
          <w:sz w:val="24"/>
          <w:szCs w:val="24"/>
          <w:lang w:val="en-ZA" w:eastAsia="en-ZA"/>
        </w:rPr>
        <w:t xml:space="preserve">that the High Court </w:t>
      </w:r>
      <w:r w:rsidRPr="00481243">
        <w:rPr>
          <w:rFonts w:ascii="Arial" w:hAnsi="Arial"/>
          <w:color w:val="000000" w:themeColor="text1"/>
          <w:sz w:val="24"/>
          <w:szCs w:val="24"/>
          <w:lang w:val="en-ZA"/>
        </w:rPr>
        <w:t xml:space="preserve">is </w:t>
      </w:r>
      <w:r w:rsidRPr="00481243">
        <w:rPr>
          <w:rFonts w:ascii="Arial" w:hAnsi="Arial"/>
          <w:color w:val="000000" w:themeColor="text1"/>
          <w:sz w:val="24"/>
          <w:szCs w:val="24"/>
          <w:lang w:val="en-ZA" w:eastAsia="en-ZA"/>
        </w:rPr>
        <w:t xml:space="preserve">first </w:t>
      </w:r>
      <w:r w:rsidRPr="00481243">
        <w:rPr>
          <w:rFonts w:ascii="Arial" w:hAnsi="Arial"/>
          <w:color w:val="000000" w:themeColor="text1"/>
          <w:sz w:val="24"/>
          <w:szCs w:val="24"/>
          <w:lang w:val="en-ZA"/>
        </w:rPr>
        <w:t>granted the</w:t>
      </w:r>
      <w:r w:rsidRPr="00481243">
        <w:rPr>
          <w:rFonts w:ascii="Arial" w:hAnsi="Arial"/>
          <w:color w:val="000000" w:themeColor="text1"/>
          <w:sz w:val="24"/>
          <w:szCs w:val="24"/>
          <w:lang w:val="en-ZA" w:eastAsia="en-ZA"/>
        </w:rPr>
        <w:t xml:space="preserve"> opportunity to determine the facts together with the law</w:t>
      </w:r>
      <w:r w:rsidRPr="00481243">
        <w:rPr>
          <w:rFonts w:ascii="Arial" w:hAnsi="Arial"/>
          <w:color w:val="000000" w:themeColor="text1"/>
          <w:sz w:val="24"/>
          <w:szCs w:val="24"/>
          <w:lang w:val="en-ZA"/>
        </w:rPr>
        <w:t>,</w:t>
      </w:r>
      <w:r w:rsidRPr="00481243">
        <w:rPr>
          <w:rFonts w:ascii="Arial" w:hAnsi="Arial"/>
          <w:color w:val="000000" w:themeColor="text1"/>
          <w:sz w:val="24"/>
          <w:szCs w:val="24"/>
          <w:lang w:val="en-ZA" w:eastAsia="en-ZA"/>
        </w:rPr>
        <w:t xml:space="preserve"> playing its </w:t>
      </w:r>
      <w:r w:rsidRPr="00481243">
        <w:rPr>
          <w:rFonts w:ascii="Arial" w:hAnsi="Arial"/>
          <w:color w:val="000000" w:themeColor="text1"/>
          <w:sz w:val="24"/>
          <w:szCs w:val="24"/>
          <w:lang w:val="en-ZA"/>
        </w:rPr>
        <w:t xml:space="preserve">role and </w:t>
      </w:r>
      <w:r w:rsidRPr="00481243">
        <w:rPr>
          <w:rFonts w:ascii="Arial" w:hAnsi="Arial"/>
          <w:color w:val="000000" w:themeColor="text1"/>
          <w:sz w:val="24"/>
          <w:szCs w:val="24"/>
          <w:lang w:val="en-ZA" w:eastAsia="en-ZA"/>
        </w:rPr>
        <w:t xml:space="preserve">function as a court of first instance, giving this court the final say on the legal issues arising from the merits of the case on appeal, as </w:t>
      </w:r>
      <w:r w:rsidR="009043DA" w:rsidRPr="00481243">
        <w:rPr>
          <w:rFonts w:ascii="Arial" w:hAnsi="Arial"/>
          <w:color w:val="000000" w:themeColor="text1"/>
          <w:sz w:val="24"/>
          <w:szCs w:val="24"/>
          <w:lang w:val="en-ZA" w:eastAsia="en-ZA"/>
        </w:rPr>
        <w:t>a court of final instance</w:t>
      </w:r>
      <w:r w:rsidRPr="00481243">
        <w:rPr>
          <w:rFonts w:ascii="Arial" w:hAnsi="Arial"/>
          <w:color w:val="000000" w:themeColor="text1"/>
          <w:sz w:val="24"/>
          <w:szCs w:val="24"/>
          <w:lang w:val="en-ZA" w:eastAsia="en-ZA"/>
        </w:rPr>
        <w:t xml:space="preserve">. Thus, this court should be most reluctant to hear </w:t>
      </w:r>
      <w:r w:rsidR="00714AE4">
        <w:rPr>
          <w:rFonts w:ascii="Arial" w:hAnsi="Arial"/>
          <w:color w:val="000000" w:themeColor="text1"/>
          <w:sz w:val="24"/>
          <w:szCs w:val="24"/>
          <w:lang w:val="en-ZA" w:eastAsia="en-ZA"/>
        </w:rPr>
        <w:t xml:space="preserve">and decide </w:t>
      </w:r>
      <w:r w:rsidRPr="00481243">
        <w:rPr>
          <w:rFonts w:ascii="Arial" w:hAnsi="Arial"/>
          <w:color w:val="000000" w:themeColor="text1"/>
          <w:sz w:val="24"/>
          <w:szCs w:val="24"/>
          <w:lang w:val="en-ZA"/>
        </w:rPr>
        <w:t xml:space="preserve">the merits, </w:t>
      </w:r>
      <w:r w:rsidRPr="00481243">
        <w:rPr>
          <w:rFonts w:ascii="Arial" w:hAnsi="Arial"/>
          <w:color w:val="000000" w:themeColor="text1"/>
          <w:sz w:val="24"/>
          <w:szCs w:val="24"/>
          <w:lang w:val="en-ZA" w:eastAsia="en-ZA"/>
        </w:rPr>
        <w:t>th</w:t>
      </w:r>
      <w:r w:rsidRPr="00481243">
        <w:rPr>
          <w:rFonts w:ascii="Arial" w:hAnsi="Arial"/>
          <w:color w:val="000000" w:themeColor="text1"/>
          <w:sz w:val="24"/>
          <w:szCs w:val="24"/>
          <w:lang w:val="en-ZA"/>
        </w:rPr>
        <w:t>e application for the forfeiture</w:t>
      </w:r>
      <w:r w:rsidR="00DC06A8" w:rsidRPr="00481243">
        <w:rPr>
          <w:rFonts w:ascii="Arial" w:hAnsi="Arial"/>
          <w:color w:val="000000" w:themeColor="text1"/>
          <w:sz w:val="24"/>
          <w:szCs w:val="24"/>
          <w:lang w:val="en-ZA"/>
        </w:rPr>
        <w:t xml:space="preserve"> order</w:t>
      </w:r>
      <w:r w:rsidRPr="00481243">
        <w:rPr>
          <w:rFonts w:ascii="Arial" w:hAnsi="Arial"/>
          <w:color w:val="000000" w:themeColor="text1"/>
          <w:sz w:val="24"/>
          <w:szCs w:val="24"/>
          <w:lang w:val="en-ZA"/>
        </w:rPr>
        <w:t xml:space="preserve">, being the main </w:t>
      </w:r>
      <w:r w:rsidRPr="00481243">
        <w:rPr>
          <w:rFonts w:ascii="Arial" w:hAnsi="Arial"/>
          <w:color w:val="000000" w:themeColor="text1"/>
          <w:sz w:val="24"/>
          <w:szCs w:val="24"/>
          <w:lang w:val="en-ZA" w:eastAsia="en-ZA"/>
        </w:rPr>
        <w:t>matter</w:t>
      </w:r>
      <w:r w:rsidRPr="00481243">
        <w:rPr>
          <w:rFonts w:ascii="Arial" w:hAnsi="Arial"/>
          <w:color w:val="000000" w:themeColor="text1"/>
          <w:sz w:val="24"/>
          <w:szCs w:val="24"/>
          <w:lang w:val="en-ZA"/>
        </w:rPr>
        <w:t xml:space="preserve"> </w:t>
      </w:r>
      <w:r w:rsidRPr="00481243">
        <w:rPr>
          <w:rFonts w:ascii="Arial" w:hAnsi="Arial"/>
          <w:color w:val="000000" w:themeColor="text1"/>
          <w:sz w:val="24"/>
          <w:szCs w:val="24"/>
          <w:lang w:val="en-ZA" w:eastAsia="en-ZA"/>
        </w:rPr>
        <w:t>without a High Court decision and order</w:t>
      </w:r>
      <w:r w:rsidRPr="00481243">
        <w:rPr>
          <w:rFonts w:ascii="Arial" w:hAnsi="Arial"/>
          <w:color w:val="000000" w:themeColor="text1"/>
          <w:sz w:val="24"/>
          <w:szCs w:val="24"/>
          <w:lang w:val="en-ZA"/>
        </w:rPr>
        <w:t xml:space="preserve"> in that regard. Doing so </w:t>
      </w:r>
      <w:r w:rsidRPr="00481243">
        <w:rPr>
          <w:rFonts w:ascii="Arial" w:hAnsi="Arial"/>
          <w:color w:val="000000" w:themeColor="text1"/>
          <w:sz w:val="24"/>
          <w:szCs w:val="24"/>
          <w:lang w:val="en-ZA" w:eastAsia="en-ZA"/>
        </w:rPr>
        <w:t>would be usurping the role and function of the High Court as the court of first instance.</w:t>
      </w:r>
      <w:r w:rsidRPr="00481243">
        <w:rPr>
          <w:rFonts w:ascii="Arial" w:hAnsi="Arial"/>
          <w:color w:val="000000" w:themeColor="text1"/>
          <w:sz w:val="24"/>
          <w:szCs w:val="24"/>
          <w:lang w:val="en-ZA"/>
        </w:rPr>
        <w:t xml:space="preserve"> The appellant has therefore failed to persuade this court to do so. The application for a forfeiture</w:t>
      </w:r>
      <w:r w:rsidR="00DC06A8" w:rsidRPr="00481243">
        <w:rPr>
          <w:rFonts w:ascii="Arial" w:hAnsi="Arial"/>
          <w:color w:val="000000" w:themeColor="text1"/>
          <w:sz w:val="24"/>
          <w:szCs w:val="24"/>
          <w:lang w:val="en-ZA"/>
        </w:rPr>
        <w:t xml:space="preserve"> order</w:t>
      </w:r>
      <w:r w:rsidRPr="00481243">
        <w:rPr>
          <w:rFonts w:ascii="Arial" w:hAnsi="Arial"/>
          <w:color w:val="000000" w:themeColor="text1"/>
          <w:sz w:val="24"/>
          <w:szCs w:val="24"/>
          <w:lang w:val="en-ZA"/>
        </w:rPr>
        <w:t xml:space="preserve"> is therefore remitted to the High Court for determination.</w:t>
      </w:r>
    </w:p>
    <w:p w:rsidR="009A1FC6" w:rsidRPr="00481243" w:rsidRDefault="009A1FC6" w:rsidP="00702D7A">
      <w:pPr>
        <w:pStyle w:val="ListParagraph"/>
        <w:spacing w:after="0" w:line="480" w:lineRule="auto"/>
        <w:ind w:left="0"/>
        <w:jc w:val="both"/>
        <w:rPr>
          <w:rFonts w:ascii="Arial" w:hAnsi="Arial"/>
          <w:i/>
          <w:color w:val="000000" w:themeColor="text1"/>
          <w:sz w:val="24"/>
          <w:szCs w:val="24"/>
          <w:lang w:val="en-ZA"/>
        </w:rPr>
      </w:pPr>
    </w:p>
    <w:p w:rsidR="00702D7A" w:rsidRPr="00481243" w:rsidRDefault="00702D7A" w:rsidP="00702D7A">
      <w:pPr>
        <w:pStyle w:val="ListParagraph"/>
        <w:spacing w:after="0" w:line="480" w:lineRule="auto"/>
        <w:ind w:left="0"/>
        <w:jc w:val="both"/>
        <w:rPr>
          <w:rFonts w:ascii="Arial" w:hAnsi="Arial"/>
          <w:i/>
          <w:color w:val="000000" w:themeColor="text1"/>
          <w:sz w:val="24"/>
          <w:szCs w:val="24"/>
          <w:lang w:val="en-ZA" w:eastAsia="en-ZA"/>
        </w:rPr>
      </w:pPr>
      <w:r w:rsidRPr="00481243">
        <w:rPr>
          <w:rFonts w:ascii="Arial" w:hAnsi="Arial"/>
          <w:i/>
          <w:color w:val="000000" w:themeColor="text1"/>
          <w:sz w:val="24"/>
          <w:szCs w:val="24"/>
          <w:lang w:val="en-ZA"/>
        </w:rPr>
        <w:t xml:space="preserve">The </w:t>
      </w:r>
      <w:r w:rsidR="00361EBA" w:rsidRPr="00481243">
        <w:rPr>
          <w:rFonts w:ascii="Arial" w:hAnsi="Arial"/>
          <w:i/>
          <w:color w:val="000000" w:themeColor="text1"/>
          <w:sz w:val="24"/>
          <w:szCs w:val="24"/>
          <w:lang w:val="en-ZA"/>
        </w:rPr>
        <w:t>rule 65(1) issue</w:t>
      </w:r>
    </w:p>
    <w:p w:rsidR="00702D7A" w:rsidRPr="00481243" w:rsidRDefault="00702D7A" w:rsidP="003939EF">
      <w:pPr>
        <w:pStyle w:val="ListParagraph"/>
        <w:numPr>
          <w:ilvl w:val="0"/>
          <w:numId w:val="46"/>
        </w:numPr>
        <w:spacing w:after="0" w:line="480" w:lineRule="auto"/>
        <w:ind w:left="0" w:firstLine="0"/>
        <w:jc w:val="both"/>
        <w:rPr>
          <w:rFonts w:ascii="Arial" w:hAnsi="Arial"/>
          <w:color w:val="000000" w:themeColor="text1"/>
          <w:sz w:val="24"/>
          <w:szCs w:val="24"/>
          <w:lang w:val="en-ZA"/>
        </w:rPr>
      </w:pPr>
      <w:r w:rsidRPr="00481243">
        <w:rPr>
          <w:rFonts w:ascii="Arial" w:hAnsi="Arial"/>
          <w:color w:val="000000" w:themeColor="text1"/>
          <w:sz w:val="24"/>
          <w:szCs w:val="24"/>
        </w:rPr>
        <w:t>Here, the</w:t>
      </w:r>
      <w:r w:rsidRPr="00481243">
        <w:rPr>
          <w:rFonts w:ascii="Arial" w:hAnsi="Arial"/>
          <w:color w:val="000000" w:themeColor="text1"/>
          <w:sz w:val="24"/>
          <w:szCs w:val="24"/>
          <w:lang w:val="en-ZA"/>
        </w:rPr>
        <w:t xml:space="preserve"> primary question raised by the decision of the High Court is whether, following the granting of an application for the preservation order, the subsequent application for a forfeiture</w:t>
      </w:r>
      <w:r w:rsidR="00DC06A8" w:rsidRPr="00481243">
        <w:rPr>
          <w:rFonts w:ascii="Arial" w:hAnsi="Arial"/>
          <w:color w:val="000000" w:themeColor="text1"/>
          <w:sz w:val="24"/>
          <w:szCs w:val="24"/>
          <w:lang w:val="en-ZA"/>
        </w:rPr>
        <w:t xml:space="preserve"> order</w:t>
      </w:r>
      <w:r w:rsidRPr="00481243">
        <w:rPr>
          <w:rFonts w:ascii="Arial" w:hAnsi="Arial"/>
          <w:color w:val="000000" w:themeColor="text1"/>
          <w:sz w:val="24"/>
          <w:szCs w:val="24"/>
          <w:lang w:val="en-ZA"/>
        </w:rPr>
        <w:t xml:space="preserve"> of the preserved property initiates new application proceedings which require</w:t>
      </w:r>
      <w:r w:rsidR="00D628A4" w:rsidRPr="00481243">
        <w:rPr>
          <w:rFonts w:ascii="Arial" w:hAnsi="Arial"/>
          <w:color w:val="000000" w:themeColor="text1"/>
          <w:sz w:val="24"/>
          <w:szCs w:val="24"/>
          <w:lang w:val="en-ZA"/>
        </w:rPr>
        <w:t xml:space="preserve"> it</w:t>
      </w:r>
      <w:r w:rsidRPr="00481243">
        <w:rPr>
          <w:rFonts w:ascii="Arial" w:hAnsi="Arial"/>
          <w:color w:val="000000" w:themeColor="text1"/>
          <w:sz w:val="24"/>
          <w:szCs w:val="24"/>
          <w:lang w:val="en-ZA"/>
        </w:rPr>
        <w:t xml:space="preserve"> to be br</w:t>
      </w:r>
      <w:r w:rsidR="00904C40" w:rsidRPr="00481243">
        <w:rPr>
          <w:rFonts w:ascii="Arial" w:hAnsi="Arial"/>
          <w:color w:val="000000" w:themeColor="text1"/>
          <w:sz w:val="24"/>
          <w:szCs w:val="24"/>
          <w:lang w:val="en-ZA"/>
        </w:rPr>
        <w:t>ought on notice of motion in</w:t>
      </w:r>
      <w:r w:rsidRPr="00481243">
        <w:rPr>
          <w:rFonts w:ascii="Arial" w:hAnsi="Arial"/>
          <w:color w:val="000000" w:themeColor="text1"/>
          <w:sz w:val="24"/>
          <w:szCs w:val="24"/>
          <w:lang w:val="en-ZA"/>
        </w:rPr>
        <w:t xml:space="preserve"> terms of the mandatory requirements of rule 65(1).  Alternatively, whether the subsequent application for a forfeiture</w:t>
      </w:r>
      <w:r w:rsidR="00DC06A8" w:rsidRPr="00481243">
        <w:rPr>
          <w:rFonts w:ascii="Arial" w:hAnsi="Arial"/>
          <w:color w:val="000000" w:themeColor="text1"/>
          <w:sz w:val="24"/>
          <w:szCs w:val="24"/>
          <w:lang w:val="en-ZA"/>
        </w:rPr>
        <w:t xml:space="preserve"> order</w:t>
      </w:r>
      <w:r w:rsidRPr="00481243">
        <w:rPr>
          <w:rFonts w:ascii="Arial" w:hAnsi="Arial"/>
          <w:color w:val="000000" w:themeColor="text1"/>
          <w:sz w:val="24"/>
          <w:szCs w:val="24"/>
          <w:lang w:val="en-ZA"/>
        </w:rPr>
        <w:t xml:space="preserve"> of the earlier preserved property is part of a single </w:t>
      </w:r>
      <w:r w:rsidRPr="00481243">
        <w:rPr>
          <w:rFonts w:ascii="Arial" w:hAnsi="Arial"/>
          <w:color w:val="000000" w:themeColor="text1"/>
          <w:sz w:val="24"/>
          <w:szCs w:val="24"/>
          <w:lang w:val="en-ZA"/>
        </w:rPr>
        <w:lastRenderedPageBreak/>
        <w:t xml:space="preserve">two-stage intertwined process, freeing the application from the mandatory notice of motion requirements of rule 65(1). </w:t>
      </w:r>
    </w:p>
    <w:p w:rsidR="00702D7A" w:rsidRPr="00481243" w:rsidRDefault="00702D7A" w:rsidP="00702D7A">
      <w:pPr>
        <w:pStyle w:val="ListParagraph"/>
        <w:spacing w:after="0" w:line="480" w:lineRule="auto"/>
        <w:ind w:left="0"/>
        <w:jc w:val="both"/>
        <w:rPr>
          <w:rFonts w:ascii="Arial" w:hAnsi="Arial"/>
          <w:color w:val="000000" w:themeColor="text1"/>
          <w:sz w:val="24"/>
          <w:szCs w:val="24"/>
          <w:lang w:val="en-ZA"/>
        </w:rPr>
      </w:pPr>
    </w:p>
    <w:p w:rsidR="00702D7A" w:rsidRPr="00481243" w:rsidRDefault="003E07B6" w:rsidP="003E07B6">
      <w:pPr>
        <w:pStyle w:val="ListParagraph"/>
        <w:numPr>
          <w:ilvl w:val="0"/>
          <w:numId w:val="46"/>
        </w:numPr>
        <w:shd w:val="clear" w:color="auto" w:fill="FFFFFF"/>
        <w:spacing w:before="100" w:after="0" w:line="480" w:lineRule="auto"/>
        <w:ind w:left="0" w:right="-1" w:firstLine="0"/>
        <w:jc w:val="both"/>
        <w:rPr>
          <w:rFonts w:ascii="Arial" w:eastAsia="Times New Roman" w:hAnsi="Arial" w:cs="Arial"/>
          <w:color w:val="000000" w:themeColor="text1"/>
          <w:sz w:val="24"/>
          <w:szCs w:val="24"/>
          <w:lang w:val="en-ZA" w:eastAsia="en-ZA"/>
        </w:rPr>
      </w:pPr>
      <w:r w:rsidRPr="00481243">
        <w:rPr>
          <w:rFonts w:ascii="Arial" w:eastAsia="Times New Roman" w:hAnsi="Arial" w:cs="Arial"/>
          <w:color w:val="000000" w:themeColor="text1"/>
          <w:sz w:val="24"/>
          <w:szCs w:val="24"/>
          <w:lang w:val="en-ZA" w:eastAsia="en-ZA"/>
        </w:rPr>
        <w:t>The further question relates to whether the notice in the property forfeiture application was defective because it was delivered at the GOSP instead of the chosen address.</w:t>
      </w:r>
    </w:p>
    <w:p w:rsidR="00702D7A" w:rsidRPr="00481243" w:rsidRDefault="00702D7A" w:rsidP="00702D7A">
      <w:pPr>
        <w:pStyle w:val="ListParagraph"/>
        <w:spacing w:after="0" w:line="480" w:lineRule="auto"/>
        <w:ind w:left="0"/>
        <w:jc w:val="both"/>
        <w:rPr>
          <w:rFonts w:ascii="Arial" w:hAnsi="Arial"/>
          <w:color w:val="000000" w:themeColor="text1"/>
          <w:sz w:val="24"/>
          <w:szCs w:val="24"/>
          <w:lang w:val="en-ZA"/>
        </w:rPr>
      </w:pPr>
    </w:p>
    <w:p w:rsidR="00702D7A" w:rsidRPr="00481243" w:rsidRDefault="00BD720A" w:rsidP="003F4FC7">
      <w:pPr>
        <w:pStyle w:val="ListParagraph"/>
        <w:numPr>
          <w:ilvl w:val="0"/>
          <w:numId w:val="46"/>
        </w:numPr>
        <w:spacing w:after="0" w:line="480" w:lineRule="auto"/>
        <w:ind w:left="0" w:firstLine="0"/>
        <w:jc w:val="both"/>
        <w:rPr>
          <w:rFonts w:ascii="Arial" w:hAnsi="Arial"/>
          <w:color w:val="000000" w:themeColor="text1"/>
          <w:sz w:val="24"/>
          <w:szCs w:val="24"/>
          <w:lang w:val="en-ZA" w:eastAsia="en-ZA"/>
        </w:rPr>
      </w:pPr>
      <w:r w:rsidRPr="00481243">
        <w:rPr>
          <w:rFonts w:ascii="Arial" w:hAnsi="Arial"/>
          <w:color w:val="000000" w:themeColor="text1"/>
          <w:sz w:val="24"/>
          <w:szCs w:val="24"/>
          <w:lang w:val="en-ZA"/>
        </w:rPr>
        <w:t>This court must</w:t>
      </w:r>
      <w:r w:rsidR="00702D7A" w:rsidRPr="00481243">
        <w:rPr>
          <w:rFonts w:ascii="Arial" w:hAnsi="Arial"/>
          <w:color w:val="000000" w:themeColor="text1"/>
          <w:sz w:val="24"/>
          <w:szCs w:val="24"/>
          <w:lang w:val="en-ZA"/>
        </w:rPr>
        <w:t xml:space="preserve"> first consider the interpretation of rule 65(1) prior to determining whether the High Court was correct in its conclusion that the appellant had to comply with the requirements of the rule in her notice regarding the application for the forfeiture</w:t>
      </w:r>
      <w:r w:rsidR="00DC06A8" w:rsidRPr="00481243">
        <w:rPr>
          <w:rFonts w:ascii="Arial" w:hAnsi="Arial"/>
          <w:color w:val="000000" w:themeColor="text1"/>
          <w:sz w:val="24"/>
          <w:szCs w:val="24"/>
          <w:lang w:val="en-ZA"/>
        </w:rPr>
        <w:t xml:space="preserve"> order</w:t>
      </w:r>
      <w:r w:rsidR="00702D7A" w:rsidRPr="00481243">
        <w:rPr>
          <w:rFonts w:ascii="Arial" w:hAnsi="Arial"/>
          <w:color w:val="000000" w:themeColor="text1"/>
          <w:sz w:val="24"/>
          <w:szCs w:val="24"/>
          <w:lang w:val="en-ZA"/>
        </w:rPr>
        <w:t xml:space="preserve"> subsequent to having obtained the preservation order and having met the peremptory rule 65(1) notice requirements.</w:t>
      </w:r>
    </w:p>
    <w:p w:rsidR="00702D7A" w:rsidRPr="00481243" w:rsidRDefault="00702D7A" w:rsidP="00702D7A">
      <w:pPr>
        <w:spacing w:after="0" w:line="480" w:lineRule="auto"/>
        <w:jc w:val="both"/>
        <w:rPr>
          <w:rFonts w:ascii="Arial" w:hAnsi="Arial"/>
          <w:color w:val="000000" w:themeColor="text1"/>
          <w:sz w:val="24"/>
          <w:szCs w:val="24"/>
          <w:lang w:val="en-ZA" w:eastAsia="en-ZA"/>
        </w:rPr>
      </w:pPr>
    </w:p>
    <w:p w:rsidR="00702D7A" w:rsidRPr="00481243" w:rsidRDefault="00904C40" w:rsidP="00437763">
      <w:pPr>
        <w:pStyle w:val="ListParagraph"/>
        <w:numPr>
          <w:ilvl w:val="0"/>
          <w:numId w:val="46"/>
        </w:numPr>
        <w:spacing w:after="0" w:line="480" w:lineRule="auto"/>
        <w:ind w:left="0" w:firstLine="0"/>
        <w:jc w:val="both"/>
        <w:rPr>
          <w:rFonts w:ascii="Arial" w:hAnsi="Arial"/>
          <w:color w:val="000000" w:themeColor="text1"/>
          <w:sz w:val="24"/>
          <w:szCs w:val="24"/>
          <w:lang w:val="en-ZA"/>
        </w:rPr>
      </w:pPr>
      <w:r w:rsidRPr="00481243">
        <w:rPr>
          <w:rFonts w:ascii="Arial" w:hAnsi="Arial"/>
          <w:color w:val="000000" w:themeColor="text1"/>
          <w:sz w:val="24"/>
          <w:szCs w:val="24"/>
          <w:lang w:val="en-ZA"/>
        </w:rPr>
        <w:t>Rule 65(1) provides:</w:t>
      </w:r>
    </w:p>
    <w:p w:rsidR="00702D7A" w:rsidRPr="00481243" w:rsidRDefault="00702D7A" w:rsidP="00437763">
      <w:pPr>
        <w:spacing w:after="0" w:line="480" w:lineRule="auto"/>
        <w:jc w:val="both"/>
        <w:rPr>
          <w:rFonts w:ascii="Arial" w:hAnsi="Arial"/>
          <w:color w:val="000000" w:themeColor="text1"/>
          <w:sz w:val="24"/>
          <w:szCs w:val="24"/>
          <w:lang w:val="en-ZA" w:eastAsia="en-ZA"/>
        </w:rPr>
      </w:pPr>
    </w:p>
    <w:p w:rsidR="00702D7A" w:rsidRPr="00481243" w:rsidRDefault="004703E9" w:rsidP="00437763">
      <w:pPr>
        <w:autoSpaceDE w:val="0"/>
        <w:autoSpaceDN w:val="0"/>
        <w:adjustRightInd w:val="0"/>
        <w:spacing w:after="0" w:line="480" w:lineRule="auto"/>
        <w:ind w:left="567"/>
        <w:jc w:val="both"/>
        <w:rPr>
          <w:rFonts w:ascii="Times-Roman" w:hAnsi="Times-Roman" w:cs="Times-Roman"/>
          <w:color w:val="000000" w:themeColor="text1"/>
          <w:lang w:val="en-ZA" w:eastAsia="en-ZA"/>
        </w:rPr>
      </w:pPr>
      <w:r w:rsidRPr="00481243">
        <w:rPr>
          <w:rFonts w:ascii="Arial" w:hAnsi="Arial" w:cs="Arial"/>
          <w:color w:val="000000" w:themeColor="text1"/>
          <w:lang w:val="en-ZA" w:eastAsia="en-ZA"/>
        </w:rPr>
        <w:t>‘Every application must be brought on notice of motion supported by affidavit as to the facts on which the applicant relies for relief and every application initiating new proceedings, not forming part of an existing cause or matter, commences with the issue of the notice of motion signed by the registrar, date stamped with the official stamp and uniquely numbered for identification purposes.</w:t>
      </w:r>
      <w:r w:rsidR="00702D7A" w:rsidRPr="00481243">
        <w:rPr>
          <w:rFonts w:ascii="Arial" w:hAnsi="Arial"/>
          <w:color w:val="000000" w:themeColor="text1"/>
          <w:lang w:val="en-ZA"/>
        </w:rPr>
        <w:t>’</w:t>
      </w:r>
    </w:p>
    <w:p w:rsidR="00702D7A" w:rsidRPr="00481243" w:rsidRDefault="00702D7A" w:rsidP="00437763">
      <w:pPr>
        <w:spacing w:after="0" w:line="480" w:lineRule="auto"/>
        <w:jc w:val="both"/>
        <w:rPr>
          <w:rFonts w:ascii="Arial" w:hAnsi="Arial"/>
          <w:color w:val="000000" w:themeColor="text1"/>
          <w:sz w:val="24"/>
          <w:szCs w:val="24"/>
          <w:lang w:val="en-ZA"/>
        </w:rPr>
      </w:pPr>
    </w:p>
    <w:p w:rsidR="00702D7A" w:rsidRPr="00481243" w:rsidRDefault="00702D7A" w:rsidP="00437763">
      <w:pPr>
        <w:spacing w:after="0" w:line="480" w:lineRule="auto"/>
        <w:jc w:val="both"/>
        <w:rPr>
          <w:rFonts w:ascii="Arial" w:hAnsi="Arial"/>
          <w:color w:val="000000" w:themeColor="text1"/>
          <w:sz w:val="24"/>
          <w:szCs w:val="24"/>
          <w:lang w:val="en-ZA"/>
        </w:rPr>
      </w:pPr>
      <w:r w:rsidRPr="00481243">
        <w:rPr>
          <w:rFonts w:ascii="Arial" w:hAnsi="Arial"/>
          <w:color w:val="000000" w:themeColor="text1"/>
          <w:sz w:val="24"/>
          <w:szCs w:val="24"/>
          <w:lang w:val="en-ZA"/>
        </w:rPr>
        <w:t>From the plain reading of the rule, all applications must be on notice of motion. That is so whether or not the applications initiate new proceedings. However, when an application initiate</w:t>
      </w:r>
      <w:r w:rsidR="00D224C7" w:rsidRPr="00481243">
        <w:rPr>
          <w:rFonts w:ascii="Arial" w:hAnsi="Arial"/>
          <w:color w:val="000000" w:themeColor="text1"/>
          <w:sz w:val="24"/>
          <w:szCs w:val="24"/>
          <w:lang w:val="en-ZA"/>
        </w:rPr>
        <w:t>s</w:t>
      </w:r>
      <w:r w:rsidRPr="00481243">
        <w:rPr>
          <w:rFonts w:ascii="Arial" w:hAnsi="Arial"/>
          <w:color w:val="000000" w:themeColor="text1"/>
          <w:sz w:val="24"/>
          <w:szCs w:val="24"/>
          <w:lang w:val="en-ZA"/>
        </w:rPr>
        <w:t xml:space="preserve"> new proceedings it must be supported by an affidavit reflecting the facts on which the application is based and </w:t>
      </w:r>
      <w:r w:rsidR="00D224C7" w:rsidRPr="00481243">
        <w:rPr>
          <w:rFonts w:ascii="Arial" w:hAnsi="Arial"/>
          <w:color w:val="000000" w:themeColor="text1"/>
          <w:sz w:val="24"/>
          <w:szCs w:val="24"/>
          <w:lang w:val="en-ZA"/>
        </w:rPr>
        <w:t xml:space="preserve">on which </w:t>
      </w:r>
      <w:r w:rsidRPr="00481243">
        <w:rPr>
          <w:rFonts w:ascii="Arial" w:hAnsi="Arial"/>
          <w:color w:val="000000" w:themeColor="text1"/>
          <w:sz w:val="24"/>
          <w:szCs w:val="24"/>
          <w:lang w:val="en-ZA"/>
        </w:rPr>
        <w:t xml:space="preserve">the applicant relies on for </w:t>
      </w:r>
      <w:r w:rsidRPr="00481243">
        <w:rPr>
          <w:rFonts w:ascii="Arial" w:hAnsi="Arial"/>
          <w:color w:val="000000" w:themeColor="text1"/>
          <w:sz w:val="24"/>
          <w:szCs w:val="24"/>
          <w:lang w:val="en-ZA"/>
        </w:rPr>
        <w:lastRenderedPageBreak/>
        <w:t xml:space="preserve">the relief sought. The rule further provides that an applicant who initiates new proceedings starts by issuing a notice of motion which has been signed by the Registrar. The new application must be given its own unique numbering, officially date-stamped by the Registrar. To be regarded as new, proceedings </w:t>
      </w:r>
      <w:r w:rsidRPr="00481243">
        <w:rPr>
          <w:rFonts w:ascii="Arial" w:hAnsi="Arial"/>
          <w:color w:val="000000" w:themeColor="text1"/>
          <w:sz w:val="24"/>
          <w:szCs w:val="24"/>
        </w:rPr>
        <w:t>mus</w:t>
      </w:r>
      <w:r w:rsidRPr="00481243">
        <w:rPr>
          <w:rFonts w:ascii="Arial" w:hAnsi="Arial"/>
          <w:color w:val="000000" w:themeColor="text1"/>
          <w:sz w:val="24"/>
          <w:szCs w:val="24"/>
          <w:lang w:val="en-ZA"/>
        </w:rPr>
        <w:t>t not be part of already existing proceedings with an existing cause or matter. New proceedings must thus have their</w:t>
      </w:r>
      <w:r w:rsidRPr="00481243">
        <w:rPr>
          <w:rFonts w:ascii="Arial" w:hAnsi="Arial"/>
          <w:color w:val="000000" w:themeColor="text1"/>
          <w:sz w:val="24"/>
          <w:szCs w:val="24"/>
        </w:rPr>
        <w:t xml:space="preserve"> own separate </w:t>
      </w:r>
      <w:r w:rsidRPr="00481243">
        <w:rPr>
          <w:rFonts w:ascii="Arial" w:hAnsi="Arial"/>
          <w:i/>
          <w:color w:val="000000" w:themeColor="text1"/>
          <w:sz w:val="24"/>
          <w:szCs w:val="24"/>
        </w:rPr>
        <w:t>causa</w:t>
      </w:r>
      <w:r w:rsidRPr="00481243">
        <w:rPr>
          <w:rFonts w:ascii="Arial" w:hAnsi="Arial"/>
          <w:color w:val="000000" w:themeColor="text1"/>
          <w:sz w:val="24"/>
          <w:szCs w:val="24"/>
        </w:rPr>
        <w:t xml:space="preserve"> or matte</w:t>
      </w:r>
      <w:r w:rsidRPr="00481243">
        <w:rPr>
          <w:rFonts w:ascii="Arial" w:hAnsi="Arial"/>
          <w:color w:val="000000" w:themeColor="text1"/>
          <w:sz w:val="24"/>
          <w:szCs w:val="24"/>
          <w:lang w:val="en-ZA"/>
        </w:rPr>
        <w:t xml:space="preserve">r and be based on their </w:t>
      </w:r>
      <w:r w:rsidRPr="00481243">
        <w:rPr>
          <w:rFonts w:ascii="Arial" w:hAnsi="Arial"/>
          <w:color w:val="000000" w:themeColor="text1"/>
          <w:sz w:val="24"/>
          <w:szCs w:val="24"/>
        </w:rPr>
        <w:t>ow</w:t>
      </w:r>
      <w:r w:rsidRPr="00481243">
        <w:rPr>
          <w:rFonts w:ascii="Arial" w:hAnsi="Arial"/>
          <w:color w:val="000000" w:themeColor="text1"/>
          <w:sz w:val="24"/>
          <w:szCs w:val="24"/>
          <w:lang w:val="en-ZA"/>
        </w:rPr>
        <w:t>n particular set of facts and circumstances on which they rely. New proceedings can therefore not be part of existing proceedings, with which it shares not only a cause or matter, but also the facts on which the relief is sought.</w:t>
      </w:r>
    </w:p>
    <w:p w:rsidR="00702D7A" w:rsidRPr="00481243" w:rsidRDefault="00702D7A" w:rsidP="00702D7A">
      <w:pPr>
        <w:spacing w:after="0" w:line="480" w:lineRule="auto"/>
        <w:jc w:val="both"/>
        <w:rPr>
          <w:rFonts w:ascii="Arial" w:hAnsi="Arial"/>
          <w:color w:val="000000" w:themeColor="text1"/>
          <w:sz w:val="24"/>
          <w:szCs w:val="24"/>
          <w:lang w:val="en-ZA"/>
        </w:rPr>
      </w:pPr>
    </w:p>
    <w:p w:rsidR="00702D7A" w:rsidRPr="00481243" w:rsidRDefault="00702D7A" w:rsidP="00702D7A">
      <w:pPr>
        <w:pStyle w:val="ListParagraph"/>
        <w:numPr>
          <w:ilvl w:val="0"/>
          <w:numId w:val="46"/>
        </w:numPr>
        <w:spacing w:after="0" w:line="480" w:lineRule="auto"/>
        <w:ind w:left="0" w:firstLine="0"/>
        <w:jc w:val="both"/>
        <w:rPr>
          <w:rFonts w:ascii="Arial" w:hAnsi="Arial"/>
          <w:color w:val="000000" w:themeColor="text1"/>
          <w:sz w:val="24"/>
          <w:szCs w:val="24"/>
          <w:lang w:val="en-ZA"/>
        </w:rPr>
      </w:pPr>
      <w:r w:rsidRPr="00481243">
        <w:rPr>
          <w:rFonts w:ascii="Arial" w:hAnsi="Arial"/>
          <w:color w:val="000000" w:themeColor="text1"/>
          <w:sz w:val="24"/>
          <w:szCs w:val="24"/>
          <w:lang w:val="en-ZA"/>
        </w:rPr>
        <w:t xml:space="preserve">Thus, while every application must be brought on notice of motion, an application which initiates new proceedings must meet the </w:t>
      </w:r>
      <w:r w:rsidRPr="00481243">
        <w:rPr>
          <w:rFonts w:ascii="Arial" w:hAnsi="Arial"/>
          <w:color w:val="000000" w:themeColor="text1"/>
          <w:sz w:val="24"/>
          <w:szCs w:val="24"/>
        </w:rPr>
        <w:t>peremptory</w:t>
      </w:r>
      <w:r w:rsidRPr="00481243">
        <w:rPr>
          <w:rFonts w:ascii="Arial" w:hAnsi="Arial"/>
          <w:color w:val="000000" w:themeColor="text1"/>
          <w:sz w:val="24"/>
          <w:szCs w:val="24"/>
          <w:lang w:val="en-ZA"/>
        </w:rPr>
        <w:t xml:space="preserve"> affidavit requirements of rule 65(1), other than the peremptory notice of motion requirements that must be met by every application. A new application must in addition be supported by an affidavit.  The affidavit must contain the facts and/or the circumstances on which the applicant relies for the relief sought and the cause or matter of the application must not be part of any such existing cause or matter. Thus, if an </w:t>
      </w:r>
      <w:r w:rsidRPr="00481243">
        <w:rPr>
          <w:rFonts w:ascii="Arial" w:hAnsi="Arial"/>
          <w:color w:val="000000" w:themeColor="text1"/>
          <w:sz w:val="24"/>
          <w:szCs w:val="24"/>
        </w:rPr>
        <w:t xml:space="preserve">application </w:t>
      </w:r>
      <w:r w:rsidRPr="00481243">
        <w:rPr>
          <w:rFonts w:ascii="Arial" w:hAnsi="Arial"/>
          <w:color w:val="000000" w:themeColor="text1"/>
          <w:sz w:val="24"/>
          <w:szCs w:val="24"/>
          <w:lang w:val="en-ZA"/>
        </w:rPr>
        <w:t xml:space="preserve">process shows the above traits, it initiates new proceedings, making it peremptory for the applicant to comply with the rule 65(1) affidavit requirements. It follows that, where an application does not demonstrate the above listed factors which signifies the newness of the application, it does not initiate new proceedings and is therefore not required to comply with the mandatory affidavit requirements of rule </w:t>
      </w:r>
      <w:r w:rsidRPr="00481243">
        <w:rPr>
          <w:rFonts w:ascii="Arial" w:hAnsi="Arial"/>
          <w:color w:val="000000" w:themeColor="text1"/>
          <w:sz w:val="24"/>
          <w:szCs w:val="24"/>
        </w:rPr>
        <w:t>65(1)</w:t>
      </w:r>
      <w:r w:rsidRPr="00481243">
        <w:rPr>
          <w:rFonts w:ascii="Arial" w:hAnsi="Arial"/>
          <w:color w:val="000000" w:themeColor="text1"/>
          <w:sz w:val="24"/>
          <w:szCs w:val="24"/>
          <w:lang w:val="en-ZA"/>
        </w:rPr>
        <w:t xml:space="preserve">. The application will therefore not be a nullity. </w:t>
      </w:r>
    </w:p>
    <w:p w:rsidR="00702D7A" w:rsidRPr="00481243" w:rsidRDefault="00702D7A" w:rsidP="003948C9">
      <w:pPr>
        <w:pStyle w:val="ListParagraph"/>
        <w:numPr>
          <w:ilvl w:val="0"/>
          <w:numId w:val="46"/>
        </w:numPr>
        <w:spacing w:after="0" w:line="480" w:lineRule="auto"/>
        <w:ind w:left="0" w:firstLine="0"/>
        <w:jc w:val="both"/>
        <w:rPr>
          <w:rFonts w:ascii="Arial" w:hAnsi="Arial"/>
          <w:color w:val="000000" w:themeColor="text1"/>
          <w:sz w:val="24"/>
          <w:szCs w:val="24"/>
          <w:lang w:val="en-ZA"/>
        </w:rPr>
      </w:pPr>
      <w:r w:rsidRPr="00481243">
        <w:rPr>
          <w:rFonts w:ascii="Arial" w:hAnsi="Arial"/>
          <w:color w:val="000000" w:themeColor="text1"/>
          <w:sz w:val="24"/>
          <w:szCs w:val="24"/>
        </w:rPr>
        <w:lastRenderedPageBreak/>
        <w:t>In</w:t>
      </w:r>
      <w:r w:rsidRPr="00481243">
        <w:rPr>
          <w:rFonts w:ascii="Arial" w:hAnsi="Arial"/>
          <w:i/>
          <w:color w:val="000000" w:themeColor="text1"/>
          <w:sz w:val="24"/>
          <w:szCs w:val="24"/>
        </w:rPr>
        <w:t xml:space="preserve"> </w:t>
      </w:r>
      <w:r w:rsidR="002B3980" w:rsidRPr="00481243">
        <w:rPr>
          <w:rFonts w:ascii="Arial" w:hAnsi="Arial" w:cs="Arial"/>
          <w:i/>
          <w:color w:val="000000" w:themeColor="text1"/>
          <w:sz w:val="24"/>
          <w:szCs w:val="24"/>
        </w:rPr>
        <w:t>Kaune v Tjozongoro</w:t>
      </w:r>
      <w:r w:rsidRPr="00481243">
        <w:rPr>
          <w:rFonts w:ascii="Arial" w:hAnsi="Arial"/>
          <w:i/>
          <w:color w:val="000000" w:themeColor="text1"/>
          <w:sz w:val="24"/>
          <w:szCs w:val="24"/>
          <w:lang w:val="en-ZA"/>
        </w:rPr>
        <w:t>,</w:t>
      </w:r>
      <w:r w:rsidRPr="00481243">
        <w:rPr>
          <w:rStyle w:val="FootnoteReference"/>
          <w:rFonts w:ascii="Arial" w:hAnsi="Arial"/>
          <w:color w:val="000000" w:themeColor="text1"/>
          <w:sz w:val="24"/>
          <w:szCs w:val="24"/>
          <w:lang w:val="en-ZA"/>
        </w:rPr>
        <w:footnoteReference w:id="16"/>
      </w:r>
      <w:r w:rsidRPr="00481243">
        <w:rPr>
          <w:rFonts w:ascii="Arial" w:hAnsi="Arial"/>
          <w:i/>
          <w:color w:val="000000" w:themeColor="text1"/>
          <w:sz w:val="24"/>
          <w:szCs w:val="24"/>
          <w:lang w:val="en-ZA"/>
        </w:rPr>
        <w:t xml:space="preserve"> </w:t>
      </w:r>
      <w:r w:rsidRPr="00481243">
        <w:rPr>
          <w:rFonts w:ascii="Arial" w:hAnsi="Arial"/>
          <w:color w:val="000000" w:themeColor="text1"/>
          <w:sz w:val="24"/>
          <w:szCs w:val="24"/>
          <w:lang w:val="en-ZA"/>
        </w:rPr>
        <w:t xml:space="preserve">the court was faced with </w:t>
      </w:r>
      <w:r w:rsidRPr="00481243">
        <w:rPr>
          <w:rFonts w:ascii="Arial" w:hAnsi="Arial"/>
          <w:color w:val="000000" w:themeColor="text1"/>
          <w:sz w:val="24"/>
          <w:szCs w:val="24"/>
        </w:rPr>
        <w:t>a</w:t>
      </w:r>
      <w:r w:rsidRPr="00481243">
        <w:rPr>
          <w:rFonts w:ascii="Arial" w:hAnsi="Arial"/>
          <w:color w:val="000000" w:themeColor="text1"/>
          <w:sz w:val="24"/>
          <w:szCs w:val="24"/>
          <w:lang w:val="en-ZA"/>
        </w:rPr>
        <w:t xml:space="preserve"> similar question </w:t>
      </w:r>
      <w:r w:rsidRPr="00481243">
        <w:rPr>
          <w:rFonts w:ascii="Arial" w:hAnsi="Arial"/>
          <w:color w:val="000000" w:themeColor="text1"/>
          <w:sz w:val="24"/>
          <w:szCs w:val="24"/>
        </w:rPr>
        <w:t xml:space="preserve">but </w:t>
      </w:r>
      <w:r w:rsidRPr="00481243">
        <w:rPr>
          <w:rFonts w:ascii="Arial" w:hAnsi="Arial"/>
          <w:color w:val="000000" w:themeColor="text1"/>
          <w:sz w:val="24"/>
          <w:szCs w:val="24"/>
          <w:lang w:val="en-ZA"/>
        </w:rPr>
        <w:t>in the context of the mea</w:t>
      </w:r>
      <w:r w:rsidRPr="00481243">
        <w:rPr>
          <w:rFonts w:ascii="Arial" w:hAnsi="Arial"/>
          <w:color w:val="000000" w:themeColor="text1"/>
          <w:sz w:val="24"/>
          <w:szCs w:val="24"/>
        </w:rPr>
        <w:t>ni</w:t>
      </w:r>
      <w:r w:rsidRPr="00481243">
        <w:rPr>
          <w:rFonts w:ascii="Arial" w:hAnsi="Arial"/>
          <w:color w:val="000000" w:themeColor="text1"/>
          <w:sz w:val="24"/>
          <w:szCs w:val="24"/>
          <w:lang w:val="en-ZA"/>
        </w:rPr>
        <w:t xml:space="preserve">ng of ‘an application’ in rule 97(3) of the High Court Rules </w:t>
      </w:r>
      <w:r w:rsidRPr="00481243">
        <w:rPr>
          <w:rFonts w:ascii="Arial" w:hAnsi="Arial"/>
          <w:color w:val="000000" w:themeColor="text1"/>
          <w:sz w:val="24"/>
          <w:szCs w:val="24"/>
        </w:rPr>
        <w:t>and with reference</w:t>
      </w:r>
      <w:r w:rsidRPr="00481243">
        <w:rPr>
          <w:rFonts w:ascii="Arial" w:hAnsi="Arial"/>
          <w:color w:val="000000" w:themeColor="text1"/>
          <w:sz w:val="24"/>
          <w:szCs w:val="24"/>
          <w:lang w:val="en-ZA"/>
        </w:rPr>
        <w:t xml:space="preserve"> to the wording of rule 65(1), which defines the initiation of proceedings as that which must be based on a notice of motion (supported by the required affidavit). In terms of rule 65(1), the court there held that a rule 97(3) application for a costs order where there was no consent as to the payment of costs in a notice of withdrawal</w:t>
      </w:r>
      <w:r w:rsidRPr="00481243">
        <w:rPr>
          <w:rFonts w:ascii="Arial" w:hAnsi="Arial"/>
          <w:color w:val="000000" w:themeColor="text1"/>
          <w:sz w:val="24"/>
          <w:szCs w:val="24"/>
        </w:rPr>
        <w:t xml:space="preserve">, </w:t>
      </w:r>
      <w:r w:rsidRPr="00481243">
        <w:rPr>
          <w:rFonts w:ascii="Arial" w:hAnsi="Arial"/>
          <w:color w:val="000000" w:themeColor="text1"/>
          <w:sz w:val="24"/>
          <w:szCs w:val="24"/>
          <w:lang w:val="en-ZA"/>
        </w:rPr>
        <w:t xml:space="preserve">is not a valid application if it does not comply with the notice of motion requirements of rule 65(1). </w:t>
      </w:r>
    </w:p>
    <w:p w:rsidR="00702D7A" w:rsidRPr="00481243" w:rsidRDefault="00702D7A" w:rsidP="00702D7A">
      <w:pPr>
        <w:spacing w:after="0" w:line="480" w:lineRule="auto"/>
        <w:jc w:val="both"/>
        <w:rPr>
          <w:rFonts w:ascii="Arial" w:hAnsi="Arial"/>
          <w:color w:val="000000" w:themeColor="text1"/>
          <w:sz w:val="24"/>
          <w:szCs w:val="24"/>
          <w:lang w:val="en-ZA"/>
        </w:rPr>
      </w:pPr>
    </w:p>
    <w:p w:rsidR="00702D7A" w:rsidRPr="00481243" w:rsidRDefault="00702D7A" w:rsidP="00F203B6">
      <w:pPr>
        <w:pStyle w:val="ListParagraph"/>
        <w:numPr>
          <w:ilvl w:val="0"/>
          <w:numId w:val="46"/>
        </w:numPr>
        <w:spacing w:after="0" w:line="480" w:lineRule="auto"/>
        <w:ind w:left="0" w:firstLine="0"/>
        <w:jc w:val="both"/>
        <w:rPr>
          <w:rFonts w:ascii="Arial" w:hAnsi="Arial"/>
          <w:color w:val="000000" w:themeColor="text1"/>
          <w:sz w:val="24"/>
          <w:szCs w:val="24"/>
          <w:lang w:val="en-ZA" w:eastAsia="en-ZA"/>
        </w:rPr>
      </w:pPr>
      <w:r w:rsidRPr="00481243">
        <w:rPr>
          <w:rFonts w:ascii="Arial" w:hAnsi="Arial"/>
          <w:color w:val="000000" w:themeColor="text1"/>
          <w:sz w:val="24"/>
          <w:szCs w:val="24"/>
          <w:lang w:val="en-ZA"/>
        </w:rPr>
        <w:t>Thus, where application proceedings are</w:t>
      </w:r>
      <w:r w:rsidRPr="00481243">
        <w:rPr>
          <w:rFonts w:ascii="Arial" w:hAnsi="Arial"/>
          <w:color w:val="000000" w:themeColor="text1"/>
          <w:sz w:val="24"/>
          <w:szCs w:val="24"/>
        </w:rPr>
        <w:t xml:space="preserve"> new and</w:t>
      </w:r>
      <w:r w:rsidRPr="00481243">
        <w:rPr>
          <w:rFonts w:ascii="Arial" w:hAnsi="Arial"/>
          <w:color w:val="000000" w:themeColor="text1"/>
          <w:sz w:val="24"/>
          <w:szCs w:val="24"/>
          <w:lang w:val="en-ZA"/>
        </w:rPr>
        <w:t xml:space="preserve"> initiated without the </w:t>
      </w:r>
      <w:r w:rsidRPr="00481243">
        <w:rPr>
          <w:rFonts w:ascii="Arial" w:hAnsi="Arial"/>
          <w:color w:val="000000" w:themeColor="text1"/>
          <w:sz w:val="24"/>
          <w:szCs w:val="24"/>
        </w:rPr>
        <w:t>mandator</w:t>
      </w:r>
      <w:r w:rsidRPr="00481243">
        <w:rPr>
          <w:rFonts w:ascii="Arial" w:hAnsi="Arial"/>
          <w:color w:val="000000" w:themeColor="text1"/>
          <w:sz w:val="24"/>
          <w:szCs w:val="24"/>
          <w:lang w:val="en-ZA"/>
        </w:rPr>
        <w:t>y rule 65(1) notice of motion</w:t>
      </w:r>
      <w:r w:rsidRPr="00481243">
        <w:rPr>
          <w:rFonts w:ascii="Arial" w:hAnsi="Arial"/>
          <w:color w:val="000000" w:themeColor="text1"/>
          <w:sz w:val="24"/>
          <w:szCs w:val="24"/>
        </w:rPr>
        <w:t xml:space="preserve">, </w:t>
      </w:r>
      <w:r w:rsidRPr="00481243">
        <w:rPr>
          <w:rFonts w:ascii="Arial" w:hAnsi="Arial"/>
          <w:color w:val="000000" w:themeColor="text1"/>
          <w:sz w:val="24"/>
          <w:szCs w:val="24"/>
          <w:lang w:val="en-ZA"/>
        </w:rPr>
        <w:t>the application will lapse</w:t>
      </w:r>
      <w:r w:rsidRPr="00481243">
        <w:rPr>
          <w:rFonts w:ascii="Arial" w:hAnsi="Arial"/>
          <w:color w:val="000000" w:themeColor="text1"/>
          <w:sz w:val="24"/>
          <w:szCs w:val="24"/>
        </w:rPr>
        <w:t xml:space="preserve"> as the court in </w:t>
      </w:r>
      <w:r w:rsidR="00F203B6" w:rsidRPr="00481243">
        <w:rPr>
          <w:rFonts w:ascii="Arial" w:hAnsi="Arial" w:cs="Arial"/>
          <w:i/>
          <w:color w:val="000000" w:themeColor="text1"/>
          <w:sz w:val="24"/>
          <w:szCs w:val="24"/>
        </w:rPr>
        <w:t>Kaune v Tjozongoro</w:t>
      </w:r>
      <w:r w:rsidRPr="00481243">
        <w:rPr>
          <w:rFonts w:ascii="Arial" w:hAnsi="Arial"/>
          <w:color w:val="000000" w:themeColor="text1"/>
          <w:sz w:val="24"/>
          <w:szCs w:val="24"/>
        </w:rPr>
        <w:t xml:space="preserve"> quite correctly held</w:t>
      </w:r>
      <w:r w:rsidRPr="00481243">
        <w:rPr>
          <w:rFonts w:ascii="Arial" w:hAnsi="Arial"/>
          <w:color w:val="000000" w:themeColor="text1"/>
          <w:sz w:val="24"/>
          <w:szCs w:val="24"/>
          <w:lang w:val="en-ZA"/>
        </w:rPr>
        <w:t xml:space="preserve">. </w:t>
      </w:r>
      <w:r w:rsidRPr="00481243">
        <w:rPr>
          <w:rFonts w:ascii="Arial" w:hAnsi="Arial"/>
          <w:color w:val="000000" w:themeColor="text1"/>
          <w:sz w:val="24"/>
          <w:szCs w:val="24"/>
        </w:rPr>
        <w:t>Thus, w</w:t>
      </w:r>
      <w:r w:rsidRPr="00481243">
        <w:rPr>
          <w:rFonts w:ascii="Arial" w:hAnsi="Arial"/>
          <w:color w:val="000000" w:themeColor="text1"/>
          <w:sz w:val="24"/>
          <w:szCs w:val="24"/>
          <w:lang w:val="en-ZA"/>
        </w:rPr>
        <w:t>here the application does not commence new proceedings</w:t>
      </w:r>
      <w:r w:rsidRPr="00481243">
        <w:rPr>
          <w:rFonts w:ascii="Arial" w:hAnsi="Arial"/>
          <w:color w:val="000000" w:themeColor="text1"/>
          <w:sz w:val="24"/>
          <w:szCs w:val="24"/>
        </w:rPr>
        <w:t xml:space="preserve"> and might simply be a </w:t>
      </w:r>
      <w:r w:rsidRPr="00481243">
        <w:rPr>
          <w:rFonts w:ascii="Arial" w:hAnsi="Arial"/>
          <w:i/>
          <w:color w:val="000000" w:themeColor="text1"/>
          <w:sz w:val="24"/>
          <w:szCs w:val="24"/>
        </w:rPr>
        <w:t xml:space="preserve">continuum </w:t>
      </w:r>
      <w:r w:rsidRPr="00481243">
        <w:rPr>
          <w:rFonts w:ascii="Arial" w:hAnsi="Arial"/>
          <w:color w:val="000000" w:themeColor="text1"/>
          <w:sz w:val="24"/>
          <w:szCs w:val="24"/>
        </w:rPr>
        <w:t>of the initial application proceedings, t</w:t>
      </w:r>
      <w:r w:rsidRPr="00481243">
        <w:rPr>
          <w:rFonts w:ascii="Arial" w:hAnsi="Arial"/>
          <w:color w:val="000000" w:themeColor="text1"/>
          <w:sz w:val="24"/>
          <w:szCs w:val="24"/>
          <w:lang w:val="en-ZA"/>
        </w:rPr>
        <w:t xml:space="preserve">he </w:t>
      </w:r>
      <w:r w:rsidRPr="00481243">
        <w:rPr>
          <w:rFonts w:ascii="Arial" w:hAnsi="Arial"/>
          <w:color w:val="000000" w:themeColor="text1"/>
          <w:sz w:val="24"/>
          <w:szCs w:val="24"/>
        </w:rPr>
        <w:t xml:space="preserve">rule 65(1) </w:t>
      </w:r>
      <w:r w:rsidRPr="00481243">
        <w:rPr>
          <w:rFonts w:ascii="Arial" w:hAnsi="Arial"/>
          <w:color w:val="000000" w:themeColor="text1"/>
          <w:sz w:val="24"/>
          <w:szCs w:val="24"/>
          <w:lang w:val="en-ZA"/>
        </w:rPr>
        <w:t xml:space="preserve">notice of motion supported by the required affidavit </w:t>
      </w:r>
      <w:r w:rsidRPr="00481243">
        <w:rPr>
          <w:rFonts w:ascii="Arial" w:hAnsi="Arial"/>
          <w:color w:val="000000" w:themeColor="text1"/>
          <w:sz w:val="24"/>
          <w:szCs w:val="24"/>
        </w:rPr>
        <w:t>in our view</w:t>
      </w:r>
      <w:r w:rsidRPr="00481243">
        <w:rPr>
          <w:rFonts w:ascii="Arial" w:hAnsi="Arial"/>
          <w:color w:val="000000" w:themeColor="text1"/>
          <w:sz w:val="24"/>
          <w:szCs w:val="24"/>
          <w:lang w:val="en-ZA"/>
        </w:rPr>
        <w:t>, is not require</w:t>
      </w:r>
      <w:r w:rsidRPr="00481243">
        <w:rPr>
          <w:rFonts w:ascii="Arial" w:hAnsi="Arial"/>
          <w:color w:val="000000" w:themeColor="text1"/>
          <w:sz w:val="24"/>
          <w:szCs w:val="24"/>
        </w:rPr>
        <w:t xml:space="preserve">d and non-compliance will therefore not be fatal to the application. In the context of </w:t>
      </w:r>
      <w:r w:rsidRPr="00481243">
        <w:rPr>
          <w:rFonts w:ascii="Arial" w:hAnsi="Arial"/>
          <w:color w:val="000000" w:themeColor="text1"/>
          <w:sz w:val="24"/>
          <w:szCs w:val="24"/>
          <w:lang w:val="en-ZA"/>
        </w:rPr>
        <w:t>the</w:t>
      </w:r>
      <w:r w:rsidRPr="00481243">
        <w:rPr>
          <w:rFonts w:ascii="Arial" w:hAnsi="Arial"/>
          <w:color w:val="000000" w:themeColor="text1"/>
          <w:sz w:val="24"/>
          <w:szCs w:val="24"/>
        </w:rPr>
        <w:t xml:space="preserve"> above exposition of the rule</w:t>
      </w:r>
      <w:r w:rsidRPr="00481243">
        <w:rPr>
          <w:rFonts w:ascii="Arial" w:hAnsi="Arial"/>
          <w:color w:val="000000" w:themeColor="text1"/>
          <w:sz w:val="24"/>
          <w:szCs w:val="24"/>
          <w:lang w:val="en-ZA"/>
        </w:rPr>
        <w:t>, the question whether or not the rule 65(1) notice of motion was required in the application forfeiture</w:t>
      </w:r>
      <w:r w:rsidR="00DC06A8" w:rsidRPr="00481243">
        <w:rPr>
          <w:rFonts w:ascii="Arial" w:hAnsi="Arial"/>
          <w:color w:val="000000" w:themeColor="text1"/>
          <w:sz w:val="24"/>
          <w:szCs w:val="24"/>
          <w:lang w:val="en-ZA"/>
        </w:rPr>
        <w:t xml:space="preserve"> order</w:t>
      </w:r>
      <w:r w:rsidRPr="00481243">
        <w:rPr>
          <w:rFonts w:ascii="Arial" w:hAnsi="Arial"/>
          <w:color w:val="000000" w:themeColor="text1"/>
          <w:sz w:val="24"/>
          <w:szCs w:val="24"/>
          <w:lang w:val="en-ZA"/>
        </w:rPr>
        <w:t xml:space="preserve"> has now to be determined.</w:t>
      </w:r>
    </w:p>
    <w:p w:rsidR="00702D7A" w:rsidRPr="00481243" w:rsidRDefault="00702D7A" w:rsidP="00702D7A">
      <w:pPr>
        <w:spacing w:after="0" w:line="480" w:lineRule="auto"/>
        <w:jc w:val="both"/>
        <w:rPr>
          <w:rFonts w:ascii="Arial" w:hAnsi="Arial"/>
          <w:color w:val="000000" w:themeColor="text1"/>
          <w:sz w:val="24"/>
          <w:szCs w:val="24"/>
          <w:lang w:val="en-ZA"/>
        </w:rPr>
      </w:pPr>
    </w:p>
    <w:p w:rsidR="00702D7A" w:rsidRPr="00481243" w:rsidRDefault="00702D7A" w:rsidP="00702D7A">
      <w:pPr>
        <w:spacing w:after="0" w:line="480" w:lineRule="auto"/>
        <w:jc w:val="both"/>
        <w:rPr>
          <w:rFonts w:ascii="Arial" w:hAnsi="Arial"/>
          <w:i/>
          <w:color w:val="000000" w:themeColor="text1"/>
          <w:sz w:val="24"/>
          <w:szCs w:val="24"/>
          <w:lang w:val="en-ZA" w:eastAsia="en-ZA"/>
        </w:rPr>
      </w:pPr>
      <w:r w:rsidRPr="00481243">
        <w:rPr>
          <w:rFonts w:ascii="Arial" w:hAnsi="Arial"/>
          <w:i/>
          <w:color w:val="000000" w:themeColor="text1"/>
          <w:sz w:val="24"/>
          <w:szCs w:val="24"/>
          <w:lang w:val="en-ZA"/>
        </w:rPr>
        <w:t>The rule 65(1) notice and the applic</w:t>
      </w:r>
      <w:r w:rsidRPr="00481243">
        <w:rPr>
          <w:rFonts w:ascii="Arial" w:hAnsi="Arial"/>
          <w:i/>
          <w:color w:val="000000" w:themeColor="text1"/>
          <w:sz w:val="24"/>
          <w:szCs w:val="24"/>
        </w:rPr>
        <w:t>a</w:t>
      </w:r>
      <w:r w:rsidRPr="00481243">
        <w:rPr>
          <w:rFonts w:ascii="Arial" w:hAnsi="Arial"/>
          <w:i/>
          <w:color w:val="000000" w:themeColor="text1"/>
          <w:sz w:val="24"/>
          <w:szCs w:val="24"/>
          <w:lang w:val="en-ZA"/>
        </w:rPr>
        <w:t>tion for</w:t>
      </w:r>
      <w:r w:rsidRPr="00481243">
        <w:rPr>
          <w:rFonts w:ascii="Arial" w:hAnsi="Arial"/>
          <w:i/>
          <w:color w:val="000000" w:themeColor="text1"/>
          <w:sz w:val="24"/>
          <w:szCs w:val="24"/>
        </w:rPr>
        <w:t xml:space="preserve"> </w:t>
      </w:r>
      <w:r w:rsidR="00DC06A8" w:rsidRPr="00481243">
        <w:rPr>
          <w:rFonts w:ascii="Arial" w:hAnsi="Arial"/>
          <w:i/>
          <w:color w:val="000000" w:themeColor="text1"/>
          <w:sz w:val="24"/>
          <w:szCs w:val="24"/>
          <w:lang w:val="en-ZA"/>
        </w:rPr>
        <w:t>the</w:t>
      </w:r>
      <w:r w:rsidRPr="00481243">
        <w:rPr>
          <w:rFonts w:ascii="Arial" w:hAnsi="Arial"/>
          <w:i/>
          <w:color w:val="000000" w:themeColor="text1"/>
          <w:sz w:val="24"/>
          <w:szCs w:val="24"/>
          <w:lang w:val="en-ZA"/>
        </w:rPr>
        <w:t xml:space="preserve"> forfeiture order</w:t>
      </w:r>
    </w:p>
    <w:p w:rsidR="00702D7A" w:rsidRPr="00481243" w:rsidRDefault="00702D7A" w:rsidP="00F203B6">
      <w:pPr>
        <w:pStyle w:val="ListParagraph"/>
        <w:numPr>
          <w:ilvl w:val="0"/>
          <w:numId w:val="46"/>
        </w:numPr>
        <w:spacing w:after="0" w:line="480" w:lineRule="auto"/>
        <w:ind w:left="0" w:firstLine="0"/>
        <w:jc w:val="both"/>
        <w:rPr>
          <w:rFonts w:ascii="Arial" w:hAnsi="Arial"/>
          <w:color w:val="000000" w:themeColor="text1"/>
          <w:sz w:val="24"/>
          <w:szCs w:val="24"/>
          <w:lang w:val="en-ZA"/>
        </w:rPr>
      </w:pPr>
      <w:r w:rsidRPr="00481243">
        <w:rPr>
          <w:rFonts w:ascii="Arial" w:hAnsi="Arial"/>
          <w:color w:val="000000" w:themeColor="text1"/>
          <w:sz w:val="24"/>
          <w:szCs w:val="24"/>
          <w:lang w:val="en-ZA"/>
        </w:rPr>
        <w:t xml:space="preserve">To determine </w:t>
      </w:r>
      <w:r w:rsidRPr="00481243">
        <w:rPr>
          <w:rFonts w:ascii="Arial" w:hAnsi="Arial"/>
          <w:color w:val="000000" w:themeColor="text1"/>
          <w:sz w:val="24"/>
          <w:szCs w:val="24"/>
        </w:rPr>
        <w:t>whether the</w:t>
      </w:r>
      <w:r w:rsidRPr="00481243">
        <w:rPr>
          <w:rFonts w:ascii="Arial" w:hAnsi="Arial"/>
          <w:color w:val="000000" w:themeColor="text1"/>
          <w:sz w:val="24"/>
          <w:szCs w:val="24"/>
          <w:lang w:val="en-ZA"/>
        </w:rPr>
        <w:t xml:space="preserve"> application for the preservation order and that of the forfeiture order</w:t>
      </w:r>
      <w:r w:rsidRPr="00481243">
        <w:rPr>
          <w:rFonts w:ascii="Arial" w:hAnsi="Arial"/>
          <w:color w:val="000000" w:themeColor="text1"/>
          <w:sz w:val="24"/>
          <w:szCs w:val="24"/>
        </w:rPr>
        <w:t xml:space="preserve"> constitute two separate, distinct pr</w:t>
      </w:r>
      <w:r w:rsidRPr="00481243">
        <w:rPr>
          <w:rFonts w:ascii="Arial" w:hAnsi="Arial"/>
          <w:color w:val="000000" w:themeColor="text1"/>
          <w:sz w:val="24"/>
          <w:szCs w:val="24"/>
          <w:lang w:val="en-ZA"/>
        </w:rPr>
        <w:t>oceedings</w:t>
      </w:r>
      <w:r w:rsidRPr="00481243">
        <w:rPr>
          <w:rFonts w:ascii="Arial" w:hAnsi="Arial"/>
          <w:color w:val="000000" w:themeColor="text1"/>
          <w:sz w:val="24"/>
          <w:szCs w:val="24"/>
        </w:rPr>
        <w:t xml:space="preserve"> independent of each other</w:t>
      </w:r>
      <w:r w:rsidR="00D224C7" w:rsidRPr="00481243">
        <w:rPr>
          <w:rFonts w:ascii="Arial" w:hAnsi="Arial"/>
          <w:color w:val="000000" w:themeColor="text1"/>
          <w:sz w:val="24"/>
          <w:szCs w:val="24"/>
        </w:rPr>
        <w:t>,</w:t>
      </w:r>
      <w:r w:rsidRPr="00481243">
        <w:rPr>
          <w:rFonts w:ascii="Arial" w:hAnsi="Arial"/>
          <w:color w:val="000000" w:themeColor="text1"/>
          <w:sz w:val="24"/>
          <w:szCs w:val="24"/>
        </w:rPr>
        <w:t xml:space="preserve"> where each</w:t>
      </w:r>
      <w:r w:rsidRPr="00481243">
        <w:rPr>
          <w:rFonts w:ascii="Arial" w:hAnsi="Arial"/>
          <w:color w:val="000000" w:themeColor="text1"/>
          <w:sz w:val="24"/>
          <w:szCs w:val="24"/>
          <w:lang w:val="en-ZA"/>
        </w:rPr>
        <w:t xml:space="preserve"> must </w:t>
      </w:r>
      <w:r w:rsidRPr="00481243">
        <w:rPr>
          <w:rFonts w:ascii="Arial" w:hAnsi="Arial"/>
          <w:color w:val="000000" w:themeColor="text1"/>
          <w:sz w:val="24"/>
          <w:szCs w:val="24"/>
        </w:rPr>
        <w:t xml:space="preserve">meet the peremptory requirements of rule 65(1) as the </w:t>
      </w:r>
      <w:r w:rsidRPr="00481243">
        <w:rPr>
          <w:rFonts w:ascii="Arial" w:hAnsi="Arial"/>
          <w:color w:val="000000" w:themeColor="text1"/>
          <w:sz w:val="24"/>
          <w:szCs w:val="24"/>
        </w:rPr>
        <w:lastRenderedPageBreak/>
        <w:t>High Court held or whether the two proce</w:t>
      </w:r>
      <w:r w:rsidRPr="00481243">
        <w:rPr>
          <w:rFonts w:ascii="Arial" w:hAnsi="Arial"/>
          <w:color w:val="000000" w:themeColor="text1"/>
          <w:sz w:val="24"/>
          <w:szCs w:val="24"/>
          <w:lang w:val="en-ZA"/>
        </w:rPr>
        <w:t xml:space="preserve">edings </w:t>
      </w:r>
      <w:r w:rsidRPr="00481243">
        <w:rPr>
          <w:rFonts w:ascii="Arial" w:hAnsi="Arial"/>
          <w:color w:val="000000" w:themeColor="text1"/>
          <w:sz w:val="24"/>
          <w:szCs w:val="24"/>
        </w:rPr>
        <w:t>constitute two stages of one single and intertwined process aimed at</w:t>
      </w:r>
      <w:r w:rsidRPr="00481243">
        <w:rPr>
          <w:rFonts w:ascii="Arial" w:hAnsi="Arial"/>
          <w:color w:val="000000" w:themeColor="text1"/>
          <w:sz w:val="24"/>
          <w:szCs w:val="24"/>
          <w:lang w:val="en-ZA"/>
        </w:rPr>
        <w:t xml:space="preserve"> the f</w:t>
      </w:r>
      <w:r w:rsidRPr="00481243">
        <w:rPr>
          <w:rFonts w:ascii="Arial" w:hAnsi="Arial"/>
          <w:color w:val="000000" w:themeColor="text1"/>
          <w:sz w:val="24"/>
          <w:szCs w:val="24"/>
        </w:rPr>
        <w:t>orfeit</w:t>
      </w:r>
      <w:r w:rsidRPr="00481243">
        <w:rPr>
          <w:rFonts w:ascii="Arial" w:hAnsi="Arial"/>
          <w:color w:val="000000" w:themeColor="text1"/>
          <w:sz w:val="24"/>
          <w:szCs w:val="24"/>
          <w:lang w:val="en-ZA"/>
        </w:rPr>
        <w:t>ure of the properties to the State, we start by first showing the relationship between the two proceedings in the context of the operation and implementation of the relevant POCA provisions.</w:t>
      </w:r>
    </w:p>
    <w:p w:rsidR="00F203B6" w:rsidRPr="00481243" w:rsidRDefault="00F203B6" w:rsidP="00702D7A">
      <w:pPr>
        <w:pStyle w:val="ListParagraph"/>
        <w:spacing w:after="0" w:line="480" w:lineRule="auto"/>
        <w:ind w:left="0"/>
        <w:jc w:val="both"/>
        <w:rPr>
          <w:rFonts w:ascii="Arial" w:hAnsi="Arial"/>
          <w:color w:val="000000" w:themeColor="text1"/>
          <w:sz w:val="24"/>
          <w:szCs w:val="24"/>
          <w:lang w:val="en-ZA"/>
        </w:rPr>
      </w:pPr>
    </w:p>
    <w:p w:rsidR="00702D7A" w:rsidRPr="00481243" w:rsidRDefault="00702D7A" w:rsidP="00F203B6">
      <w:pPr>
        <w:pStyle w:val="ListParagraph"/>
        <w:numPr>
          <w:ilvl w:val="0"/>
          <w:numId w:val="46"/>
        </w:numPr>
        <w:spacing w:after="0" w:line="480" w:lineRule="auto"/>
        <w:ind w:left="0" w:firstLine="0"/>
        <w:jc w:val="both"/>
        <w:rPr>
          <w:rFonts w:ascii="Arial" w:hAnsi="Arial"/>
          <w:color w:val="000000" w:themeColor="text1"/>
          <w:sz w:val="24"/>
          <w:szCs w:val="24"/>
          <w:lang w:val="en-ZA"/>
        </w:rPr>
      </w:pPr>
      <w:r w:rsidRPr="00481243">
        <w:rPr>
          <w:rFonts w:ascii="Arial" w:hAnsi="Arial"/>
          <w:color w:val="000000" w:themeColor="text1"/>
          <w:sz w:val="24"/>
          <w:szCs w:val="24"/>
          <w:lang w:val="en-ZA"/>
        </w:rPr>
        <w:t xml:space="preserve">It is well established that the Namibian POCA replicates its South African counterpart as this court noted in </w:t>
      </w:r>
      <w:r w:rsidRPr="00481243">
        <w:rPr>
          <w:rFonts w:ascii="Arial" w:hAnsi="Arial"/>
          <w:i/>
          <w:iCs/>
          <w:color w:val="000000" w:themeColor="text1"/>
          <w:sz w:val="24"/>
          <w:szCs w:val="24"/>
          <w:lang w:val="en-ZA" w:eastAsia="en-ZA"/>
        </w:rPr>
        <w:t>Prosecutor-General v Uuyoni</w:t>
      </w:r>
      <w:r w:rsidRPr="00481243">
        <w:rPr>
          <w:rFonts w:ascii="Arial" w:hAnsi="Arial"/>
          <w:i/>
          <w:iCs/>
          <w:color w:val="000000" w:themeColor="text1"/>
          <w:sz w:val="24"/>
          <w:szCs w:val="24"/>
          <w:lang w:val="en-ZA"/>
        </w:rPr>
        <w:t>.</w:t>
      </w:r>
      <w:r w:rsidRPr="00481243">
        <w:rPr>
          <w:rFonts w:ascii="Arial" w:hAnsi="Arial"/>
          <w:iCs/>
          <w:color w:val="000000" w:themeColor="text1"/>
          <w:vertAlign w:val="superscript"/>
          <w:lang w:val="en-ZA" w:eastAsia="en-ZA"/>
        </w:rPr>
        <w:footnoteReference w:id="17"/>
      </w:r>
      <w:r w:rsidRPr="00481243">
        <w:rPr>
          <w:rFonts w:ascii="Arial" w:hAnsi="Arial"/>
          <w:i/>
          <w:iCs/>
          <w:color w:val="000000" w:themeColor="text1"/>
          <w:sz w:val="24"/>
          <w:szCs w:val="24"/>
          <w:lang w:val="en-ZA" w:eastAsia="en-ZA"/>
        </w:rPr>
        <w:t> </w:t>
      </w:r>
      <w:r w:rsidRPr="00481243">
        <w:rPr>
          <w:rFonts w:ascii="Arial" w:hAnsi="Arial"/>
          <w:iCs/>
          <w:color w:val="000000" w:themeColor="text1"/>
          <w:sz w:val="24"/>
          <w:szCs w:val="24"/>
          <w:lang w:val="en-ZA"/>
        </w:rPr>
        <w:t>In that matter, this court placed reliance on the Constitutional Court of South Africa’s exp</w:t>
      </w:r>
      <w:r w:rsidR="00F203B6" w:rsidRPr="00481243">
        <w:rPr>
          <w:rFonts w:ascii="Arial" w:hAnsi="Arial"/>
          <w:iCs/>
          <w:color w:val="000000" w:themeColor="text1"/>
          <w:sz w:val="24"/>
          <w:szCs w:val="24"/>
          <w:lang w:val="en-ZA"/>
        </w:rPr>
        <w:t>lanation of the application of C</w:t>
      </w:r>
      <w:r w:rsidRPr="00481243">
        <w:rPr>
          <w:rFonts w:ascii="Arial" w:hAnsi="Arial"/>
          <w:iCs/>
          <w:color w:val="000000" w:themeColor="text1"/>
          <w:sz w:val="24"/>
          <w:szCs w:val="24"/>
          <w:lang w:val="en-ZA"/>
        </w:rPr>
        <w:t>hapter</w:t>
      </w:r>
      <w:r w:rsidRPr="00481243">
        <w:rPr>
          <w:rFonts w:ascii="Arial" w:hAnsi="Arial"/>
          <w:iCs/>
          <w:color w:val="000000" w:themeColor="text1"/>
          <w:sz w:val="24"/>
          <w:szCs w:val="24"/>
        </w:rPr>
        <w:t>s</w:t>
      </w:r>
      <w:r w:rsidRPr="00481243">
        <w:rPr>
          <w:rFonts w:ascii="Arial" w:hAnsi="Arial"/>
          <w:iCs/>
          <w:color w:val="000000" w:themeColor="text1"/>
          <w:sz w:val="24"/>
          <w:szCs w:val="24"/>
          <w:lang w:val="en-ZA"/>
        </w:rPr>
        <w:t xml:space="preserve"> </w:t>
      </w:r>
      <w:r w:rsidRPr="00481243">
        <w:rPr>
          <w:rFonts w:ascii="Arial" w:hAnsi="Arial"/>
          <w:iCs/>
          <w:color w:val="000000" w:themeColor="text1"/>
          <w:sz w:val="24"/>
          <w:szCs w:val="24"/>
        </w:rPr>
        <w:t xml:space="preserve">5 and </w:t>
      </w:r>
      <w:r w:rsidRPr="00481243">
        <w:rPr>
          <w:rFonts w:ascii="Arial" w:hAnsi="Arial"/>
          <w:iCs/>
          <w:color w:val="000000" w:themeColor="text1"/>
          <w:sz w:val="24"/>
          <w:szCs w:val="24"/>
          <w:lang w:val="en-ZA"/>
        </w:rPr>
        <w:t xml:space="preserve">6 of the South African POCA as articulated in </w:t>
      </w:r>
      <w:r w:rsidRPr="00481243">
        <w:rPr>
          <w:rFonts w:ascii="Arial" w:hAnsi="Arial"/>
          <w:i/>
          <w:iCs/>
          <w:color w:val="000000" w:themeColor="text1"/>
          <w:sz w:val="24"/>
          <w:szCs w:val="24"/>
          <w:lang w:val="en-ZA" w:eastAsia="en-ZA"/>
        </w:rPr>
        <w:t>National Director of Public Prosecutions v Mohamed NO and Others.</w:t>
      </w:r>
      <w:r w:rsidRPr="00481243">
        <w:rPr>
          <w:rFonts w:ascii="Arial" w:hAnsi="Arial"/>
          <w:iCs/>
          <w:color w:val="000000" w:themeColor="text1"/>
          <w:vertAlign w:val="superscript"/>
          <w:lang w:val="en-ZA" w:eastAsia="en-ZA"/>
        </w:rPr>
        <w:footnoteReference w:id="18"/>
      </w:r>
      <w:r w:rsidRPr="00481243">
        <w:rPr>
          <w:rFonts w:ascii="Arial" w:hAnsi="Arial"/>
          <w:color w:val="000000" w:themeColor="text1"/>
          <w:vertAlign w:val="superscript"/>
          <w:lang w:val="en-ZA"/>
        </w:rPr>
        <w:t>.</w:t>
      </w:r>
      <w:r w:rsidRPr="00481243">
        <w:rPr>
          <w:rFonts w:ascii="Arial" w:hAnsi="Arial"/>
          <w:i/>
          <w:color w:val="000000" w:themeColor="text1"/>
          <w:vertAlign w:val="superscript"/>
          <w:lang w:val="en-ZA"/>
        </w:rPr>
        <w:t xml:space="preserve"> </w:t>
      </w:r>
      <w:r w:rsidRPr="00481243">
        <w:rPr>
          <w:rFonts w:ascii="Arial" w:hAnsi="Arial"/>
          <w:color w:val="000000" w:themeColor="text1"/>
          <w:sz w:val="24"/>
          <w:szCs w:val="24"/>
        </w:rPr>
        <w:t>In th</w:t>
      </w:r>
      <w:r w:rsidRPr="00481243">
        <w:rPr>
          <w:rFonts w:ascii="Arial" w:hAnsi="Arial"/>
          <w:color w:val="000000" w:themeColor="text1"/>
          <w:sz w:val="24"/>
          <w:szCs w:val="24"/>
          <w:lang w:val="en-ZA"/>
        </w:rPr>
        <w:t>at case, the Constitu</w:t>
      </w:r>
      <w:r w:rsidR="006E1EC9" w:rsidRPr="00481243">
        <w:rPr>
          <w:rFonts w:ascii="Arial" w:hAnsi="Arial"/>
          <w:color w:val="000000" w:themeColor="text1"/>
          <w:sz w:val="24"/>
          <w:szCs w:val="24"/>
          <w:lang w:val="en-ZA"/>
        </w:rPr>
        <w:t>tional Court defined the s</w:t>
      </w:r>
      <w:r w:rsidRPr="00481243">
        <w:rPr>
          <w:rFonts w:ascii="Arial" w:hAnsi="Arial"/>
          <w:color w:val="000000" w:themeColor="text1"/>
          <w:sz w:val="24"/>
          <w:szCs w:val="24"/>
          <w:lang w:val="en-ZA"/>
        </w:rPr>
        <w:t xml:space="preserve"> 38 property forfeiture process in </w:t>
      </w:r>
      <w:r w:rsidR="00F203B6" w:rsidRPr="00481243">
        <w:rPr>
          <w:rFonts w:ascii="Arial" w:hAnsi="Arial"/>
          <w:color w:val="000000" w:themeColor="text1"/>
          <w:sz w:val="24"/>
          <w:szCs w:val="24"/>
          <w:lang w:val="en-ZA"/>
        </w:rPr>
        <w:t>C</w:t>
      </w:r>
      <w:r w:rsidRPr="00481243">
        <w:rPr>
          <w:rFonts w:ascii="Arial" w:hAnsi="Arial"/>
          <w:color w:val="000000" w:themeColor="text1"/>
          <w:sz w:val="24"/>
          <w:szCs w:val="24"/>
          <w:lang w:val="en-ZA"/>
        </w:rPr>
        <w:t xml:space="preserve">hapter 6 as one complex two-stage process. The first stage is the </w:t>
      </w:r>
      <w:r w:rsidRPr="00481243">
        <w:rPr>
          <w:rFonts w:ascii="Arial" w:hAnsi="Arial"/>
          <w:i/>
          <w:color w:val="000000" w:themeColor="text1"/>
          <w:sz w:val="24"/>
          <w:szCs w:val="24"/>
          <w:lang w:val="en-ZA"/>
        </w:rPr>
        <w:t xml:space="preserve">ex parte </w:t>
      </w:r>
      <w:r w:rsidRPr="00481243">
        <w:rPr>
          <w:rFonts w:ascii="Arial" w:hAnsi="Arial"/>
          <w:color w:val="000000" w:themeColor="text1"/>
          <w:sz w:val="24"/>
          <w:szCs w:val="24"/>
          <w:lang w:val="en-ZA"/>
        </w:rPr>
        <w:t xml:space="preserve">application for an order which aims to preserve the property - </w:t>
      </w:r>
      <w:r w:rsidRPr="00481243">
        <w:rPr>
          <w:rFonts w:ascii="Arial" w:hAnsi="Arial"/>
          <w:color w:val="000000" w:themeColor="text1"/>
          <w:sz w:val="24"/>
          <w:szCs w:val="24"/>
        </w:rPr>
        <w:t>proceedings</w:t>
      </w:r>
      <w:r w:rsidRPr="00481243">
        <w:rPr>
          <w:rFonts w:ascii="Arial" w:hAnsi="Arial"/>
          <w:color w:val="000000" w:themeColor="text1"/>
          <w:sz w:val="24"/>
          <w:szCs w:val="24"/>
          <w:lang w:val="en-ZA"/>
        </w:rPr>
        <w:t xml:space="preserve"> which </w:t>
      </w:r>
      <w:r w:rsidRPr="00481243">
        <w:rPr>
          <w:rFonts w:ascii="Arial" w:hAnsi="Arial"/>
          <w:color w:val="000000" w:themeColor="text1"/>
          <w:sz w:val="24"/>
          <w:szCs w:val="24"/>
        </w:rPr>
        <w:t xml:space="preserve">are most likely applied on an urgent basis - are </w:t>
      </w:r>
      <w:r w:rsidRPr="00481243">
        <w:rPr>
          <w:rFonts w:ascii="Arial" w:hAnsi="Arial"/>
          <w:color w:val="000000" w:themeColor="text1"/>
          <w:sz w:val="24"/>
          <w:szCs w:val="24"/>
          <w:lang w:val="en-ZA"/>
        </w:rPr>
        <w:t>non-conviction base</w:t>
      </w:r>
      <w:r w:rsidRPr="00481243">
        <w:rPr>
          <w:rFonts w:ascii="Arial" w:hAnsi="Arial"/>
          <w:color w:val="000000" w:themeColor="text1"/>
          <w:sz w:val="24"/>
          <w:szCs w:val="24"/>
        </w:rPr>
        <w:t xml:space="preserve">d </w:t>
      </w:r>
      <w:r w:rsidRPr="00481243">
        <w:rPr>
          <w:rFonts w:ascii="Arial" w:hAnsi="Arial"/>
          <w:color w:val="000000" w:themeColor="text1"/>
          <w:sz w:val="24"/>
          <w:szCs w:val="24"/>
          <w:lang w:val="en-ZA"/>
        </w:rPr>
        <w:t xml:space="preserve">and have their focus on the property and not on the owner or the possessor. At this first stage of the intertwined process, the applicant must show on </w:t>
      </w:r>
      <w:r w:rsidR="003957F7" w:rsidRPr="00481243">
        <w:rPr>
          <w:rFonts w:ascii="Arial" w:hAnsi="Arial"/>
          <w:color w:val="000000" w:themeColor="text1"/>
          <w:sz w:val="24"/>
          <w:szCs w:val="24"/>
          <w:lang w:val="en-ZA"/>
        </w:rPr>
        <w:t xml:space="preserve">the face of it that </w:t>
      </w:r>
      <w:r w:rsidRPr="00481243">
        <w:rPr>
          <w:rFonts w:ascii="Arial" w:hAnsi="Arial"/>
          <w:color w:val="000000" w:themeColor="text1"/>
          <w:sz w:val="24"/>
          <w:szCs w:val="24"/>
          <w:lang w:val="en-ZA"/>
        </w:rPr>
        <w:t>the particular property is the proceeds of crime or the instrumentality of crime, or of illegal activities</w:t>
      </w:r>
      <w:r w:rsidR="003957F7" w:rsidRPr="00481243">
        <w:rPr>
          <w:rFonts w:ascii="Arial" w:hAnsi="Arial"/>
          <w:color w:val="000000" w:themeColor="text1"/>
          <w:sz w:val="24"/>
          <w:szCs w:val="24"/>
          <w:lang w:val="en-ZA"/>
        </w:rPr>
        <w:t xml:space="preserve"> and that reasonable grounds exist for that belief</w:t>
      </w:r>
      <w:r w:rsidRPr="00481243">
        <w:rPr>
          <w:rFonts w:ascii="Arial" w:hAnsi="Arial"/>
          <w:color w:val="000000" w:themeColor="text1"/>
          <w:sz w:val="24"/>
          <w:szCs w:val="24"/>
          <w:lang w:val="en-ZA"/>
        </w:rPr>
        <w:t>.</w:t>
      </w:r>
      <w:r w:rsidRPr="00481243">
        <w:rPr>
          <w:rStyle w:val="FootnoteReference"/>
          <w:rFonts w:ascii="Arial" w:hAnsi="Arial"/>
          <w:color w:val="000000" w:themeColor="text1"/>
          <w:sz w:val="24"/>
          <w:szCs w:val="24"/>
          <w:lang w:val="en-ZA"/>
        </w:rPr>
        <w:footnoteReference w:id="19"/>
      </w:r>
      <w:r w:rsidRPr="00481243">
        <w:rPr>
          <w:rFonts w:ascii="Arial" w:hAnsi="Arial"/>
          <w:color w:val="000000" w:themeColor="text1"/>
          <w:sz w:val="24"/>
          <w:szCs w:val="24"/>
          <w:lang w:val="en-ZA"/>
        </w:rPr>
        <w:t xml:space="preserve"> Th</w:t>
      </w:r>
      <w:r w:rsidRPr="00481243">
        <w:rPr>
          <w:rFonts w:ascii="Arial" w:hAnsi="Arial"/>
          <w:color w:val="000000" w:themeColor="text1"/>
          <w:sz w:val="24"/>
          <w:szCs w:val="24"/>
        </w:rPr>
        <w:t>e application for a preservation order</w:t>
      </w:r>
      <w:r w:rsidRPr="00481243">
        <w:rPr>
          <w:rFonts w:ascii="Arial" w:hAnsi="Arial"/>
          <w:color w:val="000000" w:themeColor="text1"/>
          <w:sz w:val="24"/>
          <w:szCs w:val="24"/>
          <w:lang w:val="en-ZA"/>
        </w:rPr>
        <w:t xml:space="preserve"> may thus be invoked even where no prosecution has been instituted against the owner or possessor. </w:t>
      </w:r>
      <w:r w:rsidRPr="00481243">
        <w:rPr>
          <w:rFonts w:ascii="Arial" w:hAnsi="Arial"/>
          <w:color w:val="000000" w:themeColor="text1"/>
          <w:sz w:val="24"/>
          <w:szCs w:val="24"/>
        </w:rPr>
        <w:t>Th</w:t>
      </w:r>
      <w:r w:rsidRPr="00481243">
        <w:rPr>
          <w:rFonts w:ascii="Arial" w:hAnsi="Arial"/>
          <w:color w:val="000000" w:themeColor="text1"/>
          <w:sz w:val="24"/>
          <w:szCs w:val="24"/>
          <w:lang w:val="en-ZA"/>
        </w:rPr>
        <w:t>e guilt of the owner or possessor is</w:t>
      </w:r>
      <w:r w:rsidRPr="00481243">
        <w:rPr>
          <w:rFonts w:ascii="Arial" w:hAnsi="Arial"/>
          <w:color w:val="000000" w:themeColor="text1"/>
          <w:sz w:val="24"/>
          <w:szCs w:val="24"/>
        </w:rPr>
        <w:t xml:space="preserve"> thus</w:t>
      </w:r>
      <w:r w:rsidRPr="00481243">
        <w:rPr>
          <w:rFonts w:ascii="Arial" w:hAnsi="Arial"/>
          <w:color w:val="000000" w:themeColor="text1"/>
          <w:sz w:val="24"/>
          <w:szCs w:val="24"/>
          <w:lang w:val="en-ZA"/>
        </w:rPr>
        <w:t xml:space="preserve"> not an issue </w:t>
      </w:r>
      <w:r w:rsidRPr="00481243">
        <w:rPr>
          <w:rFonts w:ascii="Arial" w:hAnsi="Arial"/>
          <w:color w:val="000000" w:themeColor="text1"/>
          <w:sz w:val="24"/>
          <w:szCs w:val="24"/>
        </w:rPr>
        <w:t xml:space="preserve">in </w:t>
      </w:r>
      <w:r w:rsidRPr="00481243">
        <w:rPr>
          <w:rFonts w:ascii="Arial" w:hAnsi="Arial"/>
          <w:color w:val="000000" w:themeColor="text1"/>
          <w:sz w:val="24"/>
          <w:szCs w:val="24"/>
          <w:lang w:val="en-ZA"/>
        </w:rPr>
        <w:t>t</w:t>
      </w:r>
      <w:r w:rsidRPr="00481243">
        <w:rPr>
          <w:rFonts w:ascii="Arial" w:hAnsi="Arial"/>
          <w:color w:val="000000" w:themeColor="text1"/>
          <w:sz w:val="24"/>
          <w:szCs w:val="24"/>
        </w:rPr>
        <w:t>he property preservation</w:t>
      </w:r>
      <w:r w:rsidRPr="00481243">
        <w:rPr>
          <w:rFonts w:ascii="Arial" w:hAnsi="Arial"/>
          <w:color w:val="000000" w:themeColor="text1"/>
          <w:sz w:val="24"/>
          <w:szCs w:val="24"/>
          <w:lang w:val="en-ZA"/>
        </w:rPr>
        <w:t xml:space="preserve"> proceedings.</w:t>
      </w:r>
    </w:p>
    <w:p w:rsidR="00702D7A" w:rsidRPr="00481243" w:rsidRDefault="00702D7A" w:rsidP="00702D7A">
      <w:pPr>
        <w:pStyle w:val="ListParagraph"/>
        <w:spacing w:after="0" w:line="480" w:lineRule="auto"/>
        <w:ind w:left="0"/>
        <w:jc w:val="both"/>
        <w:rPr>
          <w:rFonts w:ascii="Arial" w:hAnsi="Arial"/>
          <w:color w:val="000000" w:themeColor="text1"/>
          <w:sz w:val="24"/>
          <w:szCs w:val="24"/>
          <w:lang w:val="en-ZA"/>
        </w:rPr>
      </w:pPr>
    </w:p>
    <w:p w:rsidR="00702D7A" w:rsidRPr="00481243" w:rsidRDefault="00702D7A" w:rsidP="00F203B6">
      <w:pPr>
        <w:pStyle w:val="ListParagraph"/>
        <w:numPr>
          <w:ilvl w:val="0"/>
          <w:numId w:val="46"/>
        </w:numPr>
        <w:spacing w:after="0" w:line="480" w:lineRule="auto"/>
        <w:ind w:left="0" w:firstLine="0"/>
        <w:jc w:val="both"/>
        <w:rPr>
          <w:rFonts w:ascii="Arial" w:hAnsi="Arial"/>
          <w:color w:val="000000" w:themeColor="text1"/>
          <w:sz w:val="24"/>
          <w:szCs w:val="24"/>
        </w:rPr>
      </w:pPr>
      <w:r w:rsidRPr="00481243">
        <w:rPr>
          <w:rFonts w:ascii="Arial" w:hAnsi="Arial"/>
          <w:color w:val="000000" w:themeColor="text1"/>
          <w:sz w:val="24"/>
          <w:szCs w:val="24"/>
        </w:rPr>
        <w:lastRenderedPageBreak/>
        <w:t xml:space="preserve">The </w:t>
      </w:r>
      <w:r w:rsidRPr="00481243">
        <w:rPr>
          <w:rFonts w:ascii="Arial" w:hAnsi="Arial"/>
          <w:color w:val="000000" w:themeColor="text1"/>
          <w:sz w:val="24"/>
          <w:szCs w:val="24"/>
          <w:lang w:val="en-ZA"/>
        </w:rPr>
        <w:t xml:space="preserve">property forfeiture </w:t>
      </w:r>
      <w:r w:rsidRPr="00481243">
        <w:rPr>
          <w:rFonts w:ascii="Arial" w:hAnsi="Arial"/>
          <w:color w:val="000000" w:themeColor="text1"/>
          <w:sz w:val="24"/>
          <w:szCs w:val="24"/>
        </w:rPr>
        <w:t>process i</w:t>
      </w:r>
      <w:r w:rsidR="00F203B6" w:rsidRPr="00481243">
        <w:rPr>
          <w:rFonts w:ascii="Arial" w:hAnsi="Arial"/>
          <w:color w:val="000000" w:themeColor="text1"/>
          <w:sz w:val="24"/>
          <w:szCs w:val="24"/>
          <w:lang w:val="en-ZA"/>
        </w:rPr>
        <w:t>n C</w:t>
      </w:r>
      <w:r w:rsidRPr="00481243">
        <w:rPr>
          <w:rFonts w:ascii="Arial" w:hAnsi="Arial"/>
          <w:color w:val="000000" w:themeColor="text1"/>
          <w:sz w:val="24"/>
          <w:szCs w:val="24"/>
          <w:lang w:val="en-ZA"/>
        </w:rPr>
        <w:t>hapter 6 i</w:t>
      </w:r>
      <w:r w:rsidR="005C1F85">
        <w:rPr>
          <w:rFonts w:ascii="Arial" w:hAnsi="Arial"/>
          <w:color w:val="000000" w:themeColor="text1"/>
          <w:sz w:val="24"/>
          <w:szCs w:val="24"/>
        </w:rPr>
        <w:t>s such that within 120</w:t>
      </w:r>
      <w:r w:rsidRPr="00481243">
        <w:rPr>
          <w:rFonts w:ascii="Arial" w:hAnsi="Arial"/>
          <w:color w:val="000000" w:themeColor="text1"/>
          <w:sz w:val="24"/>
          <w:szCs w:val="24"/>
        </w:rPr>
        <w:t xml:space="preserve"> days of the grant of the preservation order, an application for a forfeiture</w:t>
      </w:r>
      <w:r w:rsidR="00DC06A8" w:rsidRPr="00481243">
        <w:rPr>
          <w:rFonts w:ascii="Arial" w:hAnsi="Arial"/>
          <w:color w:val="000000" w:themeColor="text1"/>
          <w:sz w:val="24"/>
          <w:szCs w:val="24"/>
        </w:rPr>
        <w:t xml:space="preserve"> order</w:t>
      </w:r>
      <w:r w:rsidRPr="00481243">
        <w:rPr>
          <w:rFonts w:ascii="Arial" w:hAnsi="Arial"/>
          <w:color w:val="000000" w:themeColor="text1"/>
          <w:sz w:val="24"/>
          <w:szCs w:val="24"/>
        </w:rPr>
        <w:t xml:space="preserve"> must be </w:t>
      </w:r>
      <w:r w:rsidR="003049DB" w:rsidRPr="00481243">
        <w:rPr>
          <w:rFonts w:ascii="Arial" w:hAnsi="Arial"/>
          <w:color w:val="000000" w:themeColor="text1"/>
          <w:sz w:val="24"/>
          <w:szCs w:val="24"/>
        </w:rPr>
        <w:t>lodged</w:t>
      </w:r>
      <w:r w:rsidRPr="00481243">
        <w:rPr>
          <w:rFonts w:ascii="Arial" w:hAnsi="Arial"/>
          <w:color w:val="000000" w:themeColor="text1"/>
          <w:sz w:val="24"/>
          <w:szCs w:val="24"/>
        </w:rPr>
        <w:t>, based on the operational preservation order whose existence has been published</w:t>
      </w:r>
      <w:r w:rsidRPr="00481243">
        <w:rPr>
          <w:rFonts w:ascii="Arial" w:hAnsi="Arial"/>
          <w:color w:val="000000" w:themeColor="text1"/>
          <w:sz w:val="24"/>
          <w:szCs w:val="24"/>
          <w:lang w:val="en-ZA"/>
        </w:rPr>
        <w:t xml:space="preserve"> in the Government </w:t>
      </w:r>
      <w:r w:rsidR="003049DB" w:rsidRPr="00481243">
        <w:rPr>
          <w:rFonts w:ascii="Arial" w:hAnsi="Arial"/>
          <w:color w:val="000000" w:themeColor="text1"/>
          <w:sz w:val="24"/>
          <w:szCs w:val="24"/>
          <w:lang w:val="en-ZA"/>
        </w:rPr>
        <w:t>Gazette</w:t>
      </w:r>
      <w:r w:rsidRPr="00481243">
        <w:rPr>
          <w:rFonts w:ascii="Arial" w:hAnsi="Arial"/>
          <w:color w:val="000000" w:themeColor="text1"/>
          <w:sz w:val="24"/>
          <w:szCs w:val="24"/>
        </w:rPr>
        <w:t>. Withi</w:t>
      </w:r>
      <w:r w:rsidRPr="00481243">
        <w:rPr>
          <w:rFonts w:ascii="Arial" w:hAnsi="Arial"/>
          <w:color w:val="000000" w:themeColor="text1"/>
          <w:sz w:val="24"/>
          <w:szCs w:val="24"/>
          <w:lang w:val="en-ZA"/>
        </w:rPr>
        <w:t xml:space="preserve">n 14 days </w:t>
      </w:r>
      <w:r w:rsidRPr="00481243">
        <w:rPr>
          <w:rFonts w:ascii="Arial" w:hAnsi="Arial"/>
          <w:color w:val="000000" w:themeColor="text1"/>
          <w:sz w:val="24"/>
          <w:szCs w:val="24"/>
        </w:rPr>
        <w:t xml:space="preserve">of the publication, </w:t>
      </w:r>
      <w:r w:rsidRPr="00481243">
        <w:rPr>
          <w:rFonts w:ascii="Arial" w:hAnsi="Arial"/>
          <w:color w:val="000000" w:themeColor="text1"/>
          <w:sz w:val="24"/>
          <w:szCs w:val="24"/>
          <w:lang w:val="en-ZA"/>
        </w:rPr>
        <w:t>potential respondents</w:t>
      </w:r>
      <w:r w:rsidRPr="00481243">
        <w:rPr>
          <w:rFonts w:ascii="Arial" w:hAnsi="Arial"/>
          <w:color w:val="000000" w:themeColor="text1"/>
          <w:sz w:val="24"/>
          <w:szCs w:val="24"/>
        </w:rPr>
        <w:t xml:space="preserve"> identified by the applicant as having an interest in the forfeiture of the preserved property</w:t>
      </w:r>
      <w:r w:rsidRPr="00481243">
        <w:rPr>
          <w:rFonts w:ascii="Arial" w:hAnsi="Arial"/>
          <w:color w:val="000000" w:themeColor="text1"/>
          <w:sz w:val="24"/>
          <w:szCs w:val="24"/>
          <w:lang w:val="en-ZA"/>
        </w:rPr>
        <w:t xml:space="preserve"> must give notice of their intention to oppose the forfeiture application</w:t>
      </w:r>
      <w:r w:rsidRPr="00481243">
        <w:rPr>
          <w:rFonts w:ascii="Arial" w:hAnsi="Arial"/>
          <w:color w:val="000000" w:themeColor="text1"/>
          <w:sz w:val="24"/>
          <w:szCs w:val="24"/>
        </w:rPr>
        <w:t>. Having given their notice to oppose the applicat</w:t>
      </w:r>
      <w:r w:rsidRPr="00481243">
        <w:rPr>
          <w:rFonts w:ascii="Arial" w:hAnsi="Arial"/>
          <w:color w:val="000000" w:themeColor="text1"/>
          <w:sz w:val="24"/>
          <w:szCs w:val="24"/>
          <w:lang w:val="en-ZA"/>
        </w:rPr>
        <w:t>ion</w:t>
      </w:r>
      <w:r w:rsidRPr="00481243">
        <w:rPr>
          <w:rFonts w:ascii="Arial" w:hAnsi="Arial"/>
          <w:color w:val="000000" w:themeColor="text1"/>
          <w:sz w:val="24"/>
          <w:szCs w:val="24"/>
        </w:rPr>
        <w:t xml:space="preserve">, they must show their interest by evidence, </w:t>
      </w:r>
      <w:r w:rsidRPr="00481243">
        <w:rPr>
          <w:rFonts w:ascii="Arial" w:hAnsi="Arial"/>
          <w:color w:val="000000" w:themeColor="text1"/>
          <w:sz w:val="24"/>
          <w:szCs w:val="24"/>
          <w:lang w:val="en-ZA"/>
        </w:rPr>
        <w:t xml:space="preserve">which </w:t>
      </w:r>
      <w:r w:rsidRPr="00481243">
        <w:rPr>
          <w:rFonts w:ascii="Arial" w:hAnsi="Arial"/>
          <w:color w:val="000000" w:themeColor="text1"/>
          <w:sz w:val="24"/>
          <w:szCs w:val="24"/>
        </w:rPr>
        <w:t xml:space="preserve">must establish that the property </w:t>
      </w:r>
      <w:r w:rsidRPr="00481243">
        <w:rPr>
          <w:rFonts w:ascii="Arial" w:hAnsi="Arial"/>
          <w:color w:val="000000" w:themeColor="text1"/>
          <w:sz w:val="24"/>
          <w:szCs w:val="24"/>
          <w:lang w:val="en-ZA"/>
        </w:rPr>
        <w:t xml:space="preserve">which is the subject of the forfeiture </w:t>
      </w:r>
      <w:r w:rsidR="00DC06A8" w:rsidRPr="00481243">
        <w:rPr>
          <w:rFonts w:ascii="Arial" w:hAnsi="Arial"/>
          <w:color w:val="000000" w:themeColor="text1"/>
          <w:sz w:val="24"/>
          <w:szCs w:val="24"/>
          <w:lang w:val="en-ZA"/>
        </w:rPr>
        <w:t xml:space="preserve">order </w:t>
      </w:r>
      <w:r w:rsidRPr="00481243">
        <w:rPr>
          <w:rFonts w:ascii="Arial" w:hAnsi="Arial"/>
          <w:color w:val="000000" w:themeColor="text1"/>
          <w:sz w:val="24"/>
          <w:szCs w:val="24"/>
          <w:lang w:val="en-ZA"/>
        </w:rPr>
        <w:t xml:space="preserve">applied for </w:t>
      </w:r>
      <w:r w:rsidRPr="00481243">
        <w:rPr>
          <w:rFonts w:ascii="Arial" w:hAnsi="Arial"/>
          <w:color w:val="000000" w:themeColor="text1"/>
          <w:sz w:val="24"/>
          <w:szCs w:val="24"/>
        </w:rPr>
        <w:t>i</w:t>
      </w:r>
      <w:r w:rsidRPr="00481243">
        <w:rPr>
          <w:rFonts w:ascii="Arial" w:hAnsi="Arial"/>
          <w:color w:val="000000" w:themeColor="text1"/>
          <w:sz w:val="24"/>
          <w:szCs w:val="24"/>
          <w:lang w:val="en-ZA"/>
        </w:rPr>
        <w:t>s not derived from crime and has not been used as an instrum</w:t>
      </w:r>
      <w:r w:rsidR="00733969" w:rsidRPr="00481243">
        <w:rPr>
          <w:rFonts w:ascii="Arial" w:hAnsi="Arial"/>
          <w:color w:val="000000" w:themeColor="text1"/>
          <w:sz w:val="24"/>
          <w:szCs w:val="24"/>
          <w:lang w:val="en-ZA"/>
        </w:rPr>
        <w:t>ent</w:t>
      </w:r>
      <w:r w:rsidRPr="00481243">
        <w:rPr>
          <w:rFonts w:ascii="Arial" w:hAnsi="Arial"/>
          <w:color w:val="000000" w:themeColor="text1"/>
          <w:sz w:val="24"/>
          <w:szCs w:val="24"/>
          <w:lang w:val="en-ZA"/>
        </w:rPr>
        <w:t xml:space="preserve"> of crime or</w:t>
      </w:r>
      <w:r w:rsidRPr="00481243">
        <w:rPr>
          <w:rFonts w:ascii="Arial" w:hAnsi="Arial"/>
          <w:color w:val="000000" w:themeColor="text1"/>
          <w:sz w:val="24"/>
          <w:szCs w:val="24"/>
        </w:rPr>
        <w:t xml:space="preserve"> any</w:t>
      </w:r>
      <w:r w:rsidRPr="00481243">
        <w:rPr>
          <w:rFonts w:ascii="Arial" w:hAnsi="Arial"/>
          <w:color w:val="000000" w:themeColor="text1"/>
          <w:sz w:val="24"/>
          <w:szCs w:val="24"/>
          <w:lang w:val="en-ZA"/>
        </w:rPr>
        <w:t xml:space="preserve"> other unlawful activities.</w:t>
      </w:r>
      <w:r w:rsidRPr="00481243">
        <w:rPr>
          <w:rFonts w:ascii="Arial" w:hAnsi="Arial"/>
          <w:color w:val="000000" w:themeColor="text1"/>
          <w:sz w:val="24"/>
          <w:szCs w:val="24"/>
        </w:rPr>
        <w:t xml:space="preserve"> </w:t>
      </w:r>
      <w:r w:rsidRPr="00481243">
        <w:rPr>
          <w:rFonts w:ascii="Arial" w:hAnsi="Arial"/>
          <w:color w:val="000000" w:themeColor="text1"/>
          <w:sz w:val="24"/>
          <w:szCs w:val="24"/>
          <w:lang w:val="en-ZA"/>
        </w:rPr>
        <w:t xml:space="preserve">Should </w:t>
      </w:r>
      <w:r w:rsidRPr="00481243">
        <w:rPr>
          <w:rFonts w:ascii="Arial" w:hAnsi="Arial"/>
          <w:color w:val="000000" w:themeColor="text1"/>
          <w:sz w:val="24"/>
          <w:szCs w:val="24"/>
        </w:rPr>
        <w:t>the respondents succeed in showing that, the forfeiture</w:t>
      </w:r>
      <w:r w:rsidR="00DC06A8" w:rsidRPr="00481243">
        <w:rPr>
          <w:rFonts w:ascii="Arial" w:hAnsi="Arial"/>
          <w:color w:val="000000" w:themeColor="text1"/>
          <w:sz w:val="24"/>
          <w:szCs w:val="24"/>
        </w:rPr>
        <w:t xml:space="preserve"> order</w:t>
      </w:r>
      <w:r w:rsidRPr="00481243">
        <w:rPr>
          <w:rFonts w:ascii="Arial" w:hAnsi="Arial"/>
          <w:color w:val="000000" w:themeColor="text1"/>
          <w:sz w:val="24"/>
          <w:szCs w:val="24"/>
        </w:rPr>
        <w:t xml:space="preserve"> must </w:t>
      </w:r>
      <w:r w:rsidR="00733969" w:rsidRPr="00481243">
        <w:rPr>
          <w:rFonts w:ascii="Arial" w:hAnsi="Arial"/>
          <w:color w:val="000000" w:themeColor="text1"/>
          <w:sz w:val="24"/>
          <w:szCs w:val="24"/>
        </w:rPr>
        <w:t xml:space="preserve">not </w:t>
      </w:r>
      <w:r w:rsidRPr="00481243">
        <w:rPr>
          <w:rFonts w:ascii="Arial" w:hAnsi="Arial"/>
          <w:color w:val="000000" w:themeColor="text1"/>
          <w:sz w:val="24"/>
          <w:szCs w:val="24"/>
        </w:rPr>
        <w:t>be gra</w:t>
      </w:r>
      <w:r w:rsidRPr="00481243">
        <w:rPr>
          <w:rFonts w:ascii="Arial" w:hAnsi="Arial"/>
          <w:color w:val="000000" w:themeColor="text1"/>
          <w:sz w:val="24"/>
          <w:szCs w:val="24"/>
          <w:lang w:val="en-ZA"/>
        </w:rPr>
        <w:t>nte</w:t>
      </w:r>
      <w:r w:rsidRPr="00481243">
        <w:rPr>
          <w:rFonts w:ascii="Arial" w:hAnsi="Arial"/>
          <w:color w:val="000000" w:themeColor="text1"/>
          <w:sz w:val="24"/>
          <w:szCs w:val="24"/>
        </w:rPr>
        <w:t xml:space="preserve">d. </w:t>
      </w:r>
    </w:p>
    <w:p w:rsidR="00702D7A" w:rsidRPr="00481243" w:rsidRDefault="00702D7A" w:rsidP="00702D7A">
      <w:pPr>
        <w:spacing w:after="0" w:line="480" w:lineRule="auto"/>
        <w:jc w:val="both"/>
        <w:rPr>
          <w:rFonts w:ascii="Arial" w:hAnsi="Arial"/>
          <w:color w:val="000000" w:themeColor="text1"/>
          <w:sz w:val="24"/>
          <w:szCs w:val="24"/>
        </w:rPr>
      </w:pPr>
    </w:p>
    <w:p w:rsidR="00702D7A" w:rsidRPr="00481243" w:rsidRDefault="00702D7A" w:rsidP="00733969">
      <w:pPr>
        <w:pStyle w:val="ListParagraph"/>
        <w:numPr>
          <w:ilvl w:val="0"/>
          <w:numId w:val="46"/>
        </w:numPr>
        <w:spacing w:after="0" w:line="480" w:lineRule="auto"/>
        <w:ind w:left="0" w:firstLine="0"/>
        <w:jc w:val="both"/>
        <w:rPr>
          <w:rFonts w:ascii="Arial" w:hAnsi="Arial"/>
          <w:color w:val="000000" w:themeColor="text1"/>
          <w:sz w:val="24"/>
          <w:szCs w:val="24"/>
          <w:lang w:val="en-ZA"/>
        </w:rPr>
      </w:pPr>
      <w:r w:rsidRPr="00481243">
        <w:rPr>
          <w:rFonts w:ascii="Arial" w:hAnsi="Arial"/>
          <w:color w:val="000000" w:themeColor="text1"/>
          <w:sz w:val="24"/>
          <w:szCs w:val="24"/>
          <w:lang w:val="en-ZA"/>
        </w:rPr>
        <w:t>From</w:t>
      </w:r>
      <w:r w:rsidRPr="00481243">
        <w:rPr>
          <w:rFonts w:ascii="Arial" w:hAnsi="Arial"/>
          <w:color w:val="000000" w:themeColor="text1"/>
          <w:sz w:val="24"/>
          <w:szCs w:val="24"/>
        </w:rPr>
        <w:t xml:space="preserve"> the </w:t>
      </w:r>
      <w:r w:rsidRPr="00481243">
        <w:rPr>
          <w:rFonts w:ascii="Arial" w:hAnsi="Arial"/>
          <w:color w:val="000000" w:themeColor="text1"/>
          <w:sz w:val="24"/>
          <w:szCs w:val="24"/>
          <w:lang w:val="en-ZA"/>
        </w:rPr>
        <w:t xml:space="preserve">start of the proceedings in the application </w:t>
      </w:r>
      <w:r w:rsidRPr="00481243">
        <w:rPr>
          <w:rFonts w:ascii="Arial" w:hAnsi="Arial"/>
          <w:color w:val="000000" w:themeColor="text1"/>
          <w:sz w:val="24"/>
          <w:szCs w:val="24"/>
        </w:rPr>
        <w:t>for a preservation orde</w:t>
      </w:r>
      <w:r w:rsidRPr="00481243">
        <w:rPr>
          <w:rFonts w:ascii="Arial" w:hAnsi="Arial"/>
          <w:color w:val="000000" w:themeColor="text1"/>
          <w:sz w:val="24"/>
          <w:szCs w:val="24"/>
          <w:lang w:val="en-ZA"/>
        </w:rPr>
        <w:t>r in terms of s 51 of POCA</w:t>
      </w:r>
      <w:r w:rsidR="00733969" w:rsidRPr="00481243">
        <w:rPr>
          <w:rFonts w:ascii="Arial" w:hAnsi="Arial"/>
          <w:color w:val="000000" w:themeColor="text1"/>
          <w:sz w:val="24"/>
          <w:szCs w:val="24"/>
          <w:lang w:val="en-ZA"/>
        </w:rPr>
        <w:t>,</w:t>
      </w:r>
      <w:r w:rsidRPr="00481243">
        <w:rPr>
          <w:rFonts w:ascii="Arial" w:hAnsi="Arial"/>
          <w:color w:val="000000" w:themeColor="text1"/>
          <w:sz w:val="24"/>
          <w:szCs w:val="24"/>
          <w:lang w:val="en-ZA"/>
        </w:rPr>
        <w:t xml:space="preserve"> l</w:t>
      </w:r>
      <w:r w:rsidRPr="00481243">
        <w:rPr>
          <w:rFonts w:ascii="Arial" w:hAnsi="Arial"/>
          <w:color w:val="000000" w:themeColor="text1"/>
          <w:sz w:val="24"/>
          <w:szCs w:val="24"/>
        </w:rPr>
        <w:t>ead</w:t>
      </w:r>
      <w:r w:rsidRPr="00481243">
        <w:rPr>
          <w:rFonts w:ascii="Arial" w:hAnsi="Arial"/>
          <w:color w:val="000000" w:themeColor="text1"/>
          <w:sz w:val="24"/>
          <w:szCs w:val="24"/>
          <w:lang w:val="en-ZA"/>
        </w:rPr>
        <w:t xml:space="preserve">ing </w:t>
      </w:r>
      <w:r w:rsidRPr="00481243">
        <w:rPr>
          <w:rFonts w:ascii="Arial" w:hAnsi="Arial"/>
          <w:color w:val="000000" w:themeColor="text1"/>
          <w:sz w:val="24"/>
          <w:szCs w:val="24"/>
        </w:rPr>
        <w:t xml:space="preserve">up to the </w:t>
      </w:r>
      <w:r w:rsidRPr="00481243">
        <w:rPr>
          <w:rFonts w:ascii="Arial" w:hAnsi="Arial"/>
          <w:color w:val="000000" w:themeColor="text1"/>
          <w:sz w:val="24"/>
          <w:szCs w:val="24"/>
          <w:lang w:val="en-ZA"/>
        </w:rPr>
        <w:t>proceedings of the application for the forfeiture</w:t>
      </w:r>
      <w:r w:rsidR="00DC06A8" w:rsidRPr="00481243">
        <w:rPr>
          <w:rFonts w:ascii="Arial" w:hAnsi="Arial"/>
          <w:color w:val="000000" w:themeColor="text1"/>
          <w:sz w:val="24"/>
          <w:szCs w:val="24"/>
          <w:lang w:val="en-ZA"/>
        </w:rPr>
        <w:t xml:space="preserve"> order</w:t>
      </w:r>
      <w:r w:rsidRPr="00481243">
        <w:rPr>
          <w:rFonts w:ascii="Arial" w:hAnsi="Arial"/>
          <w:color w:val="000000" w:themeColor="text1"/>
          <w:sz w:val="24"/>
          <w:szCs w:val="24"/>
          <w:lang w:val="en-ZA"/>
        </w:rPr>
        <w:t xml:space="preserve"> under s 59, </w:t>
      </w:r>
      <w:r w:rsidRPr="00481243">
        <w:rPr>
          <w:rFonts w:ascii="Arial" w:hAnsi="Arial"/>
          <w:color w:val="000000" w:themeColor="text1"/>
          <w:sz w:val="24"/>
          <w:szCs w:val="24"/>
        </w:rPr>
        <w:t xml:space="preserve">a series of </w:t>
      </w:r>
      <w:r w:rsidRPr="00481243">
        <w:rPr>
          <w:rFonts w:ascii="Arial" w:hAnsi="Arial"/>
          <w:color w:val="000000" w:themeColor="text1"/>
          <w:sz w:val="24"/>
          <w:szCs w:val="24"/>
          <w:lang w:val="en-ZA"/>
        </w:rPr>
        <w:t xml:space="preserve">interrelated </w:t>
      </w:r>
      <w:r w:rsidRPr="00481243">
        <w:rPr>
          <w:rFonts w:ascii="Arial" w:hAnsi="Arial"/>
          <w:color w:val="000000" w:themeColor="text1"/>
          <w:sz w:val="24"/>
          <w:szCs w:val="24"/>
        </w:rPr>
        <w:t>legislative requirements</w:t>
      </w:r>
      <w:r w:rsidRPr="00481243">
        <w:rPr>
          <w:rFonts w:ascii="Arial" w:hAnsi="Arial"/>
          <w:color w:val="000000" w:themeColor="text1"/>
          <w:sz w:val="24"/>
          <w:szCs w:val="24"/>
          <w:lang w:val="en-ZA"/>
        </w:rPr>
        <w:t xml:space="preserve"> link the two sets of proceedings. </w:t>
      </w:r>
    </w:p>
    <w:p w:rsidR="00702D7A" w:rsidRPr="00481243" w:rsidRDefault="00702D7A" w:rsidP="00702D7A">
      <w:pPr>
        <w:spacing w:after="0" w:line="480" w:lineRule="auto"/>
        <w:jc w:val="both"/>
        <w:rPr>
          <w:rFonts w:ascii="Arial" w:hAnsi="Arial"/>
          <w:color w:val="000000" w:themeColor="text1"/>
          <w:sz w:val="24"/>
          <w:szCs w:val="24"/>
          <w:lang w:val="en-ZA"/>
        </w:rPr>
      </w:pPr>
    </w:p>
    <w:p w:rsidR="00702D7A" w:rsidRPr="00481243" w:rsidRDefault="00702D7A" w:rsidP="00733969">
      <w:pPr>
        <w:pStyle w:val="ListParagraph"/>
        <w:numPr>
          <w:ilvl w:val="0"/>
          <w:numId w:val="46"/>
        </w:numPr>
        <w:spacing w:after="0" w:line="480" w:lineRule="auto"/>
        <w:ind w:left="0" w:firstLine="0"/>
        <w:jc w:val="both"/>
        <w:rPr>
          <w:rFonts w:ascii="Arial" w:hAnsi="Arial"/>
          <w:color w:val="000000" w:themeColor="text1"/>
          <w:sz w:val="24"/>
          <w:szCs w:val="24"/>
          <w:lang w:val="en-ZA"/>
        </w:rPr>
      </w:pPr>
      <w:r w:rsidRPr="00481243">
        <w:rPr>
          <w:rFonts w:ascii="Arial" w:hAnsi="Arial"/>
          <w:color w:val="000000" w:themeColor="text1"/>
          <w:sz w:val="24"/>
          <w:szCs w:val="24"/>
          <w:lang w:val="en-ZA"/>
        </w:rPr>
        <w:t xml:space="preserve">In </w:t>
      </w:r>
      <w:r w:rsidRPr="00481243">
        <w:rPr>
          <w:rFonts w:ascii="Arial" w:hAnsi="Arial"/>
          <w:i/>
          <w:color w:val="000000" w:themeColor="text1"/>
          <w:sz w:val="24"/>
          <w:szCs w:val="24"/>
          <w:lang w:val="en-ZA"/>
        </w:rPr>
        <w:t xml:space="preserve">Uuyoni, </w:t>
      </w:r>
      <w:r w:rsidR="00733969" w:rsidRPr="00481243">
        <w:rPr>
          <w:rFonts w:ascii="Arial" w:hAnsi="Arial"/>
          <w:color w:val="000000" w:themeColor="text1"/>
          <w:sz w:val="24"/>
          <w:szCs w:val="24"/>
          <w:lang w:val="en-ZA"/>
        </w:rPr>
        <w:t>this court noted that C</w:t>
      </w:r>
      <w:r w:rsidRPr="00481243">
        <w:rPr>
          <w:rFonts w:ascii="Arial" w:hAnsi="Arial"/>
          <w:color w:val="000000" w:themeColor="text1"/>
          <w:sz w:val="24"/>
          <w:szCs w:val="24"/>
          <w:lang w:val="en-ZA"/>
        </w:rPr>
        <w:t>hapter 6 of the South African POCA,</w:t>
      </w:r>
    </w:p>
    <w:p w:rsidR="00702D7A" w:rsidRPr="00481243" w:rsidRDefault="00702D7A" w:rsidP="00702D7A">
      <w:pPr>
        <w:pStyle w:val="ListParagraph"/>
        <w:spacing w:after="0" w:line="360" w:lineRule="auto"/>
        <w:ind w:left="567"/>
        <w:jc w:val="both"/>
        <w:rPr>
          <w:rFonts w:ascii="Arial" w:hAnsi="Arial"/>
          <w:color w:val="000000" w:themeColor="text1"/>
          <w:lang w:val="en-ZA"/>
        </w:rPr>
      </w:pPr>
    </w:p>
    <w:p w:rsidR="00702D7A" w:rsidRPr="00481243" w:rsidRDefault="00733969" w:rsidP="00733969">
      <w:pPr>
        <w:pStyle w:val="ListParagraph"/>
        <w:spacing w:after="0" w:line="360" w:lineRule="auto"/>
        <w:ind w:left="567"/>
        <w:jc w:val="both"/>
        <w:rPr>
          <w:rFonts w:ascii="Arial" w:hAnsi="Arial"/>
          <w:color w:val="000000" w:themeColor="text1"/>
          <w:lang w:val="en-ZA"/>
        </w:rPr>
      </w:pPr>
      <w:r w:rsidRPr="00481243">
        <w:rPr>
          <w:rFonts w:ascii="Arial" w:hAnsi="Arial"/>
          <w:color w:val="000000" w:themeColor="text1"/>
          <w:lang w:val="en-ZA"/>
        </w:rPr>
        <w:t>“</w:t>
      </w:r>
      <w:r w:rsidR="00702D7A" w:rsidRPr="00481243">
        <w:rPr>
          <w:rFonts w:ascii="Arial" w:hAnsi="Arial"/>
          <w:color w:val="000000" w:themeColor="text1"/>
          <w:lang w:val="en-ZA"/>
        </w:rPr>
        <w:t>.</w:t>
      </w:r>
      <w:r w:rsidR="00D224C7" w:rsidRPr="00481243">
        <w:rPr>
          <w:rFonts w:ascii="Arial" w:hAnsi="Arial"/>
          <w:color w:val="000000" w:themeColor="text1"/>
          <w:lang w:val="en-ZA"/>
        </w:rPr>
        <w:t xml:space="preserve"> </w:t>
      </w:r>
      <w:r w:rsidR="00702D7A" w:rsidRPr="00481243">
        <w:rPr>
          <w:rFonts w:ascii="Arial" w:hAnsi="Arial"/>
          <w:color w:val="000000" w:themeColor="text1"/>
          <w:lang w:val="en-ZA"/>
        </w:rPr>
        <w:t>.</w:t>
      </w:r>
      <w:r w:rsidR="00D224C7" w:rsidRPr="00481243">
        <w:rPr>
          <w:rFonts w:ascii="Arial" w:hAnsi="Arial"/>
          <w:color w:val="000000" w:themeColor="text1"/>
          <w:lang w:val="en-ZA"/>
        </w:rPr>
        <w:t xml:space="preserve"> </w:t>
      </w:r>
      <w:r w:rsidR="00702D7A" w:rsidRPr="00481243">
        <w:rPr>
          <w:rFonts w:ascii="Arial" w:hAnsi="Arial"/>
          <w:color w:val="000000" w:themeColor="text1"/>
          <w:lang w:val="en-ZA"/>
        </w:rPr>
        <w:t>.</w:t>
      </w:r>
      <w:r w:rsidR="00D224C7" w:rsidRPr="00481243">
        <w:rPr>
          <w:rFonts w:ascii="Arial" w:hAnsi="Arial"/>
          <w:color w:val="000000" w:themeColor="text1"/>
          <w:lang w:val="en-ZA"/>
        </w:rPr>
        <w:t xml:space="preserve"> </w:t>
      </w:r>
      <w:r w:rsidRPr="00481243">
        <w:rPr>
          <w:rFonts w:ascii="Arial" w:hAnsi="Arial" w:cs="Arial"/>
          <w:color w:val="000000" w:themeColor="text1"/>
        </w:rPr>
        <w:t xml:space="preserve">tightly intertwined, both as a matter of process and substance.  At the initial stage of the proceedings, when the National Director launches an </w:t>
      </w:r>
      <w:r w:rsidRPr="00481243">
        <w:rPr>
          <w:rFonts w:ascii="Arial" w:hAnsi="Arial" w:cs="Arial"/>
          <w:i/>
          <w:color w:val="000000" w:themeColor="text1"/>
        </w:rPr>
        <w:t xml:space="preserve">ex parte </w:t>
      </w:r>
      <w:r w:rsidRPr="00481243">
        <w:rPr>
          <w:rFonts w:ascii="Arial" w:hAnsi="Arial" w:cs="Arial"/>
          <w:color w:val="000000" w:themeColor="text1"/>
        </w:rPr>
        <w:t xml:space="preserve">application for a preservation of property order, a Court must grant the order if it is satisfied that there are reasonable grounds to believe that the property is the proceeds of unlawful activities or the instrumentality in a crime.  Thereafter, the preservation order may be varied or rescinded in terms of ss 44 and 47.  If the preservation of property order remains in force, then–within 90 days–the National Director must apply for an order </w:t>
      </w:r>
      <w:r w:rsidRPr="00481243">
        <w:rPr>
          <w:rFonts w:ascii="Arial" w:hAnsi="Arial" w:cs="Arial"/>
          <w:color w:val="000000" w:themeColor="text1"/>
        </w:rPr>
        <w:lastRenderedPageBreak/>
        <w:t>of forfeiture.  In the absence of such application the preservation of property order will lapse</w:t>
      </w:r>
      <w:r w:rsidR="00702D7A" w:rsidRPr="00481243">
        <w:rPr>
          <w:rFonts w:ascii="Arial" w:hAnsi="Arial"/>
          <w:color w:val="000000" w:themeColor="text1"/>
          <w:lang w:val="en-ZA"/>
        </w:rPr>
        <w:t>.</w:t>
      </w:r>
      <w:r w:rsidRPr="00481243">
        <w:rPr>
          <w:rFonts w:ascii="Arial" w:hAnsi="Arial"/>
          <w:color w:val="000000" w:themeColor="text1"/>
          <w:lang w:val="en-ZA"/>
        </w:rPr>
        <w:t>”</w:t>
      </w:r>
      <w:r w:rsidR="00702D7A" w:rsidRPr="00481243">
        <w:rPr>
          <w:rStyle w:val="FootnoteReference"/>
          <w:rFonts w:ascii="Arial" w:hAnsi="Arial"/>
          <w:color w:val="000000" w:themeColor="text1"/>
          <w:lang w:val="en-ZA"/>
        </w:rPr>
        <w:footnoteReference w:id="20"/>
      </w:r>
    </w:p>
    <w:p w:rsidR="00702D7A" w:rsidRPr="00481243" w:rsidRDefault="00702D7A" w:rsidP="00702D7A">
      <w:pPr>
        <w:pStyle w:val="ListParagraph"/>
        <w:spacing w:after="0" w:line="480" w:lineRule="auto"/>
        <w:ind w:left="0"/>
        <w:jc w:val="both"/>
        <w:rPr>
          <w:rFonts w:ascii="Arial" w:hAnsi="Arial"/>
          <w:color w:val="000000" w:themeColor="text1"/>
          <w:sz w:val="24"/>
          <w:szCs w:val="24"/>
          <w:lang w:val="en-ZA"/>
        </w:rPr>
      </w:pPr>
    </w:p>
    <w:p w:rsidR="00702D7A" w:rsidRPr="00481243" w:rsidRDefault="00702D7A" w:rsidP="00702D7A">
      <w:pPr>
        <w:pStyle w:val="ListParagraph"/>
        <w:spacing w:after="0" w:line="480" w:lineRule="auto"/>
        <w:ind w:left="0"/>
        <w:jc w:val="both"/>
        <w:rPr>
          <w:rFonts w:ascii="Arial" w:hAnsi="Arial"/>
          <w:color w:val="000000" w:themeColor="text1"/>
          <w:sz w:val="24"/>
          <w:szCs w:val="24"/>
          <w:lang w:val="en-ZA"/>
        </w:rPr>
      </w:pPr>
      <w:r w:rsidRPr="00481243">
        <w:rPr>
          <w:rFonts w:ascii="Arial" w:hAnsi="Arial"/>
          <w:color w:val="000000" w:themeColor="text1"/>
          <w:sz w:val="24"/>
          <w:szCs w:val="24"/>
          <w:lang w:val="en-ZA"/>
        </w:rPr>
        <w:t xml:space="preserve">Noting the replication of the South African POCA by the Namibian POCA and drawing parallels between some of the provisions of the two Acts, the court in </w:t>
      </w:r>
      <w:r w:rsidRPr="00481243">
        <w:rPr>
          <w:rFonts w:ascii="Arial" w:hAnsi="Arial"/>
          <w:i/>
          <w:color w:val="000000" w:themeColor="text1"/>
          <w:sz w:val="24"/>
          <w:szCs w:val="24"/>
          <w:lang w:val="en-ZA"/>
        </w:rPr>
        <w:t xml:space="preserve">Uuyoni </w:t>
      </w:r>
      <w:r w:rsidRPr="00481243">
        <w:rPr>
          <w:rFonts w:ascii="Arial" w:hAnsi="Arial"/>
          <w:color w:val="000000" w:themeColor="text1"/>
          <w:sz w:val="24"/>
          <w:szCs w:val="24"/>
          <w:lang w:val="en-ZA"/>
        </w:rPr>
        <w:t>held in respect of the latter POCA that the particular legislation utilizes the mechanisms of property</w:t>
      </w:r>
      <w:r w:rsidR="00733969" w:rsidRPr="00481243">
        <w:rPr>
          <w:rFonts w:ascii="Arial" w:hAnsi="Arial"/>
          <w:color w:val="000000" w:themeColor="text1"/>
          <w:sz w:val="24"/>
          <w:szCs w:val="24"/>
          <w:lang w:val="en-ZA"/>
        </w:rPr>
        <w:t xml:space="preserve"> preservation, provided for in C</w:t>
      </w:r>
      <w:r w:rsidRPr="00481243">
        <w:rPr>
          <w:rFonts w:ascii="Arial" w:hAnsi="Arial"/>
          <w:color w:val="000000" w:themeColor="text1"/>
          <w:sz w:val="24"/>
          <w:szCs w:val="24"/>
          <w:lang w:val="en-ZA"/>
        </w:rPr>
        <w:t>hap</w:t>
      </w:r>
      <w:r w:rsidR="006E1EC9" w:rsidRPr="00481243">
        <w:rPr>
          <w:rFonts w:ascii="Arial" w:hAnsi="Arial"/>
          <w:color w:val="000000" w:themeColor="text1"/>
          <w:sz w:val="24"/>
          <w:szCs w:val="24"/>
          <w:lang w:val="en-ZA"/>
        </w:rPr>
        <w:t>t</w:t>
      </w:r>
      <w:r w:rsidRPr="00481243">
        <w:rPr>
          <w:rFonts w:ascii="Arial" w:hAnsi="Arial"/>
          <w:color w:val="000000" w:themeColor="text1"/>
          <w:sz w:val="24"/>
          <w:szCs w:val="24"/>
          <w:lang w:val="en-ZA"/>
        </w:rPr>
        <w:t>er 5 and that of its fo</w:t>
      </w:r>
      <w:r w:rsidR="00733969" w:rsidRPr="00481243">
        <w:rPr>
          <w:rFonts w:ascii="Arial" w:hAnsi="Arial"/>
          <w:color w:val="000000" w:themeColor="text1"/>
          <w:sz w:val="24"/>
          <w:szCs w:val="24"/>
          <w:lang w:val="en-ZA"/>
        </w:rPr>
        <w:t>rfeiture permitted in terms of C</w:t>
      </w:r>
      <w:r w:rsidRPr="00481243">
        <w:rPr>
          <w:rFonts w:ascii="Arial" w:hAnsi="Arial"/>
          <w:color w:val="000000" w:themeColor="text1"/>
          <w:sz w:val="24"/>
          <w:szCs w:val="24"/>
          <w:lang w:val="en-ZA"/>
        </w:rPr>
        <w:t>hapter 6, to ensure that property derived from criminal activity and that used as instruments of illegal activity are forfeited to the State.</w:t>
      </w:r>
    </w:p>
    <w:p w:rsidR="00702D7A" w:rsidRPr="00481243" w:rsidRDefault="00702D7A" w:rsidP="00702D7A">
      <w:pPr>
        <w:pStyle w:val="ListParagraph"/>
        <w:spacing w:after="0" w:line="480" w:lineRule="auto"/>
        <w:ind w:left="0"/>
        <w:jc w:val="both"/>
        <w:rPr>
          <w:rFonts w:ascii="Arial" w:hAnsi="Arial"/>
          <w:color w:val="000000" w:themeColor="text1"/>
          <w:sz w:val="24"/>
          <w:szCs w:val="24"/>
          <w:lang w:val="en-ZA" w:eastAsia="en-ZA"/>
        </w:rPr>
      </w:pPr>
    </w:p>
    <w:p w:rsidR="00702D7A" w:rsidRPr="00481243" w:rsidRDefault="00702D7A" w:rsidP="00733969">
      <w:pPr>
        <w:pStyle w:val="ListParagraph"/>
        <w:numPr>
          <w:ilvl w:val="0"/>
          <w:numId w:val="46"/>
        </w:numPr>
        <w:spacing w:after="0" w:line="480" w:lineRule="auto"/>
        <w:ind w:left="0" w:firstLine="0"/>
        <w:jc w:val="both"/>
        <w:rPr>
          <w:rFonts w:ascii="Arial" w:hAnsi="Arial"/>
          <w:color w:val="000000" w:themeColor="text1"/>
          <w:sz w:val="24"/>
          <w:szCs w:val="24"/>
          <w:lang w:val="en-ZA"/>
        </w:rPr>
      </w:pPr>
      <w:r w:rsidRPr="00481243">
        <w:rPr>
          <w:rFonts w:ascii="Arial" w:hAnsi="Arial"/>
          <w:color w:val="000000" w:themeColor="text1"/>
          <w:sz w:val="24"/>
          <w:szCs w:val="24"/>
          <w:lang w:val="en-ZA"/>
        </w:rPr>
        <w:t xml:space="preserve">Similar to its South African counterpart, the Namibian POCA also provides for a process </w:t>
      </w:r>
      <w:r w:rsidRPr="00481243">
        <w:rPr>
          <w:rFonts w:ascii="Arial" w:hAnsi="Arial"/>
          <w:color w:val="000000" w:themeColor="text1"/>
          <w:sz w:val="24"/>
          <w:szCs w:val="24"/>
        </w:rPr>
        <w:t>aimed at the forfeiture o</w:t>
      </w:r>
      <w:r w:rsidRPr="00481243">
        <w:rPr>
          <w:rFonts w:ascii="Arial" w:hAnsi="Arial"/>
          <w:color w:val="000000" w:themeColor="text1"/>
          <w:sz w:val="24"/>
          <w:szCs w:val="24"/>
          <w:lang w:val="en-ZA"/>
        </w:rPr>
        <w:t>f</w:t>
      </w:r>
      <w:r w:rsidRPr="00481243">
        <w:rPr>
          <w:rFonts w:ascii="Arial" w:hAnsi="Arial"/>
          <w:color w:val="000000" w:themeColor="text1"/>
          <w:sz w:val="24"/>
          <w:szCs w:val="24"/>
        </w:rPr>
        <w:t xml:space="preserve"> property,</w:t>
      </w:r>
      <w:r w:rsidRPr="00481243">
        <w:rPr>
          <w:rFonts w:ascii="Arial" w:hAnsi="Arial"/>
          <w:color w:val="000000" w:themeColor="text1"/>
          <w:sz w:val="24"/>
          <w:szCs w:val="24"/>
          <w:lang w:val="en-ZA"/>
        </w:rPr>
        <w:t xml:space="preserve"> associated with organised criminal activity, </w:t>
      </w:r>
      <w:r w:rsidRPr="00481243">
        <w:rPr>
          <w:rFonts w:ascii="Arial" w:hAnsi="Arial"/>
          <w:color w:val="000000" w:themeColor="text1"/>
          <w:sz w:val="24"/>
          <w:szCs w:val="24"/>
        </w:rPr>
        <w:t>to the State</w:t>
      </w:r>
      <w:r w:rsidRPr="00481243">
        <w:rPr>
          <w:rFonts w:ascii="Arial" w:hAnsi="Arial"/>
          <w:color w:val="000000" w:themeColor="text1"/>
          <w:sz w:val="24"/>
          <w:szCs w:val="24"/>
          <w:lang w:val="en-ZA"/>
        </w:rPr>
        <w:t xml:space="preserve">. </w:t>
      </w:r>
      <w:r w:rsidRPr="00481243">
        <w:rPr>
          <w:rFonts w:ascii="Arial" w:hAnsi="Arial"/>
          <w:color w:val="000000" w:themeColor="text1"/>
          <w:sz w:val="24"/>
          <w:szCs w:val="24"/>
        </w:rPr>
        <w:t xml:space="preserve"> In </w:t>
      </w:r>
      <w:r w:rsidRPr="00481243">
        <w:rPr>
          <w:rFonts w:ascii="Arial" w:hAnsi="Arial"/>
          <w:i/>
          <w:color w:val="000000" w:themeColor="text1"/>
          <w:sz w:val="24"/>
          <w:szCs w:val="24"/>
        </w:rPr>
        <w:t xml:space="preserve">Uuyoni, </w:t>
      </w:r>
      <w:r w:rsidRPr="00481243">
        <w:rPr>
          <w:rFonts w:ascii="Arial" w:hAnsi="Arial"/>
          <w:color w:val="000000" w:themeColor="text1"/>
          <w:sz w:val="24"/>
          <w:szCs w:val="24"/>
        </w:rPr>
        <w:t>the interrelation between the two</w:t>
      </w:r>
      <w:r w:rsidR="003049DB" w:rsidRPr="00481243">
        <w:rPr>
          <w:rFonts w:ascii="Arial" w:hAnsi="Arial"/>
          <w:color w:val="000000" w:themeColor="text1"/>
          <w:sz w:val="24"/>
          <w:szCs w:val="24"/>
          <w:lang w:val="en-ZA"/>
        </w:rPr>
        <w:t xml:space="preserve"> application procee</w:t>
      </w:r>
      <w:r w:rsidRPr="00481243">
        <w:rPr>
          <w:rFonts w:ascii="Arial" w:hAnsi="Arial"/>
          <w:color w:val="000000" w:themeColor="text1"/>
          <w:sz w:val="24"/>
          <w:szCs w:val="24"/>
          <w:lang w:val="en-ZA"/>
        </w:rPr>
        <w:t xml:space="preserve">dings </w:t>
      </w:r>
      <w:r w:rsidR="00733969" w:rsidRPr="00481243">
        <w:rPr>
          <w:rFonts w:ascii="Arial" w:hAnsi="Arial"/>
          <w:color w:val="000000" w:themeColor="text1"/>
          <w:sz w:val="24"/>
          <w:szCs w:val="24"/>
        </w:rPr>
        <w:t>were</w:t>
      </w:r>
      <w:r w:rsidRPr="00481243">
        <w:rPr>
          <w:rFonts w:ascii="Arial" w:hAnsi="Arial"/>
          <w:color w:val="000000" w:themeColor="text1"/>
          <w:sz w:val="24"/>
          <w:szCs w:val="24"/>
        </w:rPr>
        <w:t xml:space="preserve"> also defined and held to be two stages of one single intertwined procedure. </w:t>
      </w:r>
      <w:r w:rsidRPr="00481243">
        <w:rPr>
          <w:rFonts w:ascii="Arial" w:hAnsi="Arial"/>
          <w:color w:val="000000" w:themeColor="text1"/>
          <w:sz w:val="24"/>
          <w:szCs w:val="24"/>
          <w:lang w:val="en-ZA"/>
        </w:rPr>
        <w:t>At the</w:t>
      </w:r>
      <w:r w:rsidRPr="00481243">
        <w:rPr>
          <w:rFonts w:ascii="Arial" w:hAnsi="Arial"/>
          <w:color w:val="000000" w:themeColor="text1"/>
          <w:sz w:val="24"/>
          <w:szCs w:val="24"/>
        </w:rPr>
        <w:t xml:space="preserve"> first stag</w:t>
      </w:r>
      <w:r w:rsidRPr="00481243">
        <w:rPr>
          <w:rFonts w:ascii="Arial" w:hAnsi="Arial"/>
          <w:color w:val="000000" w:themeColor="text1"/>
          <w:sz w:val="24"/>
          <w:szCs w:val="24"/>
          <w:lang w:val="en-ZA"/>
        </w:rPr>
        <w:t xml:space="preserve">e, </w:t>
      </w:r>
      <w:r w:rsidRPr="00481243">
        <w:rPr>
          <w:rFonts w:ascii="Arial" w:hAnsi="Arial"/>
          <w:i/>
          <w:color w:val="000000" w:themeColor="text1"/>
          <w:sz w:val="24"/>
          <w:szCs w:val="24"/>
          <w:lang w:val="en-ZA" w:eastAsia="en-ZA"/>
        </w:rPr>
        <w:t>Uuyon</w:t>
      </w:r>
      <w:r w:rsidRPr="00481243">
        <w:rPr>
          <w:rFonts w:ascii="Arial" w:hAnsi="Arial"/>
          <w:i/>
          <w:color w:val="000000" w:themeColor="text1"/>
          <w:sz w:val="24"/>
          <w:szCs w:val="24"/>
          <w:lang w:val="en-ZA"/>
        </w:rPr>
        <w:t xml:space="preserve">i </w:t>
      </w:r>
      <w:r w:rsidRPr="00481243">
        <w:rPr>
          <w:rFonts w:ascii="Arial" w:hAnsi="Arial"/>
          <w:color w:val="000000" w:themeColor="text1"/>
          <w:sz w:val="24"/>
          <w:szCs w:val="24"/>
          <w:lang w:val="en-ZA"/>
        </w:rPr>
        <w:t>also found</w:t>
      </w:r>
      <w:r w:rsidRPr="00481243">
        <w:rPr>
          <w:rFonts w:ascii="Arial" w:hAnsi="Arial"/>
          <w:color w:val="000000" w:themeColor="text1"/>
          <w:sz w:val="24"/>
          <w:szCs w:val="24"/>
        </w:rPr>
        <w:t xml:space="preserve">, </w:t>
      </w:r>
      <w:r w:rsidRPr="00481243">
        <w:rPr>
          <w:rFonts w:ascii="Arial" w:hAnsi="Arial"/>
          <w:color w:val="000000" w:themeColor="text1"/>
          <w:sz w:val="24"/>
          <w:szCs w:val="24"/>
          <w:lang w:val="en-ZA"/>
        </w:rPr>
        <w:t xml:space="preserve">the preservation order application proceedings in terms of s 51 of POCA, may be sought </w:t>
      </w:r>
      <w:r w:rsidRPr="00481243">
        <w:rPr>
          <w:rFonts w:ascii="Arial" w:hAnsi="Arial"/>
          <w:color w:val="000000" w:themeColor="text1"/>
          <w:sz w:val="24"/>
          <w:szCs w:val="24"/>
          <w:lang w:val="en-ZA" w:eastAsia="en-ZA"/>
        </w:rPr>
        <w:t>eve</w:t>
      </w:r>
      <w:r w:rsidRPr="00481243">
        <w:rPr>
          <w:rFonts w:ascii="Arial" w:hAnsi="Arial"/>
          <w:color w:val="000000" w:themeColor="text1"/>
          <w:sz w:val="24"/>
          <w:szCs w:val="24"/>
          <w:lang w:val="en-ZA"/>
        </w:rPr>
        <w:t xml:space="preserve">n where </w:t>
      </w:r>
      <w:r w:rsidRPr="00481243">
        <w:rPr>
          <w:rFonts w:ascii="Arial" w:hAnsi="Arial"/>
          <w:color w:val="000000" w:themeColor="text1"/>
          <w:sz w:val="24"/>
          <w:szCs w:val="24"/>
        </w:rPr>
        <w:t xml:space="preserve">there is </w:t>
      </w:r>
      <w:r w:rsidRPr="00481243">
        <w:rPr>
          <w:rFonts w:ascii="Arial" w:hAnsi="Arial"/>
          <w:color w:val="000000" w:themeColor="text1"/>
          <w:sz w:val="24"/>
          <w:szCs w:val="24"/>
          <w:lang w:val="en-ZA" w:eastAsia="en-ZA"/>
        </w:rPr>
        <w:t>no criminal pro</w:t>
      </w:r>
      <w:r w:rsidRPr="00481243">
        <w:rPr>
          <w:rFonts w:ascii="Arial" w:hAnsi="Arial"/>
          <w:color w:val="000000" w:themeColor="text1"/>
          <w:sz w:val="24"/>
          <w:szCs w:val="24"/>
        </w:rPr>
        <w:t>secutio</w:t>
      </w:r>
      <w:r w:rsidRPr="00481243">
        <w:rPr>
          <w:rFonts w:ascii="Arial" w:hAnsi="Arial"/>
          <w:color w:val="000000" w:themeColor="text1"/>
          <w:sz w:val="24"/>
          <w:szCs w:val="24"/>
          <w:lang w:val="en-ZA" w:eastAsia="en-ZA"/>
        </w:rPr>
        <w:t xml:space="preserve">n </w:t>
      </w:r>
      <w:r w:rsidRPr="00481243">
        <w:rPr>
          <w:rFonts w:ascii="Arial" w:hAnsi="Arial"/>
          <w:color w:val="000000" w:themeColor="text1"/>
          <w:sz w:val="24"/>
          <w:szCs w:val="24"/>
        </w:rPr>
        <w:t xml:space="preserve">instituted in </w:t>
      </w:r>
      <w:r w:rsidRPr="00481243">
        <w:rPr>
          <w:rFonts w:ascii="Arial" w:hAnsi="Arial"/>
          <w:color w:val="000000" w:themeColor="text1"/>
          <w:sz w:val="24"/>
          <w:szCs w:val="24"/>
          <w:lang w:val="en-ZA" w:eastAsia="en-ZA"/>
        </w:rPr>
        <w:t>regard to th</w:t>
      </w:r>
      <w:r w:rsidRPr="00481243">
        <w:rPr>
          <w:rFonts w:ascii="Arial" w:hAnsi="Arial"/>
          <w:color w:val="000000" w:themeColor="text1"/>
          <w:sz w:val="24"/>
          <w:szCs w:val="24"/>
          <w:lang w:val="en-ZA"/>
        </w:rPr>
        <w:t xml:space="preserve">e property to be preserved. </w:t>
      </w:r>
      <w:r w:rsidRPr="00481243">
        <w:rPr>
          <w:rFonts w:ascii="Arial" w:hAnsi="Arial"/>
          <w:color w:val="000000" w:themeColor="text1"/>
          <w:sz w:val="24"/>
          <w:szCs w:val="24"/>
        </w:rPr>
        <w:t>Th</w:t>
      </w:r>
      <w:r w:rsidRPr="00481243">
        <w:rPr>
          <w:rFonts w:ascii="Arial" w:hAnsi="Arial"/>
          <w:color w:val="000000" w:themeColor="text1"/>
          <w:sz w:val="24"/>
          <w:szCs w:val="24"/>
          <w:lang w:val="en-ZA"/>
        </w:rPr>
        <w:t>e application</w:t>
      </w:r>
      <w:r w:rsidRPr="00481243">
        <w:rPr>
          <w:rFonts w:ascii="Arial" w:hAnsi="Arial"/>
          <w:color w:val="000000" w:themeColor="text1"/>
          <w:sz w:val="24"/>
          <w:szCs w:val="24"/>
          <w:lang w:val="en-ZA" w:eastAsia="en-ZA"/>
        </w:rPr>
        <w:t> </w:t>
      </w:r>
      <w:r w:rsidRPr="00481243">
        <w:rPr>
          <w:rFonts w:ascii="Arial" w:hAnsi="Arial"/>
          <w:color w:val="000000" w:themeColor="text1"/>
          <w:sz w:val="24"/>
          <w:szCs w:val="24"/>
        </w:rPr>
        <w:t xml:space="preserve">on an urgent basis, is </w:t>
      </w:r>
      <w:r w:rsidRPr="00481243">
        <w:rPr>
          <w:rFonts w:ascii="Arial" w:hAnsi="Arial"/>
          <w:i/>
          <w:iCs/>
          <w:color w:val="000000" w:themeColor="text1"/>
          <w:sz w:val="24"/>
          <w:szCs w:val="24"/>
          <w:lang w:val="en-ZA" w:eastAsia="en-ZA"/>
        </w:rPr>
        <w:t>ex part</w:t>
      </w:r>
      <w:r w:rsidRPr="00481243">
        <w:rPr>
          <w:rFonts w:ascii="Arial" w:hAnsi="Arial"/>
          <w:i/>
          <w:iCs/>
          <w:color w:val="000000" w:themeColor="text1"/>
          <w:sz w:val="24"/>
          <w:szCs w:val="24"/>
          <w:lang w:val="en-ZA"/>
        </w:rPr>
        <w:t>e</w:t>
      </w:r>
      <w:r w:rsidRPr="00481243">
        <w:rPr>
          <w:rFonts w:ascii="Arial" w:hAnsi="Arial"/>
          <w:color w:val="000000" w:themeColor="text1"/>
          <w:sz w:val="24"/>
          <w:szCs w:val="24"/>
          <w:lang w:val="en-ZA"/>
        </w:rPr>
        <w:t>. T</w:t>
      </w:r>
      <w:r w:rsidRPr="00481243">
        <w:rPr>
          <w:rFonts w:ascii="Arial" w:hAnsi="Arial"/>
          <w:color w:val="000000" w:themeColor="text1"/>
          <w:sz w:val="24"/>
          <w:szCs w:val="24"/>
        </w:rPr>
        <w:t xml:space="preserve">hus, </w:t>
      </w:r>
      <w:r w:rsidRPr="00481243">
        <w:rPr>
          <w:rFonts w:ascii="Arial" w:hAnsi="Arial"/>
          <w:color w:val="000000" w:themeColor="text1"/>
          <w:sz w:val="24"/>
          <w:szCs w:val="24"/>
          <w:lang w:val="en-ZA"/>
        </w:rPr>
        <w:t>the criminal activities and/or guilt of the owner or possessor have no relevance in the proceedings at this stage.  The idea i</w:t>
      </w:r>
      <w:r w:rsidRPr="00481243">
        <w:rPr>
          <w:rFonts w:ascii="Arial" w:hAnsi="Arial"/>
          <w:color w:val="000000" w:themeColor="text1"/>
          <w:sz w:val="24"/>
          <w:szCs w:val="24"/>
        </w:rPr>
        <w:t>s i</w:t>
      </w:r>
      <w:r w:rsidRPr="00481243">
        <w:rPr>
          <w:rFonts w:ascii="Arial" w:hAnsi="Arial"/>
          <w:color w:val="000000" w:themeColor="text1"/>
          <w:sz w:val="24"/>
          <w:szCs w:val="24"/>
          <w:lang w:val="en-ZA"/>
        </w:rPr>
        <w:t>ndee</w:t>
      </w:r>
      <w:r w:rsidRPr="00481243">
        <w:rPr>
          <w:rFonts w:ascii="Arial" w:hAnsi="Arial"/>
          <w:color w:val="000000" w:themeColor="text1"/>
          <w:sz w:val="24"/>
          <w:szCs w:val="24"/>
        </w:rPr>
        <w:t xml:space="preserve">d </w:t>
      </w:r>
      <w:r w:rsidRPr="00481243">
        <w:rPr>
          <w:rFonts w:ascii="Arial" w:hAnsi="Arial"/>
          <w:color w:val="000000" w:themeColor="text1"/>
          <w:sz w:val="24"/>
          <w:szCs w:val="24"/>
          <w:lang w:val="en-ZA"/>
        </w:rPr>
        <w:t xml:space="preserve">to </w:t>
      </w:r>
      <w:r w:rsidRPr="00481243">
        <w:rPr>
          <w:rFonts w:ascii="Arial" w:hAnsi="Arial"/>
          <w:color w:val="000000" w:themeColor="text1"/>
          <w:sz w:val="24"/>
          <w:szCs w:val="24"/>
        </w:rPr>
        <w:t>preserv</w:t>
      </w:r>
      <w:r w:rsidRPr="00481243">
        <w:rPr>
          <w:rFonts w:ascii="Arial" w:hAnsi="Arial"/>
          <w:color w:val="000000" w:themeColor="text1"/>
          <w:sz w:val="24"/>
          <w:szCs w:val="24"/>
          <w:lang w:val="en-ZA"/>
        </w:rPr>
        <w:t xml:space="preserve">e </w:t>
      </w:r>
      <w:r w:rsidRPr="00481243">
        <w:rPr>
          <w:rFonts w:ascii="Arial" w:hAnsi="Arial"/>
          <w:color w:val="000000" w:themeColor="text1"/>
          <w:sz w:val="24"/>
          <w:szCs w:val="24"/>
        </w:rPr>
        <w:t>t</w:t>
      </w:r>
      <w:r w:rsidRPr="00481243">
        <w:rPr>
          <w:rFonts w:ascii="Arial" w:hAnsi="Arial"/>
          <w:color w:val="000000" w:themeColor="text1"/>
          <w:sz w:val="24"/>
          <w:szCs w:val="24"/>
          <w:lang w:val="en-ZA"/>
        </w:rPr>
        <w:t xml:space="preserve">he property </w:t>
      </w:r>
      <w:r w:rsidRPr="00481243">
        <w:rPr>
          <w:rFonts w:ascii="Arial" w:hAnsi="Arial"/>
          <w:color w:val="000000" w:themeColor="text1"/>
          <w:sz w:val="24"/>
          <w:szCs w:val="24"/>
        </w:rPr>
        <w:t xml:space="preserve">so as </w:t>
      </w:r>
      <w:r w:rsidRPr="00481243">
        <w:rPr>
          <w:rFonts w:ascii="Arial" w:hAnsi="Arial"/>
          <w:color w:val="000000" w:themeColor="text1"/>
          <w:sz w:val="24"/>
          <w:szCs w:val="24"/>
          <w:lang w:val="en-ZA"/>
        </w:rPr>
        <w:t xml:space="preserve">to avoid its dissipation </w:t>
      </w:r>
      <w:r w:rsidRPr="00481243">
        <w:rPr>
          <w:rFonts w:ascii="Arial" w:hAnsi="Arial"/>
          <w:color w:val="000000" w:themeColor="text1"/>
          <w:sz w:val="24"/>
          <w:szCs w:val="24"/>
        </w:rPr>
        <w:t xml:space="preserve">while </w:t>
      </w:r>
      <w:r w:rsidRPr="00481243">
        <w:rPr>
          <w:rFonts w:ascii="Arial" w:hAnsi="Arial"/>
          <w:color w:val="000000" w:themeColor="text1"/>
          <w:sz w:val="24"/>
          <w:szCs w:val="24"/>
          <w:lang w:val="en-ZA"/>
        </w:rPr>
        <w:t>the application f</w:t>
      </w:r>
      <w:r w:rsidRPr="00481243">
        <w:rPr>
          <w:rFonts w:ascii="Arial" w:hAnsi="Arial"/>
          <w:color w:val="000000" w:themeColor="text1"/>
          <w:sz w:val="24"/>
          <w:szCs w:val="24"/>
        </w:rPr>
        <w:t>o</w:t>
      </w:r>
      <w:r w:rsidRPr="00481243">
        <w:rPr>
          <w:rFonts w:ascii="Arial" w:hAnsi="Arial"/>
          <w:color w:val="000000" w:themeColor="text1"/>
          <w:sz w:val="24"/>
          <w:szCs w:val="24"/>
          <w:lang w:val="en-ZA"/>
        </w:rPr>
        <w:t xml:space="preserve">r a </w:t>
      </w:r>
      <w:r w:rsidRPr="00481243">
        <w:rPr>
          <w:rFonts w:ascii="Arial" w:hAnsi="Arial"/>
          <w:color w:val="000000" w:themeColor="text1"/>
          <w:sz w:val="24"/>
          <w:szCs w:val="24"/>
        </w:rPr>
        <w:t xml:space="preserve">forfeiture </w:t>
      </w:r>
      <w:r w:rsidRPr="00481243">
        <w:rPr>
          <w:rFonts w:ascii="Arial" w:hAnsi="Arial"/>
          <w:color w:val="000000" w:themeColor="text1"/>
          <w:sz w:val="24"/>
          <w:szCs w:val="24"/>
          <w:lang w:val="en-ZA"/>
        </w:rPr>
        <w:t>order is put in place. At the second stage, the court found that when applying for a forfeiture</w:t>
      </w:r>
      <w:r w:rsidR="00DC06A8" w:rsidRPr="00481243">
        <w:rPr>
          <w:rFonts w:ascii="Arial" w:hAnsi="Arial"/>
          <w:color w:val="000000" w:themeColor="text1"/>
          <w:sz w:val="24"/>
          <w:szCs w:val="24"/>
          <w:lang w:val="en-ZA"/>
        </w:rPr>
        <w:t xml:space="preserve"> order</w:t>
      </w:r>
      <w:r w:rsidRPr="00481243">
        <w:rPr>
          <w:rFonts w:ascii="Arial" w:hAnsi="Arial"/>
          <w:color w:val="000000" w:themeColor="text1"/>
          <w:sz w:val="24"/>
          <w:szCs w:val="24"/>
          <w:lang w:val="en-ZA"/>
        </w:rPr>
        <w:t xml:space="preserve"> it must be shown that a crime or illegal </w:t>
      </w:r>
      <w:r w:rsidRPr="00481243">
        <w:rPr>
          <w:rFonts w:ascii="Arial" w:hAnsi="Arial"/>
          <w:color w:val="000000" w:themeColor="text1"/>
          <w:sz w:val="24"/>
          <w:szCs w:val="24"/>
          <w:lang w:val="en-ZA"/>
        </w:rPr>
        <w:lastRenderedPageBreak/>
        <w:t xml:space="preserve">activity had been committed in relation to </w:t>
      </w:r>
      <w:r w:rsidRPr="00481243">
        <w:rPr>
          <w:rFonts w:ascii="Arial" w:hAnsi="Arial"/>
          <w:color w:val="000000" w:themeColor="text1"/>
          <w:sz w:val="24"/>
          <w:szCs w:val="24"/>
        </w:rPr>
        <w:t xml:space="preserve">the </w:t>
      </w:r>
      <w:r w:rsidRPr="00481243">
        <w:rPr>
          <w:rFonts w:ascii="Arial" w:hAnsi="Arial"/>
          <w:color w:val="000000" w:themeColor="text1"/>
          <w:sz w:val="24"/>
          <w:szCs w:val="24"/>
          <w:lang w:val="en-ZA"/>
        </w:rPr>
        <w:t xml:space="preserve">property subject to an operative preservation order and sought to be forfeited. Here, the link between the </w:t>
      </w:r>
      <w:r w:rsidRPr="00481243">
        <w:rPr>
          <w:rFonts w:ascii="Arial" w:hAnsi="Arial"/>
          <w:color w:val="000000" w:themeColor="text1"/>
          <w:sz w:val="24"/>
          <w:szCs w:val="24"/>
        </w:rPr>
        <w:t>preservation</w:t>
      </w:r>
      <w:r w:rsidRPr="00481243">
        <w:rPr>
          <w:rFonts w:ascii="Arial" w:hAnsi="Arial"/>
          <w:color w:val="000000" w:themeColor="text1"/>
          <w:sz w:val="24"/>
          <w:szCs w:val="24"/>
          <w:lang w:val="en-ZA"/>
        </w:rPr>
        <w:t xml:space="preserve"> application proceedings and those </w:t>
      </w:r>
      <w:r w:rsidRPr="00481243">
        <w:rPr>
          <w:rFonts w:ascii="Arial" w:hAnsi="Arial"/>
          <w:color w:val="000000" w:themeColor="text1"/>
          <w:sz w:val="24"/>
          <w:szCs w:val="24"/>
        </w:rPr>
        <w:t>of the forfeiture</w:t>
      </w:r>
      <w:r w:rsidR="00DC06A8" w:rsidRPr="00481243">
        <w:rPr>
          <w:rFonts w:ascii="Arial" w:hAnsi="Arial"/>
          <w:color w:val="000000" w:themeColor="text1"/>
          <w:sz w:val="24"/>
          <w:szCs w:val="24"/>
        </w:rPr>
        <w:t xml:space="preserve"> order</w:t>
      </w:r>
      <w:r w:rsidRPr="00481243">
        <w:rPr>
          <w:rFonts w:ascii="Arial" w:hAnsi="Arial"/>
          <w:color w:val="000000" w:themeColor="text1"/>
          <w:sz w:val="24"/>
          <w:szCs w:val="24"/>
          <w:lang w:val="en-ZA"/>
        </w:rPr>
        <w:t xml:space="preserve"> is</w:t>
      </w:r>
      <w:r w:rsidRPr="00481243">
        <w:rPr>
          <w:rFonts w:ascii="Arial" w:hAnsi="Arial"/>
          <w:color w:val="000000" w:themeColor="text1"/>
          <w:sz w:val="24"/>
          <w:szCs w:val="24"/>
        </w:rPr>
        <w:t xml:space="preserve"> cle</w:t>
      </w:r>
      <w:r w:rsidRPr="00481243">
        <w:rPr>
          <w:rFonts w:ascii="Arial" w:hAnsi="Arial"/>
          <w:color w:val="000000" w:themeColor="text1"/>
          <w:sz w:val="24"/>
          <w:szCs w:val="24"/>
          <w:lang w:val="en-ZA"/>
        </w:rPr>
        <w:t>ar.</w:t>
      </w:r>
    </w:p>
    <w:p w:rsidR="00702D7A" w:rsidRPr="00481243" w:rsidRDefault="00702D7A" w:rsidP="00702D7A">
      <w:pPr>
        <w:spacing w:after="0" w:line="480" w:lineRule="auto"/>
        <w:jc w:val="both"/>
        <w:rPr>
          <w:rFonts w:ascii="Arial" w:hAnsi="Arial"/>
          <w:color w:val="000000" w:themeColor="text1"/>
          <w:sz w:val="24"/>
          <w:szCs w:val="24"/>
          <w:lang w:val="en-ZA"/>
        </w:rPr>
      </w:pPr>
    </w:p>
    <w:p w:rsidR="00702D7A" w:rsidRPr="00481243" w:rsidRDefault="00702D7A" w:rsidP="00733969">
      <w:pPr>
        <w:pStyle w:val="ListParagraph"/>
        <w:numPr>
          <w:ilvl w:val="0"/>
          <w:numId w:val="46"/>
        </w:numPr>
        <w:spacing w:after="0" w:line="480" w:lineRule="auto"/>
        <w:ind w:left="0" w:firstLine="0"/>
        <w:jc w:val="both"/>
        <w:rPr>
          <w:rFonts w:ascii="Arial" w:hAnsi="Arial"/>
          <w:color w:val="000000" w:themeColor="text1"/>
          <w:vertAlign w:val="superscript"/>
          <w:lang w:val="en-ZA"/>
        </w:rPr>
      </w:pPr>
      <w:r w:rsidRPr="00481243">
        <w:rPr>
          <w:rFonts w:ascii="Arial" w:hAnsi="Arial"/>
          <w:color w:val="000000" w:themeColor="text1"/>
          <w:sz w:val="24"/>
          <w:szCs w:val="24"/>
        </w:rPr>
        <w:t>Th</w:t>
      </w:r>
      <w:r w:rsidRPr="00481243">
        <w:rPr>
          <w:rFonts w:ascii="Arial" w:hAnsi="Arial"/>
          <w:color w:val="000000" w:themeColor="text1"/>
          <w:sz w:val="24"/>
          <w:szCs w:val="24"/>
          <w:lang w:val="en-ZA"/>
        </w:rPr>
        <w:t xml:space="preserve">e application </w:t>
      </w:r>
      <w:r w:rsidRPr="00481243">
        <w:rPr>
          <w:rFonts w:ascii="Arial" w:hAnsi="Arial"/>
          <w:color w:val="000000" w:themeColor="text1"/>
          <w:sz w:val="24"/>
          <w:szCs w:val="24"/>
        </w:rPr>
        <w:t>for a forfeitu</w:t>
      </w:r>
      <w:r w:rsidRPr="00481243">
        <w:rPr>
          <w:rFonts w:ascii="Arial" w:hAnsi="Arial"/>
          <w:color w:val="000000" w:themeColor="text1"/>
          <w:sz w:val="24"/>
          <w:szCs w:val="24"/>
          <w:lang w:val="en-ZA"/>
        </w:rPr>
        <w:t>re</w:t>
      </w:r>
      <w:r w:rsidR="00DC06A8" w:rsidRPr="00481243">
        <w:rPr>
          <w:rFonts w:ascii="Arial" w:hAnsi="Arial"/>
          <w:color w:val="000000" w:themeColor="text1"/>
          <w:sz w:val="24"/>
          <w:szCs w:val="24"/>
          <w:lang w:val="en-ZA"/>
        </w:rPr>
        <w:t xml:space="preserve"> order</w:t>
      </w:r>
      <w:r w:rsidRPr="00481243">
        <w:rPr>
          <w:rFonts w:ascii="Arial" w:hAnsi="Arial"/>
          <w:color w:val="000000" w:themeColor="text1"/>
          <w:sz w:val="24"/>
          <w:szCs w:val="24"/>
          <w:lang w:val="en-ZA"/>
        </w:rPr>
        <w:t xml:space="preserve"> is not </w:t>
      </w:r>
      <w:r w:rsidRPr="00481243">
        <w:rPr>
          <w:rFonts w:ascii="Arial" w:hAnsi="Arial"/>
          <w:i/>
          <w:color w:val="000000" w:themeColor="text1"/>
          <w:sz w:val="24"/>
          <w:szCs w:val="24"/>
          <w:lang w:val="en-ZA"/>
        </w:rPr>
        <w:t>ex parte</w:t>
      </w:r>
      <w:r w:rsidRPr="00481243">
        <w:rPr>
          <w:rFonts w:ascii="Arial" w:hAnsi="Arial"/>
          <w:i/>
          <w:color w:val="000000" w:themeColor="text1"/>
          <w:sz w:val="24"/>
          <w:szCs w:val="24"/>
        </w:rPr>
        <w:t xml:space="preserve">. </w:t>
      </w:r>
      <w:r w:rsidRPr="00481243">
        <w:rPr>
          <w:rFonts w:ascii="Arial" w:hAnsi="Arial"/>
          <w:color w:val="000000" w:themeColor="text1"/>
          <w:sz w:val="24"/>
          <w:szCs w:val="24"/>
        </w:rPr>
        <w:t xml:space="preserve">It </w:t>
      </w:r>
      <w:r w:rsidRPr="00481243">
        <w:rPr>
          <w:rFonts w:ascii="Arial" w:hAnsi="Arial"/>
          <w:color w:val="000000" w:themeColor="text1"/>
          <w:sz w:val="24"/>
          <w:szCs w:val="24"/>
          <w:lang w:val="en-ZA"/>
        </w:rPr>
        <w:t>makes room for a responden</w:t>
      </w:r>
      <w:r w:rsidRPr="00481243">
        <w:rPr>
          <w:rFonts w:ascii="Arial" w:hAnsi="Arial"/>
          <w:color w:val="000000" w:themeColor="text1"/>
          <w:sz w:val="24"/>
          <w:szCs w:val="24"/>
        </w:rPr>
        <w:t xml:space="preserve">t, </w:t>
      </w:r>
      <w:r w:rsidRPr="00481243">
        <w:rPr>
          <w:rFonts w:ascii="Arial" w:hAnsi="Arial"/>
          <w:color w:val="000000" w:themeColor="text1"/>
          <w:sz w:val="24"/>
          <w:szCs w:val="24"/>
          <w:lang w:val="en-ZA"/>
        </w:rPr>
        <w:t xml:space="preserve">who </w:t>
      </w:r>
      <w:r w:rsidRPr="00481243">
        <w:rPr>
          <w:rFonts w:ascii="Arial" w:hAnsi="Arial"/>
          <w:color w:val="000000" w:themeColor="text1"/>
          <w:sz w:val="24"/>
          <w:szCs w:val="24"/>
        </w:rPr>
        <w:t>has a right to be heard</w:t>
      </w:r>
      <w:r w:rsidRPr="00481243">
        <w:rPr>
          <w:rFonts w:ascii="Arial" w:hAnsi="Arial"/>
          <w:color w:val="000000" w:themeColor="text1"/>
          <w:sz w:val="24"/>
          <w:szCs w:val="24"/>
          <w:lang w:val="en-ZA"/>
        </w:rPr>
        <w:t xml:space="preserve">, </w:t>
      </w:r>
      <w:r w:rsidRPr="00481243">
        <w:rPr>
          <w:rFonts w:ascii="Arial" w:hAnsi="Arial"/>
          <w:color w:val="000000" w:themeColor="text1"/>
          <w:sz w:val="24"/>
          <w:szCs w:val="24"/>
        </w:rPr>
        <w:t>to oppose the application and must by evidence show that</w:t>
      </w:r>
      <w:r w:rsidRPr="00481243">
        <w:rPr>
          <w:rFonts w:ascii="Arial" w:hAnsi="Arial"/>
          <w:color w:val="000000" w:themeColor="text1"/>
          <w:sz w:val="24"/>
          <w:szCs w:val="24"/>
          <w:lang w:val="en-ZA"/>
        </w:rPr>
        <w:t xml:space="preserve"> the preserved property which is the subject of the forfeiture application is not the proceeds of crime</w:t>
      </w:r>
      <w:r w:rsidRPr="00481243">
        <w:rPr>
          <w:rFonts w:ascii="Arial" w:hAnsi="Arial"/>
          <w:color w:val="000000" w:themeColor="text1"/>
          <w:sz w:val="24"/>
          <w:szCs w:val="24"/>
        </w:rPr>
        <w:t xml:space="preserve">, nor </w:t>
      </w:r>
      <w:r w:rsidRPr="00481243">
        <w:rPr>
          <w:rFonts w:ascii="Arial" w:hAnsi="Arial"/>
          <w:color w:val="000000" w:themeColor="text1"/>
          <w:sz w:val="24"/>
          <w:szCs w:val="24"/>
          <w:lang w:val="en-ZA"/>
        </w:rPr>
        <w:t>the instrumentality</w:t>
      </w:r>
      <w:r w:rsidRPr="00481243">
        <w:rPr>
          <w:rFonts w:ascii="Arial" w:hAnsi="Arial"/>
          <w:color w:val="000000" w:themeColor="text1"/>
          <w:sz w:val="24"/>
          <w:szCs w:val="24"/>
        </w:rPr>
        <w:t xml:space="preserve"> </w:t>
      </w:r>
      <w:r w:rsidRPr="00481243">
        <w:rPr>
          <w:rFonts w:ascii="Arial" w:hAnsi="Arial"/>
          <w:color w:val="000000" w:themeColor="text1"/>
          <w:sz w:val="24"/>
          <w:szCs w:val="24"/>
          <w:lang w:val="en-ZA"/>
        </w:rPr>
        <w:t xml:space="preserve">of crime or unlawful activities. The respondents could </w:t>
      </w:r>
      <w:r w:rsidRPr="00481243">
        <w:rPr>
          <w:rFonts w:ascii="Arial" w:hAnsi="Arial"/>
          <w:color w:val="000000" w:themeColor="text1"/>
          <w:sz w:val="24"/>
          <w:szCs w:val="24"/>
        </w:rPr>
        <w:t xml:space="preserve">be any of the </w:t>
      </w:r>
      <w:r w:rsidRPr="00481243">
        <w:rPr>
          <w:rFonts w:ascii="Arial" w:hAnsi="Arial"/>
          <w:color w:val="000000" w:themeColor="text1"/>
          <w:sz w:val="24"/>
          <w:szCs w:val="24"/>
          <w:lang w:val="en-ZA" w:eastAsia="en-ZA"/>
        </w:rPr>
        <w:t>parties known to the applicant to have an interest in the property,</w:t>
      </w:r>
      <w:r w:rsidRPr="00481243">
        <w:rPr>
          <w:rFonts w:ascii="Arial" w:hAnsi="Arial" w:cs="Arial"/>
          <w:color w:val="000000" w:themeColor="text1"/>
          <w:vertAlign w:val="superscript"/>
          <w:lang w:val="en-ZA" w:eastAsia="en-ZA"/>
        </w:rPr>
        <w:footnoteReference w:id="21"/>
      </w:r>
      <w:r w:rsidRPr="00481243">
        <w:rPr>
          <w:rFonts w:ascii="Arial" w:hAnsi="Arial" w:cs="Arial"/>
          <w:color w:val="000000" w:themeColor="text1"/>
          <w:vertAlign w:val="superscript"/>
          <w:lang w:val="en-ZA"/>
        </w:rPr>
        <w:t xml:space="preserve"> </w:t>
      </w:r>
      <w:r w:rsidRPr="00481243">
        <w:rPr>
          <w:rFonts w:ascii="Arial" w:hAnsi="Arial"/>
          <w:color w:val="000000" w:themeColor="text1"/>
          <w:vertAlign w:val="superscript"/>
          <w:lang w:val="en-ZA"/>
        </w:rPr>
        <w:t xml:space="preserve"> </w:t>
      </w:r>
      <w:r w:rsidRPr="00481243">
        <w:rPr>
          <w:rFonts w:ascii="Arial" w:hAnsi="Arial"/>
          <w:color w:val="000000" w:themeColor="text1"/>
          <w:sz w:val="24"/>
          <w:szCs w:val="24"/>
        </w:rPr>
        <w:t>which i</w:t>
      </w:r>
      <w:r w:rsidRPr="00481243">
        <w:rPr>
          <w:rFonts w:ascii="Arial" w:hAnsi="Arial"/>
          <w:color w:val="000000" w:themeColor="text1"/>
          <w:sz w:val="24"/>
          <w:szCs w:val="24"/>
          <w:lang w:val="en-ZA"/>
        </w:rPr>
        <w:t>s subject to an operative preservation order which must be in place when a forfeiture</w:t>
      </w:r>
      <w:r w:rsidR="00DC06A8" w:rsidRPr="00481243">
        <w:rPr>
          <w:rFonts w:ascii="Arial" w:hAnsi="Arial"/>
          <w:color w:val="000000" w:themeColor="text1"/>
          <w:sz w:val="24"/>
          <w:szCs w:val="24"/>
          <w:lang w:val="en-ZA"/>
        </w:rPr>
        <w:t xml:space="preserve"> order</w:t>
      </w:r>
      <w:r w:rsidRPr="00481243">
        <w:rPr>
          <w:rFonts w:ascii="Arial" w:hAnsi="Arial"/>
          <w:color w:val="000000" w:themeColor="text1"/>
          <w:sz w:val="24"/>
          <w:szCs w:val="24"/>
          <w:lang w:val="en-ZA"/>
        </w:rPr>
        <w:t xml:space="preserve"> is sought.</w:t>
      </w:r>
      <w:r w:rsidRPr="00481243">
        <w:rPr>
          <w:rFonts w:ascii="Arial" w:hAnsi="Arial" w:cs="Arial"/>
          <w:color w:val="000000" w:themeColor="text1"/>
          <w:vertAlign w:val="superscript"/>
          <w:lang w:val="en-ZA" w:eastAsia="en-ZA"/>
        </w:rPr>
        <w:footnoteReference w:id="22"/>
      </w:r>
    </w:p>
    <w:p w:rsidR="00702D7A" w:rsidRPr="00481243" w:rsidRDefault="00702D7A" w:rsidP="00702D7A">
      <w:pPr>
        <w:spacing w:after="0" w:line="480" w:lineRule="auto"/>
        <w:jc w:val="both"/>
        <w:rPr>
          <w:rFonts w:ascii="Arial" w:hAnsi="Arial"/>
          <w:color w:val="000000" w:themeColor="text1"/>
          <w:sz w:val="24"/>
          <w:szCs w:val="24"/>
          <w:lang w:val="en-ZA"/>
        </w:rPr>
      </w:pPr>
    </w:p>
    <w:p w:rsidR="00702D7A" w:rsidRPr="00481243" w:rsidRDefault="00702D7A" w:rsidP="00E0791F">
      <w:pPr>
        <w:pStyle w:val="ListParagraph"/>
        <w:numPr>
          <w:ilvl w:val="0"/>
          <w:numId w:val="46"/>
        </w:numPr>
        <w:spacing w:after="0" w:line="480" w:lineRule="auto"/>
        <w:ind w:left="0" w:firstLine="0"/>
        <w:jc w:val="both"/>
        <w:rPr>
          <w:rFonts w:ascii="Arial" w:hAnsi="Arial"/>
          <w:color w:val="000000" w:themeColor="text1"/>
          <w:sz w:val="24"/>
          <w:szCs w:val="24"/>
          <w:lang w:val="en-ZA"/>
        </w:rPr>
      </w:pPr>
      <w:r w:rsidRPr="00481243">
        <w:rPr>
          <w:rFonts w:ascii="Arial" w:hAnsi="Arial"/>
          <w:color w:val="000000" w:themeColor="text1"/>
          <w:sz w:val="24"/>
          <w:szCs w:val="24"/>
          <w:lang w:val="en-ZA"/>
        </w:rPr>
        <w:t xml:space="preserve">The notice of the existence of the preservation order must be published </w:t>
      </w:r>
      <w:r w:rsidRPr="00481243">
        <w:rPr>
          <w:rFonts w:ascii="Arial" w:hAnsi="Arial"/>
          <w:color w:val="000000" w:themeColor="text1"/>
          <w:sz w:val="24"/>
          <w:szCs w:val="24"/>
          <w:lang w:val="en-ZA" w:eastAsia="en-ZA"/>
        </w:rPr>
        <w:t>in the Government Gazette</w:t>
      </w:r>
      <w:r w:rsidRPr="00481243">
        <w:rPr>
          <w:rFonts w:ascii="Arial" w:hAnsi="Arial" w:cs="Arial"/>
          <w:color w:val="000000" w:themeColor="text1"/>
          <w:vertAlign w:val="superscript"/>
          <w:lang w:val="en-ZA" w:eastAsia="en-ZA"/>
        </w:rPr>
        <w:footnoteReference w:id="23"/>
      </w:r>
      <w:r w:rsidRPr="00481243">
        <w:rPr>
          <w:rFonts w:ascii="Arial" w:hAnsi="Arial"/>
          <w:color w:val="000000" w:themeColor="text1"/>
          <w:sz w:val="24"/>
          <w:szCs w:val="24"/>
          <w:lang w:val="en-ZA" w:eastAsia="en-ZA"/>
        </w:rPr>
        <w:t xml:space="preserve"> and served on all interested parties. </w:t>
      </w:r>
      <w:r w:rsidRPr="00481243">
        <w:rPr>
          <w:rFonts w:ascii="Arial" w:hAnsi="Arial"/>
          <w:color w:val="000000" w:themeColor="text1"/>
          <w:sz w:val="24"/>
          <w:szCs w:val="24"/>
          <w:lang w:val="en-ZA"/>
        </w:rPr>
        <w:t xml:space="preserve">Within 14 days of the publication of the existence of the preservation order, the interested parties have an opportunity to make known </w:t>
      </w:r>
      <w:r w:rsidRPr="00481243">
        <w:rPr>
          <w:rFonts w:ascii="Arial" w:hAnsi="Arial"/>
          <w:color w:val="000000" w:themeColor="text1"/>
          <w:sz w:val="24"/>
          <w:szCs w:val="24"/>
          <w:lang w:val="en-ZA" w:eastAsia="en-ZA"/>
        </w:rPr>
        <w:t xml:space="preserve">their interest in the preserved property so that they </w:t>
      </w:r>
      <w:r w:rsidRPr="00481243">
        <w:rPr>
          <w:rFonts w:ascii="Arial" w:hAnsi="Arial"/>
          <w:color w:val="000000" w:themeColor="text1"/>
          <w:sz w:val="24"/>
          <w:szCs w:val="24"/>
          <w:lang w:val="en-ZA"/>
        </w:rPr>
        <w:t>determine</w:t>
      </w:r>
      <w:r w:rsidRPr="00481243">
        <w:rPr>
          <w:rFonts w:ascii="Arial" w:hAnsi="Arial"/>
          <w:color w:val="000000" w:themeColor="text1"/>
          <w:sz w:val="24"/>
          <w:szCs w:val="24"/>
          <w:lang w:val="en-ZA" w:eastAsia="en-ZA"/>
        </w:rPr>
        <w:t xml:space="preserve"> whether </w:t>
      </w:r>
      <w:r w:rsidRPr="00481243">
        <w:rPr>
          <w:rFonts w:ascii="Arial" w:hAnsi="Arial"/>
          <w:color w:val="000000" w:themeColor="text1"/>
          <w:sz w:val="24"/>
          <w:szCs w:val="24"/>
          <w:lang w:val="en-ZA"/>
        </w:rPr>
        <w:t xml:space="preserve">or not </w:t>
      </w:r>
      <w:r w:rsidRPr="00481243">
        <w:rPr>
          <w:rFonts w:ascii="Arial" w:hAnsi="Arial"/>
          <w:color w:val="000000" w:themeColor="text1"/>
          <w:sz w:val="24"/>
          <w:szCs w:val="24"/>
          <w:lang w:val="en-ZA" w:eastAsia="en-ZA"/>
        </w:rPr>
        <w:t xml:space="preserve">to </w:t>
      </w:r>
      <w:r w:rsidRPr="00481243">
        <w:rPr>
          <w:rFonts w:ascii="Arial" w:hAnsi="Arial"/>
          <w:color w:val="000000" w:themeColor="text1"/>
          <w:sz w:val="24"/>
          <w:szCs w:val="24"/>
        </w:rPr>
        <w:t xml:space="preserve">exercise their right to be heard and </w:t>
      </w:r>
      <w:r w:rsidRPr="00481243">
        <w:rPr>
          <w:rFonts w:ascii="Arial" w:hAnsi="Arial"/>
          <w:color w:val="000000" w:themeColor="text1"/>
          <w:sz w:val="24"/>
          <w:szCs w:val="24"/>
          <w:lang w:val="en-ZA" w:eastAsia="en-ZA"/>
        </w:rPr>
        <w:t>participate in the</w:t>
      </w:r>
      <w:r w:rsidRPr="00481243">
        <w:rPr>
          <w:rFonts w:ascii="Arial" w:hAnsi="Arial"/>
          <w:color w:val="000000" w:themeColor="text1"/>
          <w:sz w:val="24"/>
          <w:szCs w:val="24"/>
          <w:lang w:val="en-ZA"/>
        </w:rPr>
        <w:t xml:space="preserve"> </w:t>
      </w:r>
      <w:r w:rsidRPr="00481243">
        <w:rPr>
          <w:rFonts w:ascii="Arial" w:hAnsi="Arial"/>
          <w:color w:val="000000" w:themeColor="text1"/>
          <w:sz w:val="24"/>
          <w:szCs w:val="24"/>
          <w:lang w:val="en-ZA" w:eastAsia="en-ZA"/>
        </w:rPr>
        <w:t>forfeitur</w:t>
      </w:r>
      <w:r w:rsidRPr="00481243">
        <w:rPr>
          <w:rFonts w:ascii="Arial" w:hAnsi="Arial"/>
          <w:color w:val="000000" w:themeColor="text1"/>
          <w:sz w:val="24"/>
          <w:szCs w:val="24"/>
          <w:lang w:val="en-ZA"/>
        </w:rPr>
        <w:t>e application</w:t>
      </w:r>
      <w:r w:rsidRPr="00481243">
        <w:rPr>
          <w:rFonts w:ascii="Arial" w:hAnsi="Arial"/>
          <w:color w:val="000000" w:themeColor="text1"/>
          <w:sz w:val="24"/>
          <w:szCs w:val="24"/>
          <w:lang w:val="en-ZA" w:eastAsia="en-ZA"/>
        </w:rPr>
        <w:t xml:space="preserve"> proceedings </w:t>
      </w:r>
      <w:r w:rsidRPr="00481243">
        <w:rPr>
          <w:rFonts w:ascii="Arial" w:hAnsi="Arial"/>
          <w:color w:val="000000" w:themeColor="text1"/>
          <w:sz w:val="24"/>
          <w:szCs w:val="24"/>
          <w:lang w:val="en-ZA"/>
        </w:rPr>
        <w:t>as respondents</w:t>
      </w:r>
      <w:r w:rsidRPr="00481243">
        <w:rPr>
          <w:rFonts w:ascii="Arial" w:hAnsi="Arial"/>
          <w:color w:val="000000" w:themeColor="text1"/>
          <w:sz w:val="24"/>
          <w:szCs w:val="24"/>
        </w:rPr>
        <w:t xml:space="preserve">. The opportunity to </w:t>
      </w:r>
      <w:r w:rsidRPr="00481243">
        <w:rPr>
          <w:rFonts w:ascii="Arial" w:hAnsi="Arial"/>
          <w:color w:val="000000" w:themeColor="text1"/>
          <w:sz w:val="24"/>
          <w:szCs w:val="24"/>
          <w:lang w:val="en-ZA"/>
        </w:rPr>
        <w:t>oppose the grant of a forfeiture</w:t>
      </w:r>
      <w:r w:rsidR="00DC06A8" w:rsidRPr="00481243">
        <w:rPr>
          <w:rFonts w:ascii="Arial" w:hAnsi="Arial"/>
          <w:color w:val="000000" w:themeColor="text1"/>
          <w:sz w:val="24"/>
          <w:szCs w:val="24"/>
          <w:lang w:val="en-ZA"/>
        </w:rPr>
        <w:t xml:space="preserve"> order</w:t>
      </w:r>
      <w:r w:rsidRPr="00481243">
        <w:rPr>
          <w:rFonts w:ascii="Arial" w:hAnsi="Arial"/>
          <w:color w:val="000000" w:themeColor="text1"/>
          <w:sz w:val="24"/>
          <w:szCs w:val="24"/>
          <w:lang w:val="en-ZA"/>
        </w:rPr>
        <w:t xml:space="preserve"> is in respect of the same property and therefore the same cause or matter which was the cause or matter in the application proceedings for</w:t>
      </w:r>
      <w:r w:rsidRPr="00481243">
        <w:rPr>
          <w:rFonts w:ascii="Arial" w:hAnsi="Arial"/>
          <w:color w:val="000000" w:themeColor="text1"/>
          <w:sz w:val="24"/>
          <w:szCs w:val="24"/>
        </w:rPr>
        <w:t xml:space="preserve"> the </w:t>
      </w:r>
      <w:r w:rsidRPr="00481243">
        <w:rPr>
          <w:rFonts w:ascii="Arial" w:hAnsi="Arial"/>
          <w:color w:val="000000" w:themeColor="text1"/>
          <w:sz w:val="24"/>
          <w:szCs w:val="24"/>
          <w:lang w:val="en-ZA"/>
        </w:rPr>
        <w:t xml:space="preserve">preservation order. </w:t>
      </w:r>
    </w:p>
    <w:p w:rsidR="00702D7A" w:rsidRPr="00481243" w:rsidRDefault="00702D7A" w:rsidP="00702D7A">
      <w:pPr>
        <w:spacing w:after="0" w:line="480" w:lineRule="auto"/>
        <w:jc w:val="both"/>
        <w:rPr>
          <w:rFonts w:ascii="Arial" w:hAnsi="Arial"/>
          <w:color w:val="000000" w:themeColor="text1"/>
          <w:sz w:val="24"/>
          <w:szCs w:val="24"/>
          <w:lang w:val="en-ZA"/>
        </w:rPr>
      </w:pPr>
    </w:p>
    <w:p w:rsidR="00702D7A" w:rsidRPr="00481243" w:rsidRDefault="00702D7A" w:rsidP="00E0791F">
      <w:pPr>
        <w:pStyle w:val="ListParagraph"/>
        <w:numPr>
          <w:ilvl w:val="0"/>
          <w:numId w:val="46"/>
        </w:numPr>
        <w:spacing w:after="0" w:line="480" w:lineRule="auto"/>
        <w:ind w:left="0" w:firstLine="0"/>
        <w:jc w:val="both"/>
        <w:rPr>
          <w:rFonts w:ascii="Arial" w:hAnsi="Arial"/>
          <w:color w:val="000000" w:themeColor="text1"/>
          <w:sz w:val="24"/>
          <w:szCs w:val="24"/>
          <w:lang w:val="en-ZA"/>
        </w:rPr>
      </w:pPr>
      <w:r w:rsidRPr="00481243">
        <w:rPr>
          <w:rFonts w:ascii="Arial" w:hAnsi="Arial"/>
          <w:color w:val="000000" w:themeColor="text1"/>
          <w:sz w:val="24"/>
          <w:szCs w:val="24"/>
          <w:lang w:val="en-ZA"/>
        </w:rPr>
        <w:lastRenderedPageBreak/>
        <w:t>The opportunity to be respondents and oppose the application for a forfeiture</w:t>
      </w:r>
      <w:r w:rsidR="00E2535F" w:rsidRPr="00481243">
        <w:rPr>
          <w:rFonts w:ascii="Arial" w:hAnsi="Arial"/>
          <w:color w:val="000000" w:themeColor="text1"/>
          <w:sz w:val="24"/>
          <w:szCs w:val="24"/>
          <w:lang w:val="en-ZA"/>
        </w:rPr>
        <w:t xml:space="preserve"> order</w:t>
      </w:r>
      <w:r w:rsidRPr="00481243">
        <w:rPr>
          <w:rFonts w:ascii="Arial" w:hAnsi="Arial"/>
          <w:color w:val="000000" w:themeColor="text1"/>
          <w:sz w:val="24"/>
          <w:szCs w:val="24"/>
          <w:lang w:val="en-ZA"/>
        </w:rPr>
        <w:t xml:space="preserve"> i</w:t>
      </w:r>
      <w:r w:rsidRPr="00481243">
        <w:rPr>
          <w:rFonts w:ascii="Arial" w:hAnsi="Arial"/>
          <w:color w:val="000000" w:themeColor="text1"/>
          <w:sz w:val="24"/>
          <w:szCs w:val="24"/>
        </w:rPr>
        <w:t xml:space="preserve">s therefore given only to those who have an interest in the preserved property. </w:t>
      </w:r>
      <w:r w:rsidRPr="00481243">
        <w:rPr>
          <w:rFonts w:ascii="Arial" w:hAnsi="Arial"/>
          <w:color w:val="000000" w:themeColor="text1"/>
          <w:sz w:val="24"/>
          <w:szCs w:val="24"/>
          <w:lang w:val="en-ZA"/>
        </w:rPr>
        <w:t>Here too</w:t>
      </w:r>
      <w:r w:rsidRPr="00481243">
        <w:rPr>
          <w:rFonts w:ascii="Arial" w:hAnsi="Arial"/>
          <w:color w:val="000000" w:themeColor="text1"/>
          <w:sz w:val="24"/>
          <w:szCs w:val="24"/>
        </w:rPr>
        <w:t xml:space="preserve">, </w:t>
      </w:r>
      <w:r w:rsidRPr="00481243">
        <w:rPr>
          <w:rFonts w:ascii="Arial" w:hAnsi="Arial"/>
          <w:color w:val="000000" w:themeColor="text1"/>
          <w:sz w:val="24"/>
          <w:szCs w:val="24"/>
          <w:lang w:val="en-ZA"/>
        </w:rPr>
        <w:t>it is clear that the application for a forfeiture</w:t>
      </w:r>
      <w:r w:rsidR="00E2535F" w:rsidRPr="00481243">
        <w:rPr>
          <w:rFonts w:ascii="Arial" w:hAnsi="Arial"/>
          <w:color w:val="000000" w:themeColor="text1"/>
          <w:sz w:val="24"/>
          <w:szCs w:val="24"/>
          <w:lang w:val="en-ZA"/>
        </w:rPr>
        <w:t xml:space="preserve"> order</w:t>
      </w:r>
      <w:r w:rsidRPr="00481243">
        <w:rPr>
          <w:rFonts w:ascii="Arial" w:hAnsi="Arial"/>
          <w:color w:val="000000" w:themeColor="text1"/>
          <w:sz w:val="24"/>
          <w:szCs w:val="24"/>
          <w:lang w:val="en-ZA"/>
        </w:rPr>
        <w:t xml:space="preserve"> is a continuation of the proceedings initiated by the application for the preservation of the same property. The application proceedings for a forfeiture</w:t>
      </w:r>
      <w:r w:rsidR="00E2535F" w:rsidRPr="00481243">
        <w:rPr>
          <w:rFonts w:ascii="Arial" w:hAnsi="Arial"/>
          <w:color w:val="000000" w:themeColor="text1"/>
          <w:sz w:val="24"/>
          <w:szCs w:val="24"/>
          <w:lang w:val="en-ZA"/>
        </w:rPr>
        <w:t xml:space="preserve"> order</w:t>
      </w:r>
      <w:r w:rsidRPr="00481243">
        <w:rPr>
          <w:rFonts w:ascii="Arial" w:hAnsi="Arial"/>
          <w:color w:val="000000" w:themeColor="text1"/>
          <w:sz w:val="24"/>
          <w:szCs w:val="24"/>
          <w:lang w:val="en-ZA"/>
        </w:rPr>
        <w:t xml:space="preserve"> does not initiate new proceedings as defined in rule 65(1) of the High Court Rules. Rather, those proceedings are a </w:t>
      </w:r>
      <w:r w:rsidRPr="00481243">
        <w:rPr>
          <w:rFonts w:ascii="Arial" w:hAnsi="Arial"/>
          <w:i/>
          <w:color w:val="000000" w:themeColor="text1"/>
          <w:sz w:val="24"/>
          <w:szCs w:val="24"/>
          <w:lang w:val="en-ZA"/>
        </w:rPr>
        <w:t>continuum</w:t>
      </w:r>
      <w:r w:rsidRPr="00481243">
        <w:rPr>
          <w:rFonts w:ascii="Arial" w:hAnsi="Arial"/>
          <w:color w:val="000000" w:themeColor="text1"/>
          <w:sz w:val="24"/>
          <w:szCs w:val="24"/>
          <w:lang w:val="en-ZA"/>
        </w:rPr>
        <w:t xml:space="preserve"> of the proceedings initiated by the application for the order preserving the properties. And as decided in </w:t>
      </w:r>
      <w:r w:rsidRPr="00481243">
        <w:rPr>
          <w:rFonts w:ascii="Arial" w:hAnsi="Arial"/>
          <w:i/>
          <w:color w:val="000000" w:themeColor="text1"/>
          <w:sz w:val="24"/>
          <w:szCs w:val="24"/>
          <w:lang w:val="en-ZA"/>
        </w:rPr>
        <w:t xml:space="preserve">Uuyoni, </w:t>
      </w:r>
      <w:r w:rsidRPr="00481243">
        <w:rPr>
          <w:rFonts w:ascii="Arial" w:hAnsi="Arial"/>
          <w:color w:val="000000" w:themeColor="text1"/>
          <w:sz w:val="24"/>
          <w:szCs w:val="24"/>
          <w:lang w:val="en-ZA"/>
        </w:rPr>
        <w:t xml:space="preserve">we agree that it is but only the second stage of the single, intertwined property forfeiture process or </w:t>
      </w:r>
      <w:r w:rsidR="00E0791F" w:rsidRPr="00481243">
        <w:rPr>
          <w:rFonts w:ascii="Arial" w:hAnsi="Arial"/>
          <w:color w:val="000000" w:themeColor="text1"/>
          <w:sz w:val="24"/>
          <w:szCs w:val="24"/>
          <w:lang w:val="en-ZA"/>
        </w:rPr>
        <w:t>mechanism provided for in C</w:t>
      </w:r>
      <w:r w:rsidRPr="00481243">
        <w:rPr>
          <w:rFonts w:ascii="Arial" w:hAnsi="Arial"/>
          <w:color w:val="000000" w:themeColor="text1"/>
          <w:sz w:val="24"/>
          <w:szCs w:val="24"/>
          <w:lang w:val="en-ZA"/>
        </w:rPr>
        <w:t>hapter 6 of POCA in the context of the very object</w:t>
      </w:r>
      <w:r w:rsidR="00E0791F" w:rsidRPr="00481243">
        <w:rPr>
          <w:rFonts w:ascii="Arial" w:hAnsi="Arial"/>
          <w:color w:val="000000" w:themeColor="text1"/>
          <w:sz w:val="24"/>
          <w:szCs w:val="24"/>
          <w:lang w:val="en-ZA"/>
        </w:rPr>
        <w:t>ive of POCA articulated in its p</w:t>
      </w:r>
      <w:r w:rsidRPr="00481243">
        <w:rPr>
          <w:rFonts w:ascii="Arial" w:hAnsi="Arial"/>
          <w:color w:val="000000" w:themeColor="text1"/>
          <w:sz w:val="24"/>
          <w:szCs w:val="24"/>
          <w:lang w:val="en-ZA"/>
        </w:rPr>
        <w:t>reamble. The mandatory requirement that the notice of motion in terms of rule 65(1) be supported by affidavit in all new application proceedings is therefore not applicable in the application for a forfeiture order. Concerning the High Court decision that the application proceedings for the forfeiture</w:t>
      </w:r>
      <w:r w:rsidR="00E2535F" w:rsidRPr="00481243">
        <w:rPr>
          <w:rFonts w:ascii="Arial" w:hAnsi="Arial"/>
          <w:color w:val="000000" w:themeColor="text1"/>
          <w:sz w:val="24"/>
          <w:szCs w:val="24"/>
          <w:lang w:val="en-ZA"/>
        </w:rPr>
        <w:t xml:space="preserve"> order</w:t>
      </w:r>
      <w:r w:rsidRPr="00481243">
        <w:rPr>
          <w:rFonts w:ascii="Arial" w:hAnsi="Arial"/>
          <w:color w:val="000000" w:themeColor="text1"/>
          <w:sz w:val="24"/>
          <w:szCs w:val="24"/>
          <w:lang w:val="en-ZA"/>
        </w:rPr>
        <w:t xml:space="preserve"> was separate and distinct from the initial application proceedings for the preservation order, we hold that for the reasons stated above and in the context of this court’s decision in </w:t>
      </w:r>
      <w:r w:rsidRPr="00481243">
        <w:rPr>
          <w:rFonts w:ascii="Arial" w:hAnsi="Arial"/>
          <w:i/>
          <w:color w:val="000000" w:themeColor="text1"/>
          <w:sz w:val="24"/>
          <w:szCs w:val="24"/>
          <w:lang w:val="en-ZA"/>
        </w:rPr>
        <w:t xml:space="preserve">Uuyoni, </w:t>
      </w:r>
      <w:r w:rsidRPr="00481243">
        <w:rPr>
          <w:rFonts w:ascii="Arial" w:hAnsi="Arial"/>
          <w:color w:val="000000" w:themeColor="text1"/>
          <w:sz w:val="24"/>
          <w:szCs w:val="24"/>
          <w:lang w:val="en-ZA"/>
        </w:rPr>
        <w:t>was</w:t>
      </w:r>
      <w:r w:rsidRPr="00481243">
        <w:rPr>
          <w:rFonts w:ascii="Arial" w:hAnsi="Arial"/>
          <w:i/>
          <w:color w:val="000000" w:themeColor="text1"/>
          <w:sz w:val="24"/>
          <w:szCs w:val="24"/>
          <w:lang w:val="en-ZA"/>
        </w:rPr>
        <w:t xml:space="preserve"> </w:t>
      </w:r>
      <w:r w:rsidRPr="00481243">
        <w:rPr>
          <w:rFonts w:ascii="Arial" w:hAnsi="Arial"/>
          <w:color w:val="000000" w:themeColor="text1"/>
          <w:sz w:val="24"/>
          <w:szCs w:val="24"/>
          <w:lang w:val="en-ZA"/>
        </w:rPr>
        <w:t>clearly incorrect. The application for the forfeiture of the properties was therefore properly filed.</w:t>
      </w:r>
    </w:p>
    <w:p w:rsidR="00702D7A" w:rsidRPr="00481243" w:rsidRDefault="00702D7A" w:rsidP="00702D7A">
      <w:pPr>
        <w:spacing w:after="0" w:line="480" w:lineRule="auto"/>
        <w:jc w:val="both"/>
        <w:rPr>
          <w:rFonts w:ascii="Arial" w:hAnsi="Arial"/>
          <w:color w:val="000000" w:themeColor="text1"/>
          <w:sz w:val="24"/>
          <w:szCs w:val="24"/>
          <w:lang w:val="en-ZA" w:eastAsia="en-ZA"/>
        </w:rPr>
      </w:pPr>
    </w:p>
    <w:p w:rsidR="00702D7A" w:rsidRPr="00481243" w:rsidRDefault="009E4C73" w:rsidP="00E0791F">
      <w:pPr>
        <w:pStyle w:val="ListParagraph"/>
        <w:numPr>
          <w:ilvl w:val="0"/>
          <w:numId w:val="46"/>
        </w:numPr>
        <w:spacing w:after="0" w:line="480" w:lineRule="auto"/>
        <w:ind w:left="0" w:firstLine="0"/>
        <w:jc w:val="both"/>
        <w:rPr>
          <w:rFonts w:ascii="Arial" w:hAnsi="Arial"/>
          <w:color w:val="000000" w:themeColor="text1"/>
          <w:sz w:val="24"/>
          <w:szCs w:val="24"/>
          <w:lang w:val="en-ZA" w:eastAsia="en-ZA"/>
        </w:rPr>
      </w:pPr>
      <w:r w:rsidRPr="00481243">
        <w:rPr>
          <w:rFonts w:ascii="Arial" w:hAnsi="Arial"/>
          <w:color w:val="000000" w:themeColor="text1"/>
          <w:sz w:val="24"/>
          <w:szCs w:val="24"/>
          <w:lang w:val="en-ZA" w:eastAsia="en-ZA"/>
        </w:rPr>
        <w:t>Section 91(1</w:t>
      </w:r>
      <w:r w:rsidR="00BD720A" w:rsidRPr="00481243">
        <w:rPr>
          <w:rFonts w:ascii="Arial" w:hAnsi="Arial"/>
          <w:color w:val="000000" w:themeColor="text1"/>
          <w:sz w:val="24"/>
          <w:szCs w:val="24"/>
          <w:lang w:val="en-ZA" w:eastAsia="en-ZA"/>
        </w:rPr>
        <w:t>) of POCA, submits the appellant</w:t>
      </w:r>
      <w:r w:rsidR="00702D7A" w:rsidRPr="00481243">
        <w:rPr>
          <w:rFonts w:ascii="Arial" w:hAnsi="Arial"/>
          <w:color w:val="000000" w:themeColor="text1"/>
          <w:sz w:val="24"/>
          <w:szCs w:val="24"/>
          <w:lang w:val="en-ZA" w:eastAsia="en-ZA"/>
        </w:rPr>
        <w:t xml:space="preserve">, requires that the property preservation application in s 51, the forfeiture application in s 59 and the application by the </w:t>
      </w:r>
      <w:r w:rsidR="00BD720A" w:rsidRPr="00481243">
        <w:rPr>
          <w:rFonts w:ascii="Arial" w:hAnsi="Arial"/>
          <w:color w:val="000000" w:themeColor="text1"/>
          <w:sz w:val="24"/>
          <w:szCs w:val="24"/>
          <w:lang w:val="en-ZA" w:eastAsia="en-ZA"/>
        </w:rPr>
        <w:t>appellant</w:t>
      </w:r>
      <w:r w:rsidR="00702D7A" w:rsidRPr="00481243">
        <w:rPr>
          <w:rFonts w:ascii="Arial" w:hAnsi="Arial"/>
          <w:color w:val="000000" w:themeColor="text1"/>
          <w:sz w:val="24"/>
          <w:szCs w:val="24"/>
          <w:lang w:val="en-ZA" w:eastAsia="en-ZA"/>
        </w:rPr>
        <w:t xml:space="preserve"> for a default forfeiture order under s 64 must be in terms of the </w:t>
      </w:r>
      <w:r w:rsidR="00702D7A" w:rsidRPr="00481243">
        <w:rPr>
          <w:rFonts w:ascii="Arial" w:hAnsi="Arial"/>
          <w:color w:val="000000" w:themeColor="text1"/>
          <w:sz w:val="24"/>
          <w:szCs w:val="24"/>
          <w:lang w:val="en-ZA" w:eastAsia="en-ZA"/>
        </w:rPr>
        <w:lastRenderedPageBreak/>
        <w:t>prescribed procedure determined by regulation 7 of the POCA regulations</w:t>
      </w:r>
      <w:r w:rsidR="003049DB" w:rsidRPr="00481243">
        <w:rPr>
          <w:rFonts w:ascii="Arial" w:hAnsi="Arial"/>
          <w:color w:val="000000" w:themeColor="text1"/>
          <w:sz w:val="24"/>
          <w:szCs w:val="24"/>
          <w:lang w:val="en-ZA" w:eastAsia="en-ZA"/>
        </w:rPr>
        <w:t>,</w:t>
      </w:r>
      <w:r w:rsidR="00702D7A" w:rsidRPr="00481243">
        <w:rPr>
          <w:rFonts w:ascii="Arial" w:hAnsi="Arial" w:cs="Arial"/>
          <w:color w:val="000000" w:themeColor="text1"/>
          <w:vertAlign w:val="superscript"/>
          <w:lang w:val="en-ZA" w:eastAsia="en-ZA"/>
        </w:rPr>
        <w:footnoteReference w:id="24"/>
      </w:r>
      <w:r w:rsidR="00702D7A" w:rsidRPr="00481243">
        <w:rPr>
          <w:rFonts w:ascii="Arial" w:hAnsi="Arial" w:cs="Arial"/>
          <w:color w:val="000000" w:themeColor="text1"/>
          <w:sz w:val="24"/>
          <w:szCs w:val="24"/>
          <w:lang w:val="en-ZA" w:eastAsia="en-ZA"/>
        </w:rPr>
        <w:t xml:space="preserve"> </w:t>
      </w:r>
      <w:r w:rsidR="00702D7A" w:rsidRPr="00481243">
        <w:rPr>
          <w:rFonts w:ascii="Arial" w:hAnsi="Arial"/>
          <w:color w:val="000000" w:themeColor="text1"/>
          <w:sz w:val="24"/>
          <w:szCs w:val="24"/>
          <w:lang w:val="en-ZA" w:eastAsia="en-ZA"/>
        </w:rPr>
        <w:t xml:space="preserve">in relation to the rules of the </w:t>
      </w:r>
      <w:r w:rsidR="00076C7F" w:rsidRPr="00481243">
        <w:rPr>
          <w:rFonts w:ascii="Arial" w:hAnsi="Arial"/>
          <w:color w:val="000000" w:themeColor="text1"/>
          <w:sz w:val="24"/>
          <w:szCs w:val="24"/>
          <w:lang w:val="en-ZA" w:eastAsia="en-ZA"/>
        </w:rPr>
        <w:t>court.</w:t>
      </w:r>
    </w:p>
    <w:p w:rsidR="00702D7A" w:rsidRPr="00481243" w:rsidRDefault="00702D7A" w:rsidP="00702D7A">
      <w:pPr>
        <w:spacing w:after="0" w:line="480" w:lineRule="auto"/>
        <w:jc w:val="both"/>
        <w:rPr>
          <w:rFonts w:ascii="Arial" w:hAnsi="Arial"/>
          <w:color w:val="000000" w:themeColor="text1"/>
          <w:sz w:val="24"/>
          <w:szCs w:val="24"/>
          <w:lang w:val="en-ZA" w:eastAsia="en-ZA"/>
        </w:rPr>
      </w:pPr>
    </w:p>
    <w:p w:rsidR="00702D7A" w:rsidRPr="00481243" w:rsidRDefault="00076C7F" w:rsidP="00076C7F">
      <w:pPr>
        <w:pStyle w:val="ListParagraph"/>
        <w:numPr>
          <w:ilvl w:val="0"/>
          <w:numId w:val="46"/>
        </w:numPr>
        <w:spacing w:after="0" w:line="480" w:lineRule="auto"/>
        <w:ind w:left="0" w:firstLine="0"/>
        <w:jc w:val="both"/>
        <w:rPr>
          <w:rFonts w:ascii="Arial" w:hAnsi="Arial"/>
          <w:color w:val="000000" w:themeColor="text1"/>
          <w:sz w:val="24"/>
          <w:szCs w:val="24"/>
          <w:lang w:val="en-ZA" w:eastAsia="en-ZA"/>
        </w:rPr>
      </w:pPr>
      <w:r w:rsidRPr="00481243">
        <w:rPr>
          <w:rFonts w:ascii="Arial" w:hAnsi="Arial"/>
          <w:color w:val="000000" w:themeColor="text1"/>
          <w:sz w:val="24"/>
          <w:szCs w:val="24"/>
          <w:lang w:val="en-ZA" w:eastAsia="en-ZA"/>
        </w:rPr>
        <w:t xml:space="preserve">In respect of the </w:t>
      </w:r>
      <w:r w:rsidR="00702D7A" w:rsidRPr="00481243">
        <w:rPr>
          <w:rFonts w:ascii="Arial" w:hAnsi="Arial"/>
          <w:color w:val="000000" w:themeColor="text1"/>
          <w:sz w:val="24"/>
          <w:szCs w:val="24"/>
          <w:lang w:val="en-ZA" w:eastAsia="en-ZA"/>
        </w:rPr>
        <w:t xml:space="preserve">ground of appeal which pertains to the question whether the notice </w:t>
      </w:r>
      <w:r w:rsidR="00702D7A" w:rsidRPr="00481243">
        <w:rPr>
          <w:rFonts w:ascii="Arial" w:hAnsi="Arial"/>
          <w:color w:val="000000" w:themeColor="text1"/>
          <w:sz w:val="24"/>
          <w:szCs w:val="24"/>
          <w:lang w:val="en-ZA"/>
        </w:rPr>
        <w:t xml:space="preserve">in </w:t>
      </w:r>
      <w:r w:rsidR="00702D7A" w:rsidRPr="00481243">
        <w:rPr>
          <w:rFonts w:ascii="Arial" w:hAnsi="Arial"/>
          <w:color w:val="000000" w:themeColor="text1"/>
          <w:sz w:val="24"/>
          <w:szCs w:val="24"/>
          <w:lang w:val="en-ZA" w:eastAsia="en-ZA"/>
        </w:rPr>
        <w:t>the property forfeiture application was defective having been delivered at the GOSP,</w:t>
      </w:r>
      <w:r w:rsidR="00702D7A" w:rsidRPr="00481243">
        <w:rPr>
          <w:rFonts w:ascii="Arial" w:hAnsi="Arial"/>
          <w:color w:val="000000" w:themeColor="text1"/>
          <w:sz w:val="24"/>
          <w:szCs w:val="24"/>
          <w:lang w:val="en-ZA"/>
        </w:rPr>
        <w:t xml:space="preserve"> the appellant contended that </w:t>
      </w:r>
      <w:r w:rsidR="00702D7A" w:rsidRPr="00481243">
        <w:rPr>
          <w:rFonts w:ascii="Arial" w:hAnsi="Arial"/>
          <w:color w:val="000000" w:themeColor="text1"/>
          <w:sz w:val="24"/>
          <w:szCs w:val="24"/>
          <w:lang w:val="en-ZA" w:eastAsia="en-ZA"/>
        </w:rPr>
        <w:t>when s 52(5) provides for the subsec (3) notice to be delivered at a chosen address, the focus of s 52(3) is not so much on the address, but on the delivery and receipt of the documents to enable the participation of the respondents in the subsequent property forfeiture applications procedure.</w:t>
      </w:r>
    </w:p>
    <w:p w:rsidR="00076C7F" w:rsidRPr="00481243" w:rsidRDefault="00076C7F" w:rsidP="00702D7A">
      <w:pPr>
        <w:spacing w:after="0" w:line="480" w:lineRule="auto"/>
        <w:jc w:val="both"/>
        <w:rPr>
          <w:rFonts w:ascii="Arial" w:hAnsi="Arial"/>
          <w:color w:val="000000" w:themeColor="text1"/>
          <w:sz w:val="24"/>
          <w:szCs w:val="24"/>
          <w:lang w:val="en-ZA" w:eastAsia="en-ZA"/>
        </w:rPr>
      </w:pPr>
    </w:p>
    <w:p w:rsidR="00702D7A" w:rsidRPr="00481243" w:rsidRDefault="00702D7A" w:rsidP="00702D7A">
      <w:pPr>
        <w:pStyle w:val="ListParagraph"/>
        <w:numPr>
          <w:ilvl w:val="0"/>
          <w:numId w:val="46"/>
        </w:numPr>
        <w:spacing w:after="0" w:line="480" w:lineRule="auto"/>
        <w:ind w:left="0" w:firstLine="0"/>
        <w:jc w:val="both"/>
        <w:rPr>
          <w:rFonts w:ascii="Arial" w:hAnsi="Arial"/>
          <w:color w:val="000000" w:themeColor="text1"/>
          <w:sz w:val="24"/>
          <w:szCs w:val="24"/>
          <w:lang w:val="en-ZA"/>
        </w:rPr>
      </w:pPr>
      <w:r w:rsidRPr="00481243">
        <w:rPr>
          <w:rFonts w:ascii="Arial" w:hAnsi="Arial"/>
          <w:color w:val="000000" w:themeColor="text1"/>
          <w:sz w:val="24"/>
          <w:szCs w:val="24"/>
          <w:lang w:val="en-ZA" w:eastAsia="en-ZA"/>
        </w:rPr>
        <w:t>In this case</w:t>
      </w:r>
      <w:r w:rsidR="00076C7F" w:rsidRPr="00481243">
        <w:rPr>
          <w:rFonts w:ascii="Arial" w:hAnsi="Arial"/>
          <w:color w:val="000000" w:themeColor="text1"/>
          <w:sz w:val="24"/>
          <w:szCs w:val="24"/>
          <w:lang w:val="en-ZA" w:eastAsia="en-ZA"/>
        </w:rPr>
        <w:t>, the respondent</w:t>
      </w:r>
      <w:r w:rsidRPr="00481243">
        <w:rPr>
          <w:rFonts w:ascii="Arial" w:hAnsi="Arial"/>
          <w:color w:val="000000" w:themeColor="text1"/>
          <w:sz w:val="24"/>
          <w:szCs w:val="24"/>
          <w:lang w:val="en-ZA" w:eastAsia="en-ZA"/>
        </w:rPr>
        <w:t>s</w:t>
      </w:r>
      <w:r w:rsidR="00076C7F" w:rsidRPr="00481243">
        <w:rPr>
          <w:rFonts w:ascii="Arial" w:hAnsi="Arial"/>
          <w:color w:val="000000" w:themeColor="text1"/>
          <w:sz w:val="24"/>
          <w:szCs w:val="24"/>
          <w:lang w:val="en-ZA" w:eastAsia="en-ZA"/>
        </w:rPr>
        <w:t>’</w:t>
      </w:r>
      <w:r w:rsidRPr="00481243">
        <w:rPr>
          <w:rFonts w:ascii="Arial" w:hAnsi="Arial"/>
          <w:color w:val="000000" w:themeColor="text1"/>
          <w:sz w:val="24"/>
          <w:szCs w:val="24"/>
          <w:lang w:val="en-ZA" w:eastAsia="en-ZA"/>
        </w:rPr>
        <w:t xml:space="preserve"> chosen address had been that of his legal representativ</w:t>
      </w:r>
      <w:r w:rsidRPr="00481243">
        <w:rPr>
          <w:rFonts w:ascii="Arial" w:hAnsi="Arial"/>
          <w:color w:val="000000" w:themeColor="text1"/>
          <w:sz w:val="24"/>
          <w:szCs w:val="24"/>
          <w:lang w:val="en-ZA"/>
        </w:rPr>
        <w:t xml:space="preserve">e, </w:t>
      </w:r>
      <w:r w:rsidRPr="00481243">
        <w:rPr>
          <w:rFonts w:ascii="Arial" w:hAnsi="Arial"/>
          <w:color w:val="000000" w:themeColor="text1"/>
          <w:sz w:val="24"/>
          <w:szCs w:val="24"/>
          <w:lang w:val="en-ZA" w:eastAsia="en-ZA"/>
        </w:rPr>
        <w:t>but the address of the exchange of doc</w:t>
      </w:r>
      <w:r w:rsidR="00076C7F" w:rsidRPr="00481243">
        <w:rPr>
          <w:rFonts w:ascii="Arial" w:hAnsi="Arial"/>
          <w:color w:val="000000" w:themeColor="text1"/>
          <w:sz w:val="24"/>
          <w:szCs w:val="24"/>
          <w:lang w:val="en-ZA" w:eastAsia="en-ZA"/>
        </w:rPr>
        <w:t>uments for the C</w:t>
      </w:r>
      <w:r w:rsidRPr="00481243">
        <w:rPr>
          <w:rFonts w:ascii="Arial" w:hAnsi="Arial"/>
          <w:color w:val="000000" w:themeColor="text1"/>
          <w:sz w:val="24"/>
          <w:szCs w:val="24"/>
          <w:lang w:val="en-ZA" w:eastAsia="en-ZA"/>
        </w:rPr>
        <w:t>hapter 6 proceedings had taken place at the GOSP. That, the court heard, is the address generally agreed upon among legal practitioners in Windhoek where, among themselves they exchange legal process.</w:t>
      </w:r>
      <w:r w:rsidRPr="00481243">
        <w:rPr>
          <w:rFonts w:ascii="Arial" w:hAnsi="Arial"/>
          <w:color w:val="000000" w:themeColor="text1"/>
          <w:sz w:val="24"/>
          <w:szCs w:val="24"/>
          <w:lang w:val="en-ZA"/>
        </w:rPr>
        <w:t xml:space="preserve"> For convenience and ease of service, it seems, the </w:t>
      </w:r>
      <w:r w:rsidR="000472CA" w:rsidRPr="00481243">
        <w:rPr>
          <w:rFonts w:ascii="Arial" w:hAnsi="Arial"/>
          <w:color w:val="000000" w:themeColor="text1"/>
          <w:sz w:val="24"/>
          <w:szCs w:val="24"/>
          <w:lang w:val="en-ZA"/>
        </w:rPr>
        <w:t>respondents’ legal practitioner is</w:t>
      </w:r>
      <w:r w:rsidRPr="00481243">
        <w:rPr>
          <w:rFonts w:ascii="Arial" w:hAnsi="Arial"/>
          <w:color w:val="000000" w:themeColor="text1"/>
          <w:sz w:val="24"/>
          <w:szCs w:val="24"/>
          <w:lang w:val="en-ZA"/>
        </w:rPr>
        <w:t xml:space="preserve"> in agreement with other legal</w:t>
      </w:r>
      <w:r w:rsidRPr="00481243">
        <w:rPr>
          <w:rFonts w:ascii="Arial" w:hAnsi="Arial"/>
          <w:color w:val="000000" w:themeColor="text1"/>
          <w:sz w:val="24"/>
          <w:szCs w:val="24"/>
          <w:lang w:val="en-ZA" w:eastAsia="en-ZA"/>
        </w:rPr>
        <w:t xml:space="preserve"> </w:t>
      </w:r>
      <w:r w:rsidR="000472CA" w:rsidRPr="00481243">
        <w:rPr>
          <w:rFonts w:ascii="Arial" w:hAnsi="Arial"/>
          <w:color w:val="000000" w:themeColor="text1"/>
          <w:sz w:val="24"/>
          <w:szCs w:val="24"/>
          <w:lang w:val="en-ZA"/>
        </w:rPr>
        <w:t>practitioners in Windhoek having</w:t>
      </w:r>
      <w:r w:rsidRPr="00481243">
        <w:rPr>
          <w:rFonts w:ascii="Arial" w:hAnsi="Arial"/>
          <w:color w:val="000000" w:themeColor="text1"/>
          <w:sz w:val="24"/>
          <w:szCs w:val="24"/>
          <w:lang w:val="en-ZA"/>
        </w:rPr>
        <w:t xml:space="preserve"> chosen the GOSP as his address of service. The GOSP is therefore by convention, the address of the respondents’ legal practitioner’s address for legal service. To insist on regarding the office address of the legal practitioner as the address of legal service when he has chosen a change of address for those purposes is unreasonably placing form before substance. Legal service at the </w:t>
      </w:r>
      <w:r w:rsidRPr="00481243">
        <w:rPr>
          <w:rFonts w:ascii="Arial" w:hAnsi="Arial"/>
          <w:color w:val="000000" w:themeColor="text1"/>
          <w:sz w:val="24"/>
          <w:szCs w:val="24"/>
          <w:lang w:val="en-ZA" w:eastAsia="en-ZA"/>
        </w:rPr>
        <w:t>GOS</w:t>
      </w:r>
      <w:r w:rsidRPr="00481243">
        <w:rPr>
          <w:rFonts w:ascii="Arial" w:hAnsi="Arial"/>
          <w:color w:val="000000" w:themeColor="text1"/>
          <w:sz w:val="24"/>
          <w:szCs w:val="24"/>
          <w:lang w:val="en-ZA"/>
        </w:rPr>
        <w:t>P is therefore in our view, proper service.</w:t>
      </w:r>
    </w:p>
    <w:p w:rsidR="00702D7A" w:rsidRPr="00481243" w:rsidRDefault="00702D7A" w:rsidP="00076C7F">
      <w:pPr>
        <w:pStyle w:val="ListParagraph"/>
        <w:numPr>
          <w:ilvl w:val="0"/>
          <w:numId w:val="46"/>
        </w:numPr>
        <w:spacing w:after="0" w:line="480" w:lineRule="auto"/>
        <w:ind w:left="0" w:firstLine="0"/>
        <w:jc w:val="both"/>
        <w:rPr>
          <w:rFonts w:ascii="Arial" w:hAnsi="Arial"/>
          <w:color w:val="000000" w:themeColor="text1"/>
          <w:sz w:val="24"/>
          <w:szCs w:val="24"/>
          <w:lang w:val="en-ZA"/>
        </w:rPr>
      </w:pPr>
      <w:r w:rsidRPr="00481243">
        <w:rPr>
          <w:rFonts w:ascii="Arial" w:hAnsi="Arial"/>
          <w:color w:val="000000" w:themeColor="text1"/>
          <w:sz w:val="24"/>
          <w:szCs w:val="24"/>
          <w:lang w:val="en-ZA" w:eastAsia="en-ZA"/>
        </w:rPr>
        <w:lastRenderedPageBreak/>
        <w:t xml:space="preserve">Finally, argues </w:t>
      </w:r>
      <w:r w:rsidRPr="00481243">
        <w:rPr>
          <w:rFonts w:ascii="Arial" w:hAnsi="Arial"/>
          <w:color w:val="000000" w:themeColor="text1"/>
          <w:sz w:val="24"/>
          <w:szCs w:val="24"/>
          <w:lang w:val="en-ZA"/>
        </w:rPr>
        <w:t>the appellant, i</w:t>
      </w:r>
      <w:r w:rsidRPr="00481243">
        <w:rPr>
          <w:rFonts w:ascii="Arial" w:hAnsi="Arial"/>
          <w:color w:val="000000" w:themeColor="text1"/>
          <w:sz w:val="24"/>
          <w:szCs w:val="24"/>
          <w:lang w:val="en-ZA" w:eastAsia="en-ZA"/>
        </w:rPr>
        <w:t xml:space="preserve">t was peremptory for the High Court to grant the forfeiture order in terms of s 61 of POCA once it had found that on a balance of probabilities the said property was an instrumentality of an offence or was the proceeds of illegal activities and should not have struck the application from the </w:t>
      </w:r>
      <w:r w:rsidRPr="00481243">
        <w:rPr>
          <w:rFonts w:ascii="Arial" w:hAnsi="Arial"/>
          <w:color w:val="000000" w:themeColor="text1"/>
          <w:sz w:val="24"/>
          <w:szCs w:val="24"/>
          <w:lang w:val="en-ZA"/>
        </w:rPr>
        <w:t>court roll. This court has decided that the application for the forfeiture</w:t>
      </w:r>
      <w:r w:rsidR="00E2535F" w:rsidRPr="00481243">
        <w:rPr>
          <w:rFonts w:ascii="Arial" w:hAnsi="Arial"/>
          <w:color w:val="000000" w:themeColor="text1"/>
          <w:sz w:val="24"/>
          <w:szCs w:val="24"/>
          <w:lang w:val="en-ZA"/>
        </w:rPr>
        <w:t xml:space="preserve"> order</w:t>
      </w:r>
      <w:r w:rsidRPr="00481243">
        <w:rPr>
          <w:rFonts w:ascii="Arial" w:hAnsi="Arial"/>
          <w:color w:val="000000" w:themeColor="text1"/>
          <w:sz w:val="24"/>
          <w:szCs w:val="24"/>
          <w:lang w:val="en-ZA"/>
        </w:rPr>
        <w:t xml:space="preserve"> was not a nullity before the High Court and for that reason should not have been struck from the roll of the High Court. Further, we have held that the forfeiture application shall not be decided by this court at the level of first instance and must revert to the High Court for determination there.</w:t>
      </w:r>
    </w:p>
    <w:p w:rsidR="00702D7A" w:rsidRPr="00481243" w:rsidRDefault="00702D7A" w:rsidP="00702D7A">
      <w:pPr>
        <w:spacing w:after="0" w:line="480" w:lineRule="auto"/>
        <w:jc w:val="both"/>
        <w:rPr>
          <w:rFonts w:ascii="Arial" w:hAnsi="Arial"/>
          <w:color w:val="000000" w:themeColor="text1"/>
          <w:sz w:val="24"/>
          <w:szCs w:val="24"/>
          <w:lang w:val="en-ZA"/>
        </w:rPr>
      </w:pPr>
    </w:p>
    <w:p w:rsidR="00702D7A" w:rsidRPr="00481243" w:rsidRDefault="00702D7A" w:rsidP="00702D7A">
      <w:pPr>
        <w:pStyle w:val="ListParagraph"/>
        <w:spacing w:after="0" w:line="480" w:lineRule="auto"/>
        <w:ind w:left="0"/>
        <w:jc w:val="both"/>
        <w:rPr>
          <w:rFonts w:ascii="Arial" w:hAnsi="Arial"/>
          <w:color w:val="000000" w:themeColor="text1"/>
          <w:sz w:val="24"/>
          <w:szCs w:val="24"/>
          <w:u w:val="single"/>
        </w:rPr>
      </w:pPr>
      <w:r w:rsidRPr="00481243">
        <w:rPr>
          <w:rFonts w:ascii="Arial" w:hAnsi="Arial"/>
          <w:color w:val="000000" w:themeColor="text1"/>
          <w:sz w:val="24"/>
          <w:szCs w:val="24"/>
          <w:u w:val="single"/>
        </w:rPr>
        <w:t xml:space="preserve">Conclusion </w:t>
      </w:r>
    </w:p>
    <w:p w:rsidR="00702D7A" w:rsidRPr="00481243" w:rsidRDefault="00702D7A" w:rsidP="002A24F1">
      <w:pPr>
        <w:pStyle w:val="ListParagraph"/>
        <w:numPr>
          <w:ilvl w:val="0"/>
          <w:numId w:val="46"/>
        </w:numPr>
        <w:spacing w:after="0" w:line="480" w:lineRule="auto"/>
        <w:ind w:left="0" w:firstLine="0"/>
        <w:jc w:val="both"/>
        <w:rPr>
          <w:rFonts w:ascii="Arial" w:hAnsi="Arial"/>
          <w:color w:val="000000" w:themeColor="text1"/>
          <w:sz w:val="24"/>
          <w:szCs w:val="24"/>
          <w:u w:val="single"/>
        </w:rPr>
      </w:pPr>
      <w:r w:rsidRPr="00481243">
        <w:rPr>
          <w:rFonts w:ascii="Arial" w:hAnsi="Arial"/>
          <w:color w:val="000000" w:themeColor="text1"/>
          <w:sz w:val="24"/>
          <w:szCs w:val="24"/>
        </w:rPr>
        <w:t>For the above reasons, the appeal is upheld</w:t>
      </w:r>
      <w:r w:rsidRPr="00481243">
        <w:rPr>
          <w:rFonts w:ascii="Arial" w:hAnsi="Arial"/>
          <w:color w:val="000000" w:themeColor="text1"/>
          <w:sz w:val="24"/>
          <w:szCs w:val="24"/>
          <w:lang w:val="en-ZA"/>
        </w:rPr>
        <w:t xml:space="preserve">. We </w:t>
      </w:r>
      <w:r w:rsidRPr="00481243">
        <w:rPr>
          <w:rFonts w:ascii="Arial" w:hAnsi="Arial"/>
          <w:color w:val="000000" w:themeColor="text1"/>
          <w:sz w:val="24"/>
          <w:szCs w:val="24"/>
        </w:rPr>
        <w:t>decline to hear and decide the application for a forfeiture</w:t>
      </w:r>
      <w:r w:rsidR="00E2535F" w:rsidRPr="00481243">
        <w:rPr>
          <w:rFonts w:ascii="Arial" w:hAnsi="Arial"/>
          <w:color w:val="000000" w:themeColor="text1"/>
          <w:sz w:val="24"/>
          <w:szCs w:val="24"/>
        </w:rPr>
        <w:t xml:space="preserve"> </w:t>
      </w:r>
      <w:r w:rsidRPr="00481243">
        <w:rPr>
          <w:rFonts w:ascii="Arial" w:hAnsi="Arial"/>
          <w:color w:val="000000" w:themeColor="text1"/>
          <w:sz w:val="24"/>
          <w:szCs w:val="24"/>
        </w:rPr>
        <w:t xml:space="preserve">of the properties </w:t>
      </w:r>
      <w:r w:rsidRPr="00481243">
        <w:rPr>
          <w:rFonts w:ascii="Arial" w:hAnsi="Arial"/>
          <w:color w:val="000000" w:themeColor="text1"/>
          <w:sz w:val="24"/>
          <w:szCs w:val="24"/>
          <w:lang w:val="en-ZA" w:eastAsia="en-ZA"/>
        </w:rPr>
        <w:t>without a High Court decision and orde</w:t>
      </w:r>
      <w:r w:rsidRPr="00481243">
        <w:rPr>
          <w:rFonts w:ascii="Arial" w:hAnsi="Arial"/>
          <w:color w:val="000000" w:themeColor="text1"/>
          <w:sz w:val="24"/>
          <w:szCs w:val="24"/>
          <w:lang w:val="en-ZA"/>
        </w:rPr>
        <w:t>r</w:t>
      </w:r>
      <w:r w:rsidRPr="00481243">
        <w:rPr>
          <w:rFonts w:ascii="Arial" w:hAnsi="Arial"/>
          <w:color w:val="000000" w:themeColor="text1"/>
          <w:sz w:val="24"/>
          <w:szCs w:val="24"/>
        </w:rPr>
        <w:t xml:space="preserve"> in that regard</w:t>
      </w:r>
      <w:r w:rsidR="00DA7EBB" w:rsidRPr="00481243">
        <w:rPr>
          <w:rFonts w:ascii="Arial" w:hAnsi="Arial"/>
          <w:color w:val="000000" w:themeColor="text1"/>
          <w:sz w:val="24"/>
          <w:szCs w:val="24"/>
        </w:rPr>
        <w:t xml:space="preserve"> as the appellant strongly contended</w:t>
      </w:r>
      <w:r w:rsidRPr="00481243">
        <w:rPr>
          <w:rFonts w:ascii="Arial" w:hAnsi="Arial"/>
          <w:color w:val="000000" w:themeColor="text1"/>
          <w:sz w:val="24"/>
          <w:szCs w:val="24"/>
        </w:rPr>
        <w:t xml:space="preserve">. </w:t>
      </w:r>
      <w:r w:rsidR="00DA7EBB" w:rsidRPr="00481243">
        <w:rPr>
          <w:rFonts w:ascii="Arial" w:hAnsi="Arial"/>
          <w:color w:val="000000" w:themeColor="text1"/>
          <w:sz w:val="24"/>
          <w:szCs w:val="24"/>
        </w:rPr>
        <w:t>As already decided above, t</w:t>
      </w:r>
      <w:r w:rsidRPr="00481243">
        <w:rPr>
          <w:rFonts w:ascii="Arial" w:hAnsi="Arial"/>
          <w:color w:val="000000" w:themeColor="text1"/>
          <w:sz w:val="24"/>
          <w:szCs w:val="24"/>
        </w:rPr>
        <w:t xml:space="preserve">hat application is remitted to the High Court for </w:t>
      </w:r>
      <w:r w:rsidRPr="00481243">
        <w:rPr>
          <w:rFonts w:ascii="Arial" w:hAnsi="Arial"/>
          <w:color w:val="000000" w:themeColor="text1"/>
          <w:sz w:val="24"/>
          <w:szCs w:val="24"/>
          <w:lang w:val="en-ZA"/>
        </w:rPr>
        <w:t xml:space="preserve">determination. </w:t>
      </w:r>
    </w:p>
    <w:p w:rsidR="009A1FC6" w:rsidRPr="00481243" w:rsidRDefault="009A1FC6" w:rsidP="00702D7A">
      <w:pPr>
        <w:pStyle w:val="ListParagraph"/>
        <w:spacing w:after="0" w:line="480" w:lineRule="auto"/>
        <w:ind w:left="0"/>
        <w:jc w:val="both"/>
        <w:rPr>
          <w:rFonts w:ascii="Arial" w:hAnsi="Arial"/>
          <w:color w:val="000000" w:themeColor="text1"/>
          <w:sz w:val="24"/>
          <w:szCs w:val="24"/>
          <w:u w:val="single"/>
        </w:rPr>
      </w:pPr>
    </w:p>
    <w:p w:rsidR="00702D7A" w:rsidRPr="00481243" w:rsidRDefault="00702D7A" w:rsidP="00702D7A">
      <w:pPr>
        <w:pStyle w:val="ListParagraph"/>
        <w:spacing w:after="0" w:line="480" w:lineRule="auto"/>
        <w:ind w:left="0"/>
        <w:jc w:val="both"/>
        <w:rPr>
          <w:rFonts w:ascii="Arial" w:hAnsi="Arial"/>
          <w:color w:val="000000" w:themeColor="text1"/>
          <w:sz w:val="24"/>
          <w:szCs w:val="24"/>
          <w:u w:val="single"/>
          <w:lang w:val="en-ZA" w:eastAsia="en-ZA"/>
        </w:rPr>
      </w:pPr>
      <w:r w:rsidRPr="00481243">
        <w:rPr>
          <w:rFonts w:ascii="Arial" w:hAnsi="Arial"/>
          <w:color w:val="000000" w:themeColor="text1"/>
          <w:sz w:val="24"/>
          <w:szCs w:val="24"/>
          <w:u w:val="single"/>
          <w:lang w:val="en-ZA" w:eastAsia="en-ZA"/>
        </w:rPr>
        <w:t>Costs</w:t>
      </w:r>
    </w:p>
    <w:p w:rsidR="00702D7A" w:rsidRPr="00481243" w:rsidRDefault="00702D7A" w:rsidP="00702D7A">
      <w:pPr>
        <w:pStyle w:val="ListParagraph"/>
        <w:numPr>
          <w:ilvl w:val="0"/>
          <w:numId w:val="46"/>
        </w:numPr>
        <w:spacing w:after="0" w:line="480" w:lineRule="auto"/>
        <w:ind w:left="0" w:firstLine="0"/>
        <w:jc w:val="both"/>
        <w:rPr>
          <w:rFonts w:ascii="Arial" w:hAnsi="Arial"/>
          <w:color w:val="000000" w:themeColor="text1"/>
          <w:sz w:val="24"/>
          <w:szCs w:val="24"/>
        </w:rPr>
      </w:pPr>
      <w:r w:rsidRPr="00481243">
        <w:rPr>
          <w:rFonts w:ascii="Arial" w:hAnsi="Arial"/>
          <w:color w:val="000000" w:themeColor="text1"/>
          <w:sz w:val="24"/>
          <w:szCs w:val="24"/>
          <w:lang w:val="en-ZA"/>
        </w:rPr>
        <w:t xml:space="preserve">It is trite that </w:t>
      </w:r>
      <w:r w:rsidRPr="00481243">
        <w:rPr>
          <w:rFonts w:ascii="Arial" w:hAnsi="Arial"/>
          <w:color w:val="000000" w:themeColor="text1"/>
          <w:sz w:val="24"/>
          <w:szCs w:val="24"/>
        </w:rPr>
        <w:t>costs follow the result</w:t>
      </w:r>
      <w:r w:rsidRPr="00481243">
        <w:rPr>
          <w:rFonts w:ascii="Arial" w:hAnsi="Arial"/>
          <w:color w:val="000000" w:themeColor="text1"/>
          <w:sz w:val="24"/>
          <w:szCs w:val="24"/>
          <w:lang w:val="en-ZA"/>
        </w:rPr>
        <w:t xml:space="preserve">. </w:t>
      </w:r>
      <w:r w:rsidRPr="00481243">
        <w:rPr>
          <w:rFonts w:ascii="Arial" w:hAnsi="Arial"/>
          <w:color w:val="000000" w:themeColor="text1"/>
          <w:sz w:val="24"/>
          <w:szCs w:val="24"/>
        </w:rPr>
        <w:t>This rule, however, is not cast in stone.</w:t>
      </w:r>
      <w:r w:rsidRPr="00481243">
        <w:rPr>
          <w:rStyle w:val="FootnoteReference"/>
          <w:rFonts w:ascii="Arial" w:hAnsi="Arial"/>
          <w:color w:val="000000" w:themeColor="text1"/>
          <w:sz w:val="24"/>
          <w:szCs w:val="24"/>
        </w:rPr>
        <w:footnoteReference w:id="25"/>
      </w:r>
      <w:r w:rsidRPr="00481243">
        <w:rPr>
          <w:rStyle w:val="FootnoteReference"/>
          <w:rFonts w:ascii="Arial" w:hAnsi="Arial"/>
          <w:color w:val="000000" w:themeColor="text1"/>
          <w:sz w:val="24"/>
          <w:szCs w:val="24"/>
          <w:lang w:val="en-ZA"/>
        </w:rPr>
        <w:t xml:space="preserve">  </w:t>
      </w:r>
      <w:r w:rsidRPr="00481243">
        <w:rPr>
          <w:rFonts w:ascii="Arial" w:hAnsi="Arial"/>
          <w:color w:val="000000" w:themeColor="text1"/>
          <w:sz w:val="24"/>
          <w:szCs w:val="24"/>
          <w:lang w:val="en-ZA"/>
        </w:rPr>
        <w:t xml:space="preserve"> A court may</w:t>
      </w:r>
      <w:r w:rsidRPr="00481243">
        <w:rPr>
          <w:rFonts w:ascii="Arial" w:hAnsi="Arial"/>
          <w:color w:val="000000" w:themeColor="text1"/>
          <w:sz w:val="24"/>
          <w:szCs w:val="24"/>
        </w:rPr>
        <w:t xml:space="preserve"> in </w:t>
      </w:r>
      <w:r w:rsidRPr="00481243">
        <w:rPr>
          <w:rFonts w:ascii="Arial" w:hAnsi="Arial"/>
          <w:color w:val="000000" w:themeColor="text1"/>
          <w:sz w:val="24"/>
          <w:szCs w:val="24"/>
          <w:lang w:val="en-ZA"/>
        </w:rPr>
        <w:t>certain circumstances, using i</w:t>
      </w:r>
      <w:r w:rsidRPr="00481243">
        <w:rPr>
          <w:rFonts w:ascii="Arial" w:hAnsi="Arial"/>
          <w:color w:val="000000" w:themeColor="text1"/>
          <w:sz w:val="24"/>
          <w:szCs w:val="24"/>
        </w:rPr>
        <w:t>ts discretion</w:t>
      </w:r>
      <w:r w:rsidRPr="00481243">
        <w:rPr>
          <w:rFonts w:ascii="Arial" w:hAnsi="Arial"/>
          <w:color w:val="000000" w:themeColor="text1"/>
          <w:sz w:val="24"/>
          <w:szCs w:val="24"/>
          <w:lang w:val="en-ZA"/>
        </w:rPr>
        <w:t xml:space="preserve">, depart from the general rule when </w:t>
      </w:r>
      <w:r w:rsidRPr="00481243">
        <w:rPr>
          <w:rFonts w:ascii="Arial" w:hAnsi="Arial"/>
          <w:color w:val="000000" w:themeColor="text1"/>
          <w:sz w:val="24"/>
          <w:szCs w:val="24"/>
        </w:rPr>
        <w:t xml:space="preserve">reasonably </w:t>
      </w:r>
      <w:r w:rsidRPr="00481243">
        <w:rPr>
          <w:rFonts w:ascii="Arial" w:hAnsi="Arial"/>
          <w:color w:val="000000" w:themeColor="text1"/>
          <w:sz w:val="24"/>
          <w:szCs w:val="24"/>
          <w:lang w:val="en-ZA"/>
        </w:rPr>
        <w:t>justified.</w:t>
      </w:r>
      <w:r w:rsidRPr="00481243">
        <w:rPr>
          <w:rStyle w:val="FootnoteReference"/>
          <w:rFonts w:ascii="Arial" w:hAnsi="Arial"/>
          <w:color w:val="000000" w:themeColor="text1"/>
          <w:sz w:val="24"/>
          <w:szCs w:val="24"/>
          <w:lang w:val="en-ZA"/>
        </w:rPr>
        <w:footnoteReference w:id="26"/>
      </w:r>
      <w:r w:rsidRPr="00481243">
        <w:rPr>
          <w:rFonts w:ascii="Arial" w:hAnsi="Arial"/>
          <w:color w:val="000000" w:themeColor="text1"/>
          <w:sz w:val="24"/>
          <w:szCs w:val="24"/>
          <w:lang w:val="en-ZA"/>
        </w:rPr>
        <w:t xml:space="preserve"> In this case, although </w:t>
      </w:r>
      <w:r w:rsidRPr="00481243">
        <w:rPr>
          <w:rFonts w:ascii="Arial" w:hAnsi="Arial"/>
          <w:color w:val="000000" w:themeColor="text1"/>
          <w:sz w:val="24"/>
          <w:szCs w:val="24"/>
        </w:rPr>
        <w:t>t</w:t>
      </w:r>
      <w:r w:rsidRPr="00481243">
        <w:rPr>
          <w:rFonts w:ascii="Arial" w:hAnsi="Arial"/>
          <w:color w:val="000000" w:themeColor="text1"/>
          <w:sz w:val="24"/>
          <w:szCs w:val="24"/>
          <w:lang w:val="en-ZA"/>
        </w:rPr>
        <w:t xml:space="preserve">he appeal </w:t>
      </w:r>
      <w:r w:rsidRPr="00481243">
        <w:rPr>
          <w:rFonts w:ascii="Arial" w:hAnsi="Arial"/>
          <w:color w:val="000000" w:themeColor="text1"/>
          <w:sz w:val="24"/>
          <w:szCs w:val="24"/>
        </w:rPr>
        <w:t xml:space="preserve">is </w:t>
      </w:r>
      <w:r w:rsidRPr="00481243">
        <w:rPr>
          <w:rFonts w:ascii="Arial" w:hAnsi="Arial"/>
          <w:color w:val="000000" w:themeColor="text1"/>
          <w:sz w:val="24"/>
          <w:szCs w:val="24"/>
          <w:lang w:val="en-ZA"/>
        </w:rPr>
        <w:t xml:space="preserve">upheld, </w:t>
      </w:r>
      <w:r w:rsidRPr="00481243">
        <w:rPr>
          <w:rFonts w:ascii="Arial" w:hAnsi="Arial"/>
          <w:color w:val="000000" w:themeColor="text1"/>
          <w:sz w:val="24"/>
          <w:szCs w:val="24"/>
        </w:rPr>
        <w:t>the appellant’s prayer, strongly contended for in this court, that the application for a forfeiture of the propertie</w:t>
      </w:r>
      <w:r w:rsidRPr="00481243">
        <w:rPr>
          <w:rFonts w:ascii="Arial" w:hAnsi="Arial"/>
          <w:color w:val="000000" w:themeColor="text1"/>
          <w:sz w:val="24"/>
          <w:szCs w:val="24"/>
          <w:lang w:val="en-ZA"/>
        </w:rPr>
        <w:t xml:space="preserve">s </w:t>
      </w:r>
      <w:r w:rsidRPr="00481243">
        <w:rPr>
          <w:rFonts w:ascii="Arial" w:hAnsi="Arial"/>
          <w:color w:val="000000" w:themeColor="text1"/>
          <w:sz w:val="24"/>
          <w:szCs w:val="24"/>
        </w:rPr>
        <w:t>be heard</w:t>
      </w:r>
      <w:r w:rsidRPr="00481243">
        <w:rPr>
          <w:rFonts w:ascii="Arial" w:hAnsi="Arial"/>
          <w:color w:val="000000" w:themeColor="text1"/>
          <w:sz w:val="24"/>
          <w:szCs w:val="24"/>
          <w:lang w:val="en-ZA"/>
        </w:rPr>
        <w:t xml:space="preserve"> and decided</w:t>
      </w:r>
      <w:r w:rsidRPr="00481243">
        <w:rPr>
          <w:rFonts w:ascii="Arial" w:hAnsi="Arial"/>
          <w:color w:val="000000" w:themeColor="text1"/>
          <w:sz w:val="24"/>
          <w:szCs w:val="24"/>
        </w:rPr>
        <w:t xml:space="preserve"> here, despite the absence of a High Court decision and order in that regard, did not succeed. </w:t>
      </w:r>
    </w:p>
    <w:p w:rsidR="00F12D18" w:rsidRPr="00481243" w:rsidRDefault="00DA7EBB" w:rsidP="00F12D18">
      <w:pPr>
        <w:pStyle w:val="ListParagraph"/>
        <w:numPr>
          <w:ilvl w:val="0"/>
          <w:numId w:val="46"/>
        </w:numPr>
        <w:spacing w:after="0" w:line="480" w:lineRule="auto"/>
        <w:ind w:left="0" w:firstLine="0"/>
        <w:jc w:val="both"/>
        <w:rPr>
          <w:rFonts w:ascii="Arial" w:hAnsi="Arial"/>
          <w:color w:val="000000" w:themeColor="text1"/>
          <w:sz w:val="24"/>
          <w:szCs w:val="24"/>
        </w:rPr>
      </w:pPr>
      <w:r w:rsidRPr="00481243">
        <w:rPr>
          <w:rFonts w:ascii="Arial" w:hAnsi="Arial"/>
          <w:color w:val="000000" w:themeColor="text1"/>
          <w:sz w:val="24"/>
          <w:szCs w:val="24"/>
        </w:rPr>
        <w:lastRenderedPageBreak/>
        <w:t>Further, a</w:t>
      </w:r>
      <w:r w:rsidR="00702D7A" w:rsidRPr="00481243">
        <w:rPr>
          <w:rFonts w:ascii="Arial" w:hAnsi="Arial"/>
          <w:color w:val="000000" w:themeColor="text1"/>
          <w:sz w:val="24"/>
          <w:szCs w:val="24"/>
        </w:rPr>
        <w:t xml:space="preserve">s the appellant herself had submitted, her non-compliance with the rules of this court, for which she applied to be condoned, could be resolved with </w:t>
      </w:r>
      <w:r w:rsidR="00702D7A" w:rsidRPr="00481243">
        <w:rPr>
          <w:rFonts w:ascii="Arial" w:hAnsi="Arial"/>
          <w:color w:val="000000" w:themeColor="text1"/>
          <w:sz w:val="24"/>
          <w:szCs w:val="24"/>
          <w:lang w:val="en-ZA"/>
        </w:rPr>
        <w:t xml:space="preserve">an appropriate </w:t>
      </w:r>
      <w:r w:rsidR="00702D7A" w:rsidRPr="00481243">
        <w:rPr>
          <w:rFonts w:ascii="Arial" w:hAnsi="Arial"/>
          <w:color w:val="000000" w:themeColor="text1"/>
          <w:sz w:val="24"/>
          <w:szCs w:val="24"/>
        </w:rPr>
        <w:t>cost order</w:t>
      </w:r>
      <w:r w:rsidR="00702D7A" w:rsidRPr="00481243">
        <w:rPr>
          <w:rFonts w:ascii="Arial" w:hAnsi="Arial"/>
          <w:color w:val="000000" w:themeColor="text1"/>
          <w:sz w:val="24"/>
          <w:szCs w:val="24"/>
          <w:lang w:val="en-ZA"/>
        </w:rPr>
        <w:t xml:space="preserve"> and this court is inclined to so hold. </w:t>
      </w:r>
      <w:r w:rsidR="00702D7A" w:rsidRPr="00481243">
        <w:rPr>
          <w:rFonts w:ascii="Arial" w:hAnsi="Arial"/>
          <w:color w:val="000000" w:themeColor="text1"/>
          <w:sz w:val="24"/>
          <w:szCs w:val="24"/>
        </w:rPr>
        <w:t>Further</w:t>
      </w:r>
      <w:r w:rsidR="003471C7" w:rsidRPr="00481243">
        <w:rPr>
          <w:rFonts w:ascii="Arial" w:hAnsi="Arial"/>
          <w:color w:val="000000" w:themeColor="text1"/>
          <w:sz w:val="24"/>
          <w:szCs w:val="24"/>
        </w:rPr>
        <w:t>more</w:t>
      </w:r>
      <w:r w:rsidR="00702D7A" w:rsidRPr="00481243">
        <w:rPr>
          <w:rFonts w:ascii="Arial" w:hAnsi="Arial"/>
          <w:color w:val="000000" w:themeColor="text1"/>
          <w:sz w:val="24"/>
          <w:szCs w:val="24"/>
        </w:rPr>
        <w:t>, t</w:t>
      </w:r>
      <w:r w:rsidR="00702D7A" w:rsidRPr="00481243">
        <w:rPr>
          <w:rFonts w:ascii="Arial" w:hAnsi="Arial"/>
          <w:color w:val="000000" w:themeColor="text1"/>
          <w:sz w:val="24"/>
          <w:szCs w:val="24"/>
          <w:lang w:val="en-ZA"/>
        </w:rPr>
        <w:t>he respondent</w:t>
      </w:r>
      <w:r w:rsidR="00702D7A" w:rsidRPr="00481243">
        <w:rPr>
          <w:rFonts w:ascii="Arial" w:hAnsi="Arial"/>
          <w:color w:val="000000" w:themeColor="text1"/>
          <w:sz w:val="24"/>
          <w:szCs w:val="24"/>
        </w:rPr>
        <w:t>s</w:t>
      </w:r>
      <w:r w:rsidR="00702D7A" w:rsidRPr="00481243">
        <w:rPr>
          <w:rFonts w:ascii="Arial" w:hAnsi="Arial"/>
          <w:color w:val="000000" w:themeColor="text1"/>
          <w:sz w:val="24"/>
          <w:szCs w:val="24"/>
          <w:lang w:val="en-ZA"/>
        </w:rPr>
        <w:t xml:space="preserve"> did not make claims of </w:t>
      </w:r>
      <w:r w:rsidR="00F12D18" w:rsidRPr="00481243">
        <w:rPr>
          <w:rFonts w:ascii="Arial" w:hAnsi="Arial"/>
          <w:color w:val="000000" w:themeColor="text1"/>
          <w:sz w:val="24"/>
          <w:szCs w:val="24"/>
          <w:lang w:val="en-ZA"/>
        </w:rPr>
        <w:t>inconvenienc</w:t>
      </w:r>
      <w:r w:rsidR="00702D7A" w:rsidRPr="00481243">
        <w:rPr>
          <w:rFonts w:ascii="Arial" w:hAnsi="Arial"/>
          <w:color w:val="000000" w:themeColor="text1"/>
          <w:sz w:val="24"/>
          <w:szCs w:val="24"/>
        </w:rPr>
        <w:t xml:space="preserve">e </w:t>
      </w:r>
      <w:r w:rsidR="00702D7A" w:rsidRPr="00481243">
        <w:rPr>
          <w:rFonts w:ascii="Arial" w:hAnsi="Arial"/>
          <w:color w:val="000000" w:themeColor="text1"/>
          <w:sz w:val="24"/>
          <w:szCs w:val="24"/>
          <w:lang w:val="en-ZA"/>
        </w:rPr>
        <w:t>suffered, arising from the appel</w:t>
      </w:r>
      <w:r w:rsidR="002A24F1" w:rsidRPr="00481243">
        <w:rPr>
          <w:rFonts w:ascii="Arial" w:hAnsi="Arial"/>
          <w:color w:val="000000" w:themeColor="text1"/>
          <w:sz w:val="24"/>
          <w:szCs w:val="24"/>
          <w:lang w:val="en-ZA"/>
        </w:rPr>
        <w:t>l</w:t>
      </w:r>
      <w:r w:rsidR="00702D7A" w:rsidRPr="00481243">
        <w:rPr>
          <w:rFonts w:ascii="Arial" w:hAnsi="Arial"/>
          <w:color w:val="000000" w:themeColor="text1"/>
          <w:sz w:val="24"/>
          <w:szCs w:val="24"/>
          <w:lang w:val="en-ZA"/>
        </w:rPr>
        <w:t>ant’s non-compliance with the rules of this court. Specifically, the respondent</w:t>
      </w:r>
      <w:r w:rsidR="002A24F1" w:rsidRPr="00481243">
        <w:rPr>
          <w:rFonts w:ascii="Arial" w:hAnsi="Arial"/>
          <w:color w:val="000000" w:themeColor="text1"/>
          <w:sz w:val="24"/>
          <w:szCs w:val="24"/>
          <w:lang w:val="en-ZA"/>
        </w:rPr>
        <w:t>s</w:t>
      </w:r>
      <w:r w:rsidR="00702D7A" w:rsidRPr="00481243">
        <w:rPr>
          <w:rFonts w:ascii="Arial" w:hAnsi="Arial"/>
          <w:color w:val="000000" w:themeColor="text1"/>
          <w:sz w:val="24"/>
          <w:szCs w:val="24"/>
          <w:lang w:val="en-ZA"/>
        </w:rPr>
        <w:t xml:space="preserve"> </w:t>
      </w:r>
      <w:r w:rsidR="00702D7A" w:rsidRPr="00481243">
        <w:rPr>
          <w:rFonts w:ascii="Arial" w:hAnsi="Arial"/>
          <w:color w:val="000000" w:themeColor="text1"/>
          <w:sz w:val="24"/>
          <w:szCs w:val="24"/>
        </w:rPr>
        <w:t xml:space="preserve">did not </w:t>
      </w:r>
      <w:r w:rsidR="00702D7A" w:rsidRPr="00481243">
        <w:rPr>
          <w:rFonts w:ascii="Arial" w:hAnsi="Arial"/>
          <w:color w:val="000000" w:themeColor="text1"/>
          <w:sz w:val="24"/>
          <w:szCs w:val="24"/>
          <w:lang w:val="en-ZA"/>
        </w:rPr>
        <w:t>oppos</w:t>
      </w:r>
      <w:r w:rsidR="00702D7A" w:rsidRPr="00481243">
        <w:rPr>
          <w:rFonts w:ascii="Arial" w:hAnsi="Arial"/>
          <w:color w:val="000000" w:themeColor="text1"/>
          <w:sz w:val="24"/>
          <w:szCs w:val="24"/>
        </w:rPr>
        <w:t>e</w:t>
      </w:r>
      <w:r w:rsidR="00702D7A" w:rsidRPr="00481243">
        <w:rPr>
          <w:rFonts w:ascii="Arial" w:hAnsi="Arial"/>
          <w:color w:val="000000" w:themeColor="text1"/>
          <w:sz w:val="24"/>
          <w:szCs w:val="24"/>
          <w:lang w:val="en-ZA"/>
        </w:rPr>
        <w:t xml:space="preserve"> the appellant’s condonation application.  We therefore find that it </w:t>
      </w:r>
      <w:r w:rsidR="002A24F1" w:rsidRPr="00481243">
        <w:rPr>
          <w:rFonts w:ascii="Arial" w:hAnsi="Arial"/>
          <w:color w:val="000000" w:themeColor="text1"/>
          <w:sz w:val="24"/>
          <w:szCs w:val="24"/>
          <w:lang w:val="en-ZA"/>
        </w:rPr>
        <w:t xml:space="preserve">is </w:t>
      </w:r>
      <w:r w:rsidR="00702D7A" w:rsidRPr="00481243">
        <w:rPr>
          <w:rFonts w:ascii="Arial" w:hAnsi="Arial"/>
          <w:color w:val="000000" w:themeColor="text1"/>
          <w:sz w:val="24"/>
          <w:szCs w:val="24"/>
          <w:lang w:val="en-ZA"/>
        </w:rPr>
        <w:t xml:space="preserve">just and </w:t>
      </w:r>
      <w:r w:rsidR="002A24F1" w:rsidRPr="00481243">
        <w:rPr>
          <w:rFonts w:ascii="Arial" w:hAnsi="Arial"/>
          <w:color w:val="000000" w:themeColor="text1"/>
          <w:sz w:val="24"/>
          <w:szCs w:val="24"/>
          <w:lang w:val="en-ZA"/>
        </w:rPr>
        <w:t>equitable</w:t>
      </w:r>
      <w:r w:rsidR="00702D7A" w:rsidRPr="00481243">
        <w:rPr>
          <w:rFonts w:ascii="Arial" w:hAnsi="Arial"/>
          <w:color w:val="000000" w:themeColor="text1"/>
          <w:sz w:val="24"/>
          <w:szCs w:val="24"/>
          <w:lang w:val="en-ZA"/>
        </w:rPr>
        <w:t xml:space="preserve"> to award costs proportionately in this matter. </w:t>
      </w:r>
      <w:r w:rsidR="00702D7A" w:rsidRPr="00481243">
        <w:rPr>
          <w:rFonts w:ascii="Arial" w:hAnsi="Arial"/>
          <w:color w:val="000000" w:themeColor="text1"/>
          <w:sz w:val="24"/>
          <w:szCs w:val="24"/>
        </w:rPr>
        <w:t>Th</w:t>
      </w:r>
      <w:r w:rsidR="00702D7A" w:rsidRPr="00481243">
        <w:rPr>
          <w:rFonts w:ascii="Arial" w:hAnsi="Arial"/>
          <w:color w:val="000000" w:themeColor="text1"/>
          <w:sz w:val="24"/>
          <w:szCs w:val="24"/>
          <w:lang w:val="en-ZA"/>
        </w:rPr>
        <w:t>erefore,</w:t>
      </w:r>
      <w:r w:rsidR="00702D7A" w:rsidRPr="00481243">
        <w:rPr>
          <w:rFonts w:ascii="Arial" w:hAnsi="Arial"/>
          <w:color w:val="000000" w:themeColor="text1"/>
          <w:sz w:val="24"/>
          <w:szCs w:val="24"/>
        </w:rPr>
        <w:t xml:space="preserve"> notwithstanding that the appellant largely succeeded in this appeal, for reasons stated above, this court in its discretion</w:t>
      </w:r>
      <w:r w:rsidR="00702D7A" w:rsidRPr="00481243">
        <w:rPr>
          <w:rStyle w:val="FootnoteReference"/>
          <w:rFonts w:ascii="Arial" w:hAnsi="Arial"/>
          <w:color w:val="000000" w:themeColor="text1"/>
        </w:rPr>
        <w:footnoteReference w:id="27"/>
      </w:r>
      <w:r w:rsidR="00702D7A" w:rsidRPr="00481243">
        <w:rPr>
          <w:rFonts w:ascii="Arial" w:hAnsi="Arial"/>
          <w:i/>
          <w:color w:val="000000" w:themeColor="text1"/>
          <w:sz w:val="24"/>
          <w:szCs w:val="24"/>
        </w:rPr>
        <w:t xml:space="preserve"> </w:t>
      </w:r>
      <w:r w:rsidR="00702D7A" w:rsidRPr="00481243">
        <w:rPr>
          <w:rFonts w:ascii="Arial" w:hAnsi="Arial"/>
          <w:color w:val="000000" w:themeColor="text1"/>
          <w:sz w:val="24"/>
          <w:szCs w:val="24"/>
        </w:rPr>
        <w:t xml:space="preserve">orders that </w:t>
      </w:r>
      <w:r w:rsidR="00F12D18" w:rsidRPr="00481243">
        <w:rPr>
          <w:rFonts w:ascii="Arial" w:hAnsi="Arial"/>
          <w:color w:val="000000" w:themeColor="text1"/>
          <w:sz w:val="24"/>
          <w:szCs w:val="24"/>
        </w:rPr>
        <w:t xml:space="preserve">each party pay its own costs on </w:t>
      </w:r>
      <w:r w:rsidR="00702D7A" w:rsidRPr="00481243">
        <w:rPr>
          <w:rFonts w:ascii="Arial" w:hAnsi="Arial"/>
          <w:color w:val="000000" w:themeColor="text1"/>
          <w:sz w:val="24"/>
          <w:szCs w:val="24"/>
        </w:rPr>
        <w:t xml:space="preserve">appeal. </w:t>
      </w:r>
    </w:p>
    <w:p w:rsidR="00F12D18" w:rsidRPr="00481243" w:rsidRDefault="00F12D18" w:rsidP="00F12D18">
      <w:pPr>
        <w:pStyle w:val="ListParagraph"/>
        <w:rPr>
          <w:rFonts w:ascii="Arial" w:hAnsi="Arial"/>
          <w:color w:val="000000" w:themeColor="text1"/>
          <w:sz w:val="24"/>
          <w:szCs w:val="24"/>
        </w:rPr>
      </w:pPr>
    </w:p>
    <w:p w:rsidR="00F12D18" w:rsidRPr="00481243" w:rsidRDefault="00F12D18" w:rsidP="00F12D18">
      <w:pPr>
        <w:pStyle w:val="ListParagraph"/>
        <w:spacing w:after="0" w:line="480" w:lineRule="auto"/>
        <w:ind w:left="0"/>
        <w:jc w:val="both"/>
        <w:rPr>
          <w:rFonts w:ascii="Arial" w:hAnsi="Arial"/>
          <w:color w:val="000000" w:themeColor="text1"/>
          <w:sz w:val="24"/>
          <w:szCs w:val="24"/>
        </w:rPr>
      </w:pPr>
      <w:r w:rsidRPr="00481243">
        <w:rPr>
          <w:rFonts w:ascii="Arial" w:hAnsi="Arial"/>
          <w:color w:val="000000" w:themeColor="text1"/>
          <w:sz w:val="24"/>
          <w:szCs w:val="24"/>
          <w:u w:val="single"/>
          <w:lang w:val="en-ZA" w:eastAsia="en-ZA"/>
        </w:rPr>
        <w:t>The Order</w:t>
      </w:r>
    </w:p>
    <w:p w:rsidR="00F12D18" w:rsidRPr="00481243" w:rsidRDefault="00F12D18" w:rsidP="00F12D18">
      <w:pPr>
        <w:pStyle w:val="ListParagraph"/>
        <w:rPr>
          <w:rFonts w:ascii="Arial" w:hAnsi="Arial"/>
          <w:color w:val="000000" w:themeColor="text1"/>
          <w:sz w:val="24"/>
          <w:szCs w:val="24"/>
          <w:u w:val="single"/>
          <w:lang w:val="en-ZA" w:eastAsia="en-ZA"/>
        </w:rPr>
      </w:pPr>
    </w:p>
    <w:p w:rsidR="002A24F1" w:rsidRPr="00481243" w:rsidRDefault="00702D7A" w:rsidP="00F12D18">
      <w:pPr>
        <w:pStyle w:val="ListParagraph"/>
        <w:numPr>
          <w:ilvl w:val="0"/>
          <w:numId w:val="46"/>
        </w:numPr>
        <w:spacing w:after="0" w:line="480" w:lineRule="auto"/>
        <w:ind w:left="0" w:firstLine="0"/>
        <w:jc w:val="both"/>
        <w:rPr>
          <w:rFonts w:ascii="Arial" w:hAnsi="Arial"/>
          <w:color w:val="000000" w:themeColor="text1"/>
          <w:sz w:val="24"/>
          <w:szCs w:val="24"/>
        </w:rPr>
      </w:pPr>
      <w:r w:rsidRPr="00481243">
        <w:rPr>
          <w:rFonts w:ascii="Arial" w:hAnsi="Arial"/>
          <w:color w:val="000000" w:themeColor="text1"/>
          <w:sz w:val="24"/>
          <w:szCs w:val="24"/>
          <w:lang w:val="en-ZA"/>
        </w:rPr>
        <w:t>In the result,</w:t>
      </w:r>
      <w:r w:rsidRPr="00481243">
        <w:rPr>
          <w:rFonts w:ascii="Arial" w:hAnsi="Arial"/>
          <w:color w:val="000000" w:themeColor="text1"/>
          <w:sz w:val="24"/>
          <w:szCs w:val="24"/>
          <w:lang w:val="en-ZA" w:eastAsia="en-ZA"/>
        </w:rPr>
        <w:t xml:space="preserve"> the following order</w:t>
      </w:r>
      <w:r w:rsidRPr="00481243">
        <w:rPr>
          <w:rFonts w:ascii="Arial" w:hAnsi="Arial"/>
          <w:color w:val="000000" w:themeColor="text1"/>
          <w:sz w:val="24"/>
          <w:szCs w:val="24"/>
          <w:lang w:val="en-ZA"/>
        </w:rPr>
        <w:t xml:space="preserve"> is made:</w:t>
      </w:r>
    </w:p>
    <w:p w:rsidR="00FC724E" w:rsidRPr="00481243" w:rsidRDefault="00FC724E" w:rsidP="00FC724E">
      <w:pPr>
        <w:pStyle w:val="ListParagraph"/>
        <w:numPr>
          <w:ilvl w:val="0"/>
          <w:numId w:val="50"/>
        </w:numPr>
        <w:spacing w:after="0" w:line="480" w:lineRule="auto"/>
        <w:jc w:val="both"/>
        <w:rPr>
          <w:rFonts w:ascii="Arial" w:hAnsi="Arial"/>
          <w:color w:val="000000" w:themeColor="text1"/>
          <w:sz w:val="24"/>
          <w:szCs w:val="24"/>
          <w:lang w:val="en-ZA" w:eastAsia="en-ZA"/>
        </w:rPr>
      </w:pPr>
      <w:r w:rsidRPr="00481243">
        <w:rPr>
          <w:rFonts w:ascii="Arial" w:hAnsi="Arial"/>
          <w:color w:val="000000" w:themeColor="text1"/>
          <w:sz w:val="24"/>
          <w:szCs w:val="24"/>
          <w:lang w:val="en-ZA" w:eastAsia="en-ZA"/>
        </w:rPr>
        <w:t xml:space="preserve">The </w:t>
      </w:r>
      <w:r w:rsidRPr="00481243">
        <w:rPr>
          <w:rFonts w:ascii="Arial" w:hAnsi="Arial"/>
          <w:color w:val="000000" w:themeColor="text1"/>
          <w:sz w:val="24"/>
          <w:szCs w:val="24"/>
          <w:lang w:val="en-ZA"/>
        </w:rPr>
        <w:t>appellant’s non-compliance with the rules of court is condoned.</w:t>
      </w:r>
    </w:p>
    <w:p w:rsidR="00702D7A" w:rsidRPr="00481243" w:rsidRDefault="00702D7A" w:rsidP="00481243">
      <w:pPr>
        <w:pStyle w:val="ListParagraph"/>
        <w:numPr>
          <w:ilvl w:val="0"/>
          <w:numId w:val="50"/>
        </w:numPr>
        <w:spacing w:after="0" w:line="480" w:lineRule="auto"/>
        <w:jc w:val="both"/>
        <w:rPr>
          <w:rFonts w:ascii="Arial" w:hAnsi="Arial"/>
          <w:color w:val="000000" w:themeColor="text1"/>
          <w:sz w:val="24"/>
          <w:szCs w:val="24"/>
          <w:lang w:val="en-ZA" w:eastAsia="en-ZA"/>
        </w:rPr>
      </w:pPr>
      <w:r w:rsidRPr="00481243">
        <w:rPr>
          <w:rFonts w:ascii="Arial" w:hAnsi="Arial"/>
          <w:color w:val="000000" w:themeColor="text1"/>
          <w:sz w:val="24"/>
          <w:szCs w:val="24"/>
          <w:lang w:val="en-ZA" w:eastAsia="en-ZA"/>
        </w:rPr>
        <w:t>The</w:t>
      </w:r>
      <w:r w:rsidRPr="00481243">
        <w:rPr>
          <w:rFonts w:ascii="Arial" w:hAnsi="Arial"/>
          <w:color w:val="000000" w:themeColor="text1"/>
          <w:sz w:val="24"/>
          <w:szCs w:val="24"/>
          <w:lang w:val="en-ZA"/>
        </w:rPr>
        <w:t xml:space="preserve"> appeal is upheld.</w:t>
      </w:r>
      <w:r w:rsidRPr="00481243">
        <w:rPr>
          <w:rFonts w:ascii="Arial" w:hAnsi="Arial"/>
          <w:color w:val="000000" w:themeColor="text1"/>
          <w:sz w:val="24"/>
          <w:szCs w:val="24"/>
          <w:lang w:val="en-ZA" w:eastAsia="en-ZA"/>
        </w:rPr>
        <w:t xml:space="preserve"> </w:t>
      </w:r>
    </w:p>
    <w:p w:rsidR="00702D7A" w:rsidRPr="00481243" w:rsidRDefault="00702D7A" w:rsidP="00481243">
      <w:pPr>
        <w:pStyle w:val="ListParagraph"/>
        <w:numPr>
          <w:ilvl w:val="0"/>
          <w:numId w:val="50"/>
        </w:numPr>
        <w:spacing w:after="0" w:line="360" w:lineRule="auto"/>
        <w:jc w:val="both"/>
        <w:rPr>
          <w:rFonts w:ascii="Arial" w:hAnsi="Arial"/>
          <w:color w:val="000000" w:themeColor="text1"/>
          <w:sz w:val="24"/>
          <w:szCs w:val="24"/>
          <w:lang w:val="en-ZA" w:eastAsia="en-ZA"/>
        </w:rPr>
      </w:pPr>
      <w:r w:rsidRPr="00481243">
        <w:rPr>
          <w:rFonts w:ascii="Arial" w:hAnsi="Arial"/>
          <w:color w:val="000000" w:themeColor="text1"/>
          <w:sz w:val="24"/>
          <w:szCs w:val="24"/>
          <w:lang w:val="en-ZA"/>
        </w:rPr>
        <w:t xml:space="preserve">The order of the High Court is set aside and replaced with the following order: </w:t>
      </w:r>
    </w:p>
    <w:p w:rsidR="00702D7A" w:rsidRPr="00481243" w:rsidRDefault="00702D7A" w:rsidP="007210E7">
      <w:pPr>
        <w:pStyle w:val="ListParagraph"/>
        <w:spacing w:after="0" w:line="360" w:lineRule="auto"/>
        <w:ind w:firstLine="142"/>
        <w:rPr>
          <w:rFonts w:ascii="Arial" w:hAnsi="Arial"/>
          <w:color w:val="000000" w:themeColor="text1"/>
          <w:sz w:val="24"/>
          <w:szCs w:val="24"/>
        </w:rPr>
      </w:pPr>
    </w:p>
    <w:p w:rsidR="00702D7A" w:rsidRPr="00481243" w:rsidRDefault="00702D7A" w:rsidP="00A8388C">
      <w:pPr>
        <w:pStyle w:val="ListParagraph"/>
        <w:numPr>
          <w:ilvl w:val="2"/>
          <w:numId w:val="50"/>
        </w:numPr>
        <w:spacing w:after="0" w:line="360" w:lineRule="auto"/>
        <w:ind w:left="1560" w:hanging="284"/>
        <w:jc w:val="both"/>
        <w:rPr>
          <w:rFonts w:ascii="Arial" w:hAnsi="Arial"/>
          <w:color w:val="000000" w:themeColor="text1"/>
          <w:sz w:val="24"/>
          <w:szCs w:val="24"/>
        </w:rPr>
      </w:pPr>
      <w:r w:rsidRPr="00481243">
        <w:rPr>
          <w:rFonts w:ascii="Arial" w:hAnsi="Arial"/>
          <w:color w:val="000000" w:themeColor="text1"/>
          <w:sz w:val="24"/>
          <w:szCs w:val="24"/>
        </w:rPr>
        <w:t>‘</w:t>
      </w:r>
      <w:r w:rsidRPr="00481243">
        <w:rPr>
          <w:rFonts w:ascii="Arial" w:hAnsi="Arial"/>
          <w:color w:val="000000" w:themeColor="text1"/>
          <w:lang w:val="en-ZA"/>
        </w:rPr>
        <w:t xml:space="preserve">The respondents’ application to strike the forfeiture </w:t>
      </w:r>
      <w:r w:rsidRPr="00481243">
        <w:rPr>
          <w:rFonts w:ascii="Arial" w:hAnsi="Arial"/>
          <w:color w:val="000000" w:themeColor="text1"/>
          <w:lang w:val="en-ZA" w:eastAsia="en-ZA"/>
        </w:rPr>
        <w:t>application f</w:t>
      </w:r>
      <w:r w:rsidRPr="00481243">
        <w:rPr>
          <w:rFonts w:ascii="Arial" w:hAnsi="Arial"/>
          <w:color w:val="000000" w:themeColor="text1"/>
          <w:lang w:val="en-ZA"/>
        </w:rPr>
        <w:t>rom the roll is dismissed with costs</w:t>
      </w:r>
      <w:r w:rsidRPr="00481243">
        <w:rPr>
          <w:rFonts w:ascii="Arial" w:hAnsi="Arial"/>
          <w:color w:val="000000" w:themeColor="text1"/>
          <w:sz w:val="24"/>
          <w:szCs w:val="24"/>
          <w:lang w:val="en-ZA"/>
        </w:rPr>
        <w:t>.</w:t>
      </w:r>
      <w:r w:rsidRPr="00481243">
        <w:rPr>
          <w:rFonts w:ascii="Arial" w:hAnsi="Arial"/>
          <w:color w:val="000000" w:themeColor="text1"/>
          <w:sz w:val="24"/>
          <w:szCs w:val="24"/>
        </w:rPr>
        <w:t>’</w:t>
      </w:r>
    </w:p>
    <w:p w:rsidR="00702D7A" w:rsidRPr="00481243" w:rsidRDefault="00702D7A" w:rsidP="007210E7">
      <w:pPr>
        <w:spacing w:after="0" w:line="360" w:lineRule="auto"/>
        <w:ind w:firstLine="142"/>
        <w:jc w:val="both"/>
        <w:rPr>
          <w:rFonts w:ascii="Arial" w:hAnsi="Arial"/>
          <w:color w:val="000000" w:themeColor="text1"/>
          <w:sz w:val="24"/>
          <w:szCs w:val="24"/>
          <w:lang w:val="en-ZA" w:eastAsia="en-ZA"/>
        </w:rPr>
      </w:pPr>
    </w:p>
    <w:p w:rsidR="00702D7A" w:rsidRPr="00481243" w:rsidRDefault="00702D7A" w:rsidP="00481243">
      <w:pPr>
        <w:pStyle w:val="ListParagraph"/>
        <w:numPr>
          <w:ilvl w:val="0"/>
          <w:numId w:val="50"/>
        </w:numPr>
        <w:spacing w:after="0" w:line="480" w:lineRule="auto"/>
        <w:jc w:val="both"/>
        <w:rPr>
          <w:rFonts w:ascii="Arial" w:hAnsi="Arial"/>
          <w:color w:val="000000" w:themeColor="text1"/>
          <w:sz w:val="24"/>
          <w:szCs w:val="24"/>
          <w:lang w:val="en-ZA"/>
        </w:rPr>
      </w:pPr>
      <w:r w:rsidRPr="00481243">
        <w:rPr>
          <w:rFonts w:ascii="Arial" w:hAnsi="Arial"/>
          <w:color w:val="000000" w:themeColor="text1"/>
          <w:sz w:val="24"/>
          <w:szCs w:val="24"/>
          <w:lang w:val="en-ZA"/>
        </w:rPr>
        <w:t>The matter is remitted to the High Court for determi</w:t>
      </w:r>
      <w:r w:rsidR="00E2535F" w:rsidRPr="00481243">
        <w:rPr>
          <w:rFonts w:ascii="Arial" w:hAnsi="Arial"/>
          <w:color w:val="000000" w:themeColor="text1"/>
          <w:sz w:val="24"/>
          <w:szCs w:val="24"/>
          <w:lang w:val="en-ZA"/>
        </w:rPr>
        <w:t xml:space="preserve">nation of the application for </w:t>
      </w:r>
      <w:r w:rsidRPr="00481243">
        <w:rPr>
          <w:rFonts w:ascii="Arial" w:hAnsi="Arial"/>
          <w:color w:val="000000" w:themeColor="text1"/>
          <w:sz w:val="24"/>
          <w:szCs w:val="24"/>
          <w:lang w:val="en-ZA" w:eastAsia="en-ZA"/>
        </w:rPr>
        <w:t>forfeiture of the properties</w:t>
      </w:r>
      <w:r w:rsidRPr="00481243">
        <w:rPr>
          <w:rFonts w:ascii="Arial" w:hAnsi="Arial"/>
          <w:color w:val="000000" w:themeColor="text1"/>
          <w:sz w:val="24"/>
          <w:szCs w:val="24"/>
        </w:rPr>
        <w:t>.</w:t>
      </w:r>
    </w:p>
    <w:p w:rsidR="00702D7A" w:rsidRPr="00481243" w:rsidRDefault="00F12D18" w:rsidP="00481243">
      <w:pPr>
        <w:pStyle w:val="ListParagraph"/>
        <w:numPr>
          <w:ilvl w:val="0"/>
          <w:numId w:val="50"/>
        </w:numPr>
        <w:spacing w:after="0" w:line="480" w:lineRule="auto"/>
        <w:jc w:val="both"/>
        <w:rPr>
          <w:rFonts w:ascii="Arial" w:hAnsi="Arial"/>
          <w:color w:val="000000" w:themeColor="text1"/>
          <w:sz w:val="24"/>
          <w:szCs w:val="24"/>
          <w:lang w:val="en-ZA" w:eastAsia="en-ZA"/>
        </w:rPr>
      </w:pPr>
      <w:r w:rsidRPr="00481243">
        <w:rPr>
          <w:rFonts w:ascii="Arial" w:hAnsi="Arial"/>
          <w:color w:val="000000" w:themeColor="text1"/>
          <w:sz w:val="24"/>
          <w:szCs w:val="24"/>
          <w:lang w:val="en-ZA"/>
        </w:rPr>
        <w:t>Each</w:t>
      </w:r>
      <w:r w:rsidR="00702D7A" w:rsidRPr="00481243">
        <w:rPr>
          <w:rFonts w:ascii="Arial" w:hAnsi="Arial"/>
          <w:color w:val="000000" w:themeColor="text1"/>
          <w:sz w:val="24"/>
          <w:szCs w:val="24"/>
          <w:lang w:val="en-ZA"/>
        </w:rPr>
        <w:t xml:space="preserve"> </w:t>
      </w:r>
      <w:r w:rsidRPr="00481243">
        <w:rPr>
          <w:rFonts w:ascii="Arial" w:hAnsi="Arial"/>
          <w:color w:val="000000" w:themeColor="text1"/>
          <w:sz w:val="24"/>
          <w:szCs w:val="24"/>
        </w:rPr>
        <w:t>party</w:t>
      </w:r>
      <w:r w:rsidR="00702D7A" w:rsidRPr="00481243">
        <w:rPr>
          <w:rFonts w:ascii="Arial" w:hAnsi="Arial"/>
          <w:color w:val="000000" w:themeColor="text1"/>
          <w:sz w:val="24"/>
          <w:szCs w:val="24"/>
        </w:rPr>
        <w:t xml:space="preserve"> </w:t>
      </w:r>
      <w:r w:rsidRPr="00481243">
        <w:rPr>
          <w:rFonts w:ascii="Arial" w:hAnsi="Arial"/>
          <w:color w:val="000000" w:themeColor="text1"/>
          <w:sz w:val="24"/>
          <w:szCs w:val="24"/>
          <w:lang w:val="en-ZA"/>
        </w:rPr>
        <w:t>should</w:t>
      </w:r>
      <w:r w:rsidR="00702D7A" w:rsidRPr="00481243">
        <w:rPr>
          <w:rFonts w:ascii="Arial" w:hAnsi="Arial"/>
          <w:color w:val="000000" w:themeColor="text1"/>
          <w:sz w:val="24"/>
          <w:szCs w:val="24"/>
        </w:rPr>
        <w:t xml:space="preserve"> pay </w:t>
      </w:r>
      <w:r w:rsidRPr="00481243">
        <w:rPr>
          <w:rFonts w:ascii="Arial" w:hAnsi="Arial"/>
          <w:color w:val="000000" w:themeColor="text1"/>
          <w:sz w:val="24"/>
          <w:szCs w:val="24"/>
        </w:rPr>
        <w:t>its own costs on appeal</w:t>
      </w:r>
      <w:r w:rsidR="00702D7A" w:rsidRPr="00481243">
        <w:rPr>
          <w:rFonts w:ascii="Arial" w:hAnsi="Arial"/>
          <w:color w:val="000000" w:themeColor="text1"/>
          <w:sz w:val="24"/>
          <w:szCs w:val="24"/>
        </w:rPr>
        <w:t xml:space="preserve">. </w:t>
      </w:r>
    </w:p>
    <w:p w:rsidR="00702D7A" w:rsidRPr="00481243" w:rsidRDefault="00702D7A" w:rsidP="00702D7A">
      <w:pPr>
        <w:spacing w:after="0" w:line="240" w:lineRule="auto"/>
        <w:jc w:val="both"/>
        <w:rPr>
          <w:rFonts w:ascii="Arial" w:hAnsi="Arial"/>
          <w:color w:val="000000" w:themeColor="text1"/>
          <w:sz w:val="24"/>
          <w:szCs w:val="24"/>
        </w:rPr>
      </w:pPr>
    </w:p>
    <w:p w:rsidR="007210E7" w:rsidRPr="00481243" w:rsidRDefault="007210E7" w:rsidP="00702D7A">
      <w:pPr>
        <w:spacing w:after="0" w:line="240" w:lineRule="auto"/>
        <w:jc w:val="both"/>
        <w:rPr>
          <w:rFonts w:ascii="Arial" w:hAnsi="Arial"/>
          <w:color w:val="000000" w:themeColor="text1"/>
          <w:sz w:val="24"/>
          <w:szCs w:val="24"/>
        </w:rPr>
      </w:pPr>
    </w:p>
    <w:p w:rsidR="007210E7" w:rsidRPr="00481243" w:rsidRDefault="007210E7" w:rsidP="00702D7A">
      <w:pPr>
        <w:spacing w:after="0" w:line="240" w:lineRule="auto"/>
        <w:jc w:val="both"/>
        <w:rPr>
          <w:rFonts w:ascii="Arial" w:hAnsi="Arial"/>
          <w:color w:val="000000" w:themeColor="text1"/>
          <w:sz w:val="24"/>
          <w:szCs w:val="24"/>
        </w:rPr>
      </w:pPr>
    </w:p>
    <w:p w:rsidR="00481243" w:rsidRPr="00481243" w:rsidRDefault="00481243" w:rsidP="00702D7A">
      <w:pPr>
        <w:spacing w:after="0" w:line="240" w:lineRule="auto"/>
        <w:jc w:val="both"/>
        <w:rPr>
          <w:rFonts w:ascii="Arial" w:hAnsi="Arial"/>
          <w:color w:val="000000" w:themeColor="text1"/>
          <w:sz w:val="24"/>
          <w:szCs w:val="24"/>
        </w:rPr>
      </w:pPr>
    </w:p>
    <w:p w:rsidR="00481243" w:rsidRDefault="00481243" w:rsidP="00702D7A">
      <w:pPr>
        <w:spacing w:after="0" w:line="240" w:lineRule="auto"/>
        <w:jc w:val="both"/>
        <w:rPr>
          <w:rFonts w:ascii="Arial" w:hAnsi="Arial"/>
          <w:color w:val="000000" w:themeColor="text1"/>
          <w:sz w:val="24"/>
          <w:szCs w:val="24"/>
        </w:rPr>
      </w:pPr>
    </w:p>
    <w:p w:rsidR="00131D79" w:rsidRDefault="00131D79" w:rsidP="00702D7A">
      <w:pPr>
        <w:spacing w:after="0" w:line="240" w:lineRule="auto"/>
        <w:jc w:val="both"/>
        <w:rPr>
          <w:rFonts w:ascii="Arial" w:hAnsi="Arial"/>
          <w:color w:val="000000" w:themeColor="text1"/>
          <w:sz w:val="24"/>
          <w:szCs w:val="24"/>
        </w:rPr>
      </w:pPr>
    </w:p>
    <w:p w:rsidR="00131D79" w:rsidRPr="00481243" w:rsidRDefault="00131D79" w:rsidP="00702D7A">
      <w:pPr>
        <w:spacing w:after="0" w:line="240" w:lineRule="auto"/>
        <w:jc w:val="both"/>
        <w:rPr>
          <w:rFonts w:ascii="Arial" w:hAnsi="Arial"/>
          <w:color w:val="000000" w:themeColor="text1"/>
          <w:sz w:val="24"/>
          <w:szCs w:val="24"/>
        </w:rPr>
      </w:pPr>
    </w:p>
    <w:p w:rsidR="00702D7A" w:rsidRPr="00481243" w:rsidRDefault="00702D7A" w:rsidP="00702D7A">
      <w:pPr>
        <w:spacing w:after="0" w:line="240" w:lineRule="auto"/>
        <w:jc w:val="both"/>
        <w:rPr>
          <w:rFonts w:ascii="Arial" w:hAnsi="Arial"/>
          <w:color w:val="000000" w:themeColor="text1"/>
          <w:sz w:val="24"/>
          <w:szCs w:val="24"/>
        </w:rPr>
      </w:pPr>
      <w:r w:rsidRPr="00481243">
        <w:rPr>
          <w:rFonts w:ascii="Arial" w:hAnsi="Arial"/>
          <w:color w:val="000000" w:themeColor="text1"/>
          <w:sz w:val="24"/>
          <w:szCs w:val="24"/>
        </w:rPr>
        <w:t>___________________</w:t>
      </w:r>
    </w:p>
    <w:p w:rsidR="00702D7A" w:rsidRPr="00481243" w:rsidRDefault="00702D7A" w:rsidP="00702D7A">
      <w:pPr>
        <w:spacing w:after="0" w:line="240" w:lineRule="auto"/>
        <w:jc w:val="both"/>
        <w:rPr>
          <w:rFonts w:ascii="Arial" w:hAnsi="Arial"/>
          <w:b/>
          <w:color w:val="000000" w:themeColor="text1"/>
          <w:sz w:val="24"/>
          <w:szCs w:val="24"/>
        </w:rPr>
      </w:pPr>
      <w:r w:rsidRPr="00481243">
        <w:rPr>
          <w:rFonts w:ascii="Arial" w:hAnsi="Arial"/>
          <w:b/>
          <w:color w:val="000000" w:themeColor="text1"/>
          <w:sz w:val="24"/>
          <w:szCs w:val="24"/>
        </w:rPr>
        <w:t>MOKGORO AJA</w:t>
      </w:r>
    </w:p>
    <w:p w:rsidR="00702D7A" w:rsidRPr="00481243" w:rsidRDefault="00702D7A" w:rsidP="00702D7A">
      <w:pPr>
        <w:spacing w:after="0" w:line="240" w:lineRule="auto"/>
        <w:jc w:val="both"/>
        <w:rPr>
          <w:rFonts w:ascii="Arial" w:hAnsi="Arial"/>
          <w:color w:val="000000" w:themeColor="text1"/>
          <w:sz w:val="24"/>
          <w:szCs w:val="24"/>
        </w:rPr>
      </w:pPr>
    </w:p>
    <w:p w:rsidR="00702D7A" w:rsidRPr="00481243" w:rsidRDefault="00702D7A" w:rsidP="00702D7A">
      <w:pPr>
        <w:spacing w:after="0" w:line="240" w:lineRule="auto"/>
        <w:jc w:val="both"/>
        <w:rPr>
          <w:rFonts w:ascii="Arial" w:hAnsi="Arial"/>
          <w:color w:val="000000" w:themeColor="text1"/>
          <w:sz w:val="24"/>
          <w:szCs w:val="24"/>
        </w:rPr>
      </w:pPr>
    </w:p>
    <w:p w:rsidR="00702D7A" w:rsidRPr="00481243" w:rsidRDefault="00702D7A" w:rsidP="00702D7A">
      <w:pPr>
        <w:spacing w:after="0" w:line="240" w:lineRule="auto"/>
        <w:jc w:val="both"/>
        <w:rPr>
          <w:rFonts w:ascii="Arial" w:hAnsi="Arial"/>
          <w:color w:val="000000" w:themeColor="text1"/>
          <w:sz w:val="24"/>
          <w:szCs w:val="24"/>
        </w:rPr>
      </w:pPr>
    </w:p>
    <w:p w:rsidR="002A24F1" w:rsidRPr="00481243" w:rsidRDefault="002A24F1" w:rsidP="00702D7A">
      <w:pPr>
        <w:spacing w:after="0" w:line="240" w:lineRule="auto"/>
        <w:jc w:val="both"/>
        <w:rPr>
          <w:rFonts w:ascii="Arial" w:hAnsi="Arial"/>
          <w:color w:val="000000" w:themeColor="text1"/>
          <w:sz w:val="24"/>
          <w:szCs w:val="24"/>
        </w:rPr>
      </w:pPr>
    </w:p>
    <w:p w:rsidR="002A24F1" w:rsidRPr="00481243" w:rsidRDefault="002A24F1" w:rsidP="00702D7A">
      <w:pPr>
        <w:spacing w:after="0" w:line="240" w:lineRule="auto"/>
        <w:jc w:val="both"/>
        <w:rPr>
          <w:rFonts w:ascii="Arial" w:hAnsi="Arial"/>
          <w:color w:val="000000" w:themeColor="text1"/>
          <w:sz w:val="24"/>
          <w:szCs w:val="24"/>
        </w:rPr>
      </w:pPr>
    </w:p>
    <w:p w:rsidR="00702D7A" w:rsidRPr="00481243" w:rsidRDefault="00702D7A" w:rsidP="00702D7A">
      <w:pPr>
        <w:spacing w:after="0" w:line="240" w:lineRule="auto"/>
        <w:jc w:val="both"/>
        <w:rPr>
          <w:rFonts w:ascii="Arial" w:hAnsi="Arial"/>
          <w:color w:val="000000" w:themeColor="text1"/>
          <w:sz w:val="24"/>
          <w:szCs w:val="24"/>
        </w:rPr>
      </w:pPr>
      <w:r w:rsidRPr="00481243">
        <w:rPr>
          <w:rFonts w:ascii="Arial" w:hAnsi="Arial"/>
          <w:color w:val="000000" w:themeColor="text1"/>
          <w:sz w:val="24"/>
          <w:szCs w:val="24"/>
        </w:rPr>
        <w:t>___________________</w:t>
      </w:r>
    </w:p>
    <w:p w:rsidR="00702D7A" w:rsidRPr="00481243" w:rsidRDefault="00702D7A" w:rsidP="00702D7A">
      <w:pPr>
        <w:spacing w:after="0" w:line="240" w:lineRule="auto"/>
        <w:jc w:val="both"/>
        <w:rPr>
          <w:rFonts w:ascii="Arial" w:hAnsi="Arial"/>
          <w:b/>
          <w:color w:val="000000" w:themeColor="text1"/>
          <w:sz w:val="24"/>
          <w:szCs w:val="24"/>
        </w:rPr>
      </w:pPr>
      <w:r w:rsidRPr="00481243">
        <w:rPr>
          <w:rFonts w:ascii="Arial" w:hAnsi="Arial"/>
          <w:b/>
          <w:color w:val="000000" w:themeColor="text1"/>
          <w:sz w:val="24"/>
          <w:szCs w:val="24"/>
        </w:rPr>
        <w:t>HOFF JA</w:t>
      </w:r>
    </w:p>
    <w:p w:rsidR="00702D7A" w:rsidRPr="00481243" w:rsidRDefault="00702D7A" w:rsidP="00702D7A">
      <w:pPr>
        <w:spacing w:after="0" w:line="240" w:lineRule="auto"/>
        <w:jc w:val="both"/>
        <w:rPr>
          <w:rFonts w:ascii="Arial" w:hAnsi="Arial"/>
          <w:b/>
          <w:color w:val="000000" w:themeColor="text1"/>
          <w:sz w:val="24"/>
          <w:szCs w:val="24"/>
        </w:rPr>
      </w:pPr>
    </w:p>
    <w:p w:rsidR="00481243" w:rsidRPr="00481243" w:rsidRDefault="00481243" w:rsidP="00702D7A">
      <w:pPr>
        <w:spacing w:after="0" w:line="240" w:lineRule="auto"/>
        <w:jc w:val="both"/>
        <w:rPr>
          <w:rFonts w:ascii="Arial" w:hAnsi="Arial"/>
          <w:b/>
          <w:color w:val="000000" w:themeColor="text1"/>
          <w:sz w:val="24"/>
          <w:szCs w:val="24"/>
        </w:rPr>
      </w:pPr>
    </w:p>
    <w:p w:rsidR="00702D7A" w:rsidRDefault="00702D7A" w:rsidP="00702D7A">
      <w:pPr>
        <w:spacing w:after="0" w:line="240" w:lineRule="auto"/>
        <w:jc w:val="both"/>
        <w:rPr>
          <w:rFonts w:ascii="Arial" w:hAnsi="Arial"/>
          <w:b/>
          <w:color w:val="000000" w:themeColor="text1"/>
          <w:sz w:val="24"/>
          <w:szCs w:val="24"/>
        </w:rPr>
      </w:pPr>
    </w:p>
    <w:p w:rsidR="00131D79" w:rsidRPr="00481243" w:rsidRDefault="00131D79" w:rsidP="00702D7A">
      <w:pPr>
        <w:spacing w:after="0" w:line="240" w:lineRule="auto"/>
        <w:jc w:val="both"/>
        <w:rPr>
          <w:rFonts w:ascii="Arial" w:hAnsi="Arial"/>
          <w:b/>
          <w:color w:val="000000" w:themeColor="text1"/>
          <w:sz w:val="24"/>
          <w:szCs w:val="24"/>
        </w:rPr>
      </w:pPr>
    </w:p>
    <w:p w:rsidR="00702D7A" w:rsidRPr="00481243" w:rsidRDefault="00702D7A" w:rsidP="00702D7A">
      <w:pPr>
        <w:spacing w:after="0" w:line="240" w:lineRule="auto"/>
        <w:jc w:val="both"/>
        <w:rPr>
          <w:rFonts w:ascii="Arial" w:hAnsi="Arial"/>
          <w:b/>
          <w:color w:val="000000" w:themeColor="text1"/>
          <w:sz w:val="24"/>
          <w:szCs w:val="24"/>
        </w:rPr>
      </w:pPr>
    </w:p>
    <w:p w:rsidR="00702D7A" w:rsidRPr="00481243" w:rsidRDefault="00702D7A" w:rsidP="00702D7A">
      <w:pPr>
        <w:spacing w:after="0" w:line="240" w:lineRule="auto"/>
        <w:jc w:val="both"/>
        <w:rPr>
          <w:rFonts w:ascii="Arial" w:hAnsi="Arial"/>
          <w:color w:val="000000" w:themeColor="text1"/>
          <w:sz w:val="24"/>
          <w:szCs w:val="24"/>
        </w:rPr>
      </w:pPr>
      <w:r w:rsidRPr="00481243">
        <w:rPr>
          <w:rFonts w:ascii="Arial" w:hAnsi="Arial"/>
          <w:color w:val="000000" w:themeColor="text1"/>
          <w:sz w:val="24"/>
          <w:szCs w:val="24"/>
        </w:rPr>
        <w:t>___________________</w:t>
      </w:r>
    </w:p>
    <w:p w:rsidR="00702D7A" w:rsidRPr="00481243" w:rsidRDefault="00702D7A" w:rsidP="00702D7A">
      <w:pPr>
        <w:spacing w:after="0" w:line="240" w:lineRule="auto"/>
        <w:jc w:val="both"/>
        <w:rPr>
          <w:rFonts w:ascii="Arial" w:hAnsi="Arial"/>
          <w:b/>
          <w:color w:val="000000" w:themeColor="text1"/>
          <w:sz w:val="24"/>
          <w:szCs w:val="24"/>
        </w:rPr>
      </w:pPr>
      <w:r w:rsidRPr="00481243">
        <w:rPr>
          <w:rFonts w:ascii="Arial" w:hAnsi="Arial"/>
          <w:b/>
          <w:color w:val="000000" w:themeColor="text1"/>
          <w:sz w:val="24"/>
          <w:szCs w:val="24"/>
        </w:rPr>
        <w:t>NKABINDE AJA</w:t>
      </w:r>
    </w:p>
    <w:p w:rsidR="00702D7A" w:rsidRPr="00481243" w:rsidRDefault="00702D7A" w:rsidP="00702D7A">
      <w:pPr>
        <w:spacing w:after="0" w:line="240" w:lineRule="auto"/>
        <w:jc w:val="both"/>
        <w:rPr>
          <w:rFonts w:ascii="Arial" w:hAnsi="Arial"/>
          <w:b/>
          <w:color w:val="000000" w:themeColor="text1"/>
          <w:sz w:val="24"/>
          <w:szCs w:val="24"/>
        </w:rPr>
      </w:pPr>
    </w:p>
    <w:p w:rsidR="00702D7A" w:rsidRPr="00481243" w:rsidRDefault="00702D7A" w:rsidP="00702D7A">
      <w:pPr>
        <w:spacing w:after="0" w:line="240" w:lineRule="auto"/>
        <w:jc w:val="both"/>
        <w:rPr>
          <w:rFonts w:ascii="Arial" w:hAnsi="Arial"/>
          <w:b/>
          <w:color w:val="000000" w:themeColor="text1"/>
          <w:sz w:val="24"/>
          <w:szCs w:val="24"/>
        </w:rPr>
      </w:pPr>
    </w:p>
    <w:p w:rsidR="00702D7A" w:rsidRPr="00481243" w:rsidRDefault="00702D7A" w:rsidP="00702D7A">
      <w:pPr>
        <w:spacing w:after="0" w:line="240" w:lineRule="auto"/>
        <w:jc w:val="both"/>
        <w:rPr>
          <w:rFonts w:ascii="Arial" w:hAnsi="Arial"/>
          <w:b/>
          <w:color w:val="000000" w:themeColor="text1"/>
          <w:sz w:val="24"/>
          <w:szCs w:val="24"/>
        </w:rPr>
      </w:pPr>
    </w:p>
    <w:p w:rsidR="00702D7A" w:rsidRPr="00481243" w:rsidRDefault="00702D7A" w:rsidP="00702D7A">
      <w:pPr>
        <w:spacing w:after="0" w:line="240" w:lineRule="auto"/>
        <w:jc w:val="both"/>
        <w:rPr>
          <w:rFonts w:ascii="Arial" w:hAnsi="Arial"/>
          <w:b/>
          <w:color w:val="000000" w:themeColor="text1"/>
          <w:sz w:val="24"/>
          <w:szCs w:val="24"/>
        </w:rPr>
      </w:pPr>
    </w:p>
    <w:p w:rsidR="00702D7A" w:rsidRPr="00481243" w:rsidRDefault="00702D7A" w:rsidP="00702D7A">
      <w:pPr>
        <w:spacing w:after="0" w:line="240" w:lineRule="auto"/>
        <w:jc w:val="both"/>
        <w:rPr>
          <w:rFonts w:ascii="Arial" w:hAnsi="Arial"/>
          <w:b/>
          <w:color w:val="000000" w:themeColor="text1"/>
          <w:sz w:val="24"/>
          <w:szCs w:val="24"/>
        </w:rPr>
      </w:pPr>
    </w:p>
    <w:p w:rsidR="00702D7A" w:rsidRPr="00481243" w:rsidRDefault="00702D7A" w:rsidP="00702D7A">
      <w:pPr>
        <w:spacing w:after="0" w:line="240" w:lineRule="auto"/>
        <w:jc w:val="both"/>
        <w:rPr>
          <w:rFonts w:ascii="Arial" w:hAnsi="Arial"/>
          <w:b/>
          <w:color w:val="000000" w:themeColor="text1"/>
          <w:sz w:val="24"/>
          <w:szCs w:val="24"/>
        </w:rPr>
      </w:pPr>
    </w:p>
    <w:p w:rsidR="002A24F1" w:rsidRPr="00481243" w:rsidRDefault="002A24F1" w:rsidP="00702D7A">
      <w:pPr>
        <w:spacing w:after="0" w:line="240" w:lineRule="auto"/>
        <w:jc w:val="both"/>
        <w:rPr>
          <w:rFonts w:ascii="Arial" w:hAnsi="Arial"/>
          <w:b/>
          <w:color w:val="000000" w:themeColor="text1"/>
          <w:sz w:val="24"/>
          <w:szCs w:val="24"/>
        </w:rPr>
      </w:pPr>
    </w:p>
    <w:p w:rsidR="009667DD" w:rsidRPr="00481243" w:rsidRDefault="009667DD" w:rsidP="00702D7A">
      <w:pPr>
        <w:spacing w:after="0" w:line="240" w:lineRule="auto"/>
        <w:jc w:val="both"/>
        <w:rPr>
          <w:rFonts w:ascii="Arial" w:hAnsi="Arial"/>
          <w:b/>
          <w:color w:val="000000" w:themeColor="text1"/>
          <w:sz w:val="24"/>
          <w:szCs w:val="24"/>
        </w:rPr>
      </w:pPr>
    </w:p>
    <w:p w:rsidR="009667DD" w:rsidRPr="00481243" w:rsidRDefault="009667DD" w:rsidP="00702D7A">
      <w:pPr>
        <w:spacing w:after="0" w:line="240" w:lineRule="auto"/>
        <w:jc w:val="both"/>
        <w:rPr>
          <w:rFonts w:ascii="Arial" w:hAnsi="Arial"/>
          <w:b/>
          <w:color w:val="000000" w:themeColor="text1"/>
          <w:sz w:val="24"/>
          <w:szCs w:val="24"/>
        </w:rPr>
      </w:pPr>
    </w:p>
    <w:p w:rsidR="009667DD" w:rsidRPr="00481243" w:rsidRDefault="009667DD" w:rsidP="00702D7A">
      <w:pPr>
        <w:spacing w:after="0" w:line="240" w:lineRule="auto"/>
        <w:jc w:val="both"/>
        <w:rPr>
          <w:rFonts w:ascii="Arial" w:hAnsi="Arial"/>
          <w:b/>
          <w:color w:val="000000" w:themeColor="text1"/>
          <w:sz w:val="24"/>
          <w:szCs w:val="24"/>
        </w:rPr>
      </w:pPr>
    </w:p>
    <w:p w:rsidR="009667DD" w:rsidRPr="00481243" w:rsidRDefault="009667DD" w:rsidP="00702D7A">
      <w:pPr>
        <w:spacing w:after="0" w:line="240" w:lineRule="auto"/>
        <w:jc w:val="both"/>
        <w:rPr>
          <w:rFonts w:ascii="Arial" w:hAnsi="Arial"/>
          <w:b/>
          <w:color w:val="000000" w:themeColor="text1"/>
          <w:sz w:val="24"/>
          <w:szCs w:val="24"/>
        </w:rPr>
      </w:pPr>
    </w:p>
    <w:p w:rsidR="009667DD" w:rsidRPr="00481243" w:rsidRDefault="009667DD" w:rsidP="00702D7A">
      <w:pPr>
        <w:spacing w:after="0" w:line="240" w:lineRule="auto"/>
        <w:jc w:val="both"/>
        <w:rPr>
          <w:rFonts w:ascii="Arial" w:hAnsi="Arial"/>
          <w:b/>
          <w:color w:val="000000" w:themeColor="text1"/>
          <w:sz w:val="24"/>
          <w:szCs w:val="24"/>
        </w:rPr>
      </w:pPr>
    </w:p>
    <w:p w:rsidR="009667DD" w:rsidRPr="00481243" w:rsidRDefault="009667DD" w:rsidP="00702D7A">
      <w:pPr>
        <w:spacing w:after="0" w:line="240" w:lineRule="auto"/>
        <w:jc w:val="both"/>
        <w:rPr>
          <w:rFonts w:ascii="Arial" w:hAnsi="Arial"/>
          <w:b/>
          <w:color w:val="000000" w:themeColor="text1"/>
          <w:sz w:val="24"/>
          <w:szCs w:val="24"/>
        </w:rPr>
      </w:pPr>
    </w:p>
    <w:p w:rsidR="009667DD" w:rsidRPr="00481243" w:rsidRDefault="009667DD" w:rsidP="00702D7A">
      <w:pPr>
        <w:spacing w:after="0" w:line="240" w:lineRule="auto"/>
        <w:jc w:val="both"/>
        <w:rPr>
          <w:rFonts w:ascii="Arial" w:hAnsi="Arial"/>
          <w:b/>
          <w:color w:val="000000" w:themeColor="text1"/>
          <w:sz w:val="24"/>
          <w:szCs w:val="24"/>
        </w:rPr>
      </w:pPr>
    </w:p>
    <w:p w:rsidR="009667DD" w:rsidRPr="00481243" w:rsidRDefault="009667DD" w:rsidP="00702D7A">
      <w:pPr>
        <w:spacing w:after="0" w:line="240" w:lineRule="auto"/>
        <w:jc w:val="both"/>
        <w:rPr>
          <w:rFonts w:ascii="Arial" w:hAnsi="Arial"/>
          <w:b/>
          <w:color w:val="000000" w:themeColor="text1"/>
          <w:sz w:val="24"/>
          <w:szCs w:val="24"/>
        </w:rPr>
      </w:pPr>
    </w:p>
    <w:p w:rsidR="009667DD" w:rsidRPr="00481243" w:rsidRDefault="009667DD" w:rsidP="00702D7A">
      <w:pPr>
        <w:spacing w:after="0" w:line="240" w:lineRule="auto"/>
        <w:jc w:val="both"/>
        <w:rPr>
          <w:rFonts w:ascii="Arial" w:hAnsi="Arial"/>
          <w:b/>
          <w:color w:val="000000" w:themeColor="text1"/>
          <w:sz w:val="24"/>
          <w:szCs w:val="24"/>
        </w:rPr>
      </w:pPr>
    </w:p>
    <w:p w:rsidR="009667DD" w:rsidRPr="00481243" w:rsidRDefault="009667DD" w:rsidP="00702D7A">
      <w:pPr>
        <w:spacing w:after="0" w:line="240" w:lineRule="auto"/>
        <w:jc w:val="both"/>
        <w:rPr>
          <w:rFonts w:ascii="Arial" w:hAnsi="Arial"/>
          <w:b/>
          <w:color w:val="000000" w:themeColor="text1"/>
          <w:sz w:val="24"/>
          <w:szCs w:val="24"/>
        </w:rPr>
      </w:pPr>
    </w:p>
    <w:p w:rsidR="009667DD" w:rsidRPr="00481243" w:rsidRDefault="009667DD" w:rsidP="00702D7A">
      <w:pPr>
        <w:spacing w:after="0" w:line="240" w:lineRule="auto"/>
        <w:jc w:val="both"/>
        <w:rPr>
          <w:rFonts w:ascii="Arial" w:hAnsi="Arial"/>
          <w:b/>
          <w:color w:val="000000" w:themeColor="text1"/>
          <w:sz w:val="24"/>
          <w:szCs w:val="24"/>
        </w:rPr>
      </w:pPr>
    </w:p>
    <w:p w:rsidR="009667DD" w:rsidRPr="00481243" w:rsidRDefault="009667DD" w:rsidP="00702D7A">
      <w:pPr>
        <w:spacing w:after="0" w:line="240" w:lineRule="auto"/>
        <w:jc w:val="both"/>
        <w:rPr>
          <w:rFonts w:ascii="Arial" w:hAnsi="Arial"/>
          <w:b/>
          <w:color w:val="000000" w:themeColor="text1"/>
          <w:sz w:val="24"/>
          <w:szCs w:val="24"/>
        </w:rPr>
      </w:pPr>
    </w:p>
    <w:p w:rsidR="009667DD" w:rsidRPr="00481243" w:rsidRDefault="009667DD" w:rsidP="00702D7A">
      <w:pPr>
        <w:spacing w:after="0" w:line="240" w:lineRule="auto"/>
        <w:jc w:val="both"/>
        <w:rPr>
          <w:rFonts w:ascii="Arial" w:hAnsi="Arial"/>
          <w:b/>
          <w:color w:val="000000" w:themeColor="text1"/>
          <w:sz w:val="24"/>
          <w:szCs w:val="24"/>
        </w:rPr>
      </w:pPr>
    </w:p>
    <w:p w:rsidR="009667DD" w:rsidRPr="00481243" w:rsidRDefault="009667DD" w:rsidP="00702D7A">
      <w:pPr>
        <w:spacing w:after="0" w:line="240" w:lineRule="auto"/>
        <w:jc w:val="both"/>
        <w:rPr>
          <w:rFonts w:ascii="Arial" w:hAnsi="Arial"/>
          <w:b/>
          <w:color w:val="000000" w:themeColor="text1"/>
          <w:sz w:val="24"/>
          <w:szCs w:val="24"/>
        </w:rPr>
      </w:pPr>
    </w:p>
    <w:p w:rsidR="009667DD" w:rsidRPr="00481243" w:rsidRDefault="009667DD" w:rsidP="00702D7A">
      <w:pPr>
        <w:spacing w:after="0" w:line="240" w:lineRule="auto"/>
        <w:jc w:val="both"/>
        <w:rPr>
          <w:rFonts w:ascii="Arial" w:hAnsi="Arial"/>
          <w:b/>
          <w:color w:val="000000" w:themeColor="text1"/>
          <w:sz w:val="24"/>
          <w:szCs w:val="24"/>
        </w:rPr>
      </w:pPr>
    </w:p>
    <w:p w:rsidR="009667DD" w:rsidRPr="00481243" w:rsidRDefault="009667DD" w:rsidP="00702D7A">
      <w:pPr>
        <w:spacing w:after="0" w:line="240" w:lineRule="auto"/>
        <w:jc w:val="both"/>
        <w:rPr>
          <w:rFonts w:ascii="Arial" w:hAnsi="Arial"/>
          <w:b/>
          <w:color w:val="000000" w:themeColor="text1"/>
          <w:sz w:val="24"/>
          <w:szCs w:val="24"/>
        </w:rPr>
      </w:pPr>
    </w:p>
    <w:p w:rsidR="009667DD" w:rsidRPr="00481243" w:rsidRDefault="009667DD" w:rsidP="00702D7A">
      <w:pPr>
        <w:spacing w:after="0" w:line="240" w:lineRule="auto"/>
        <w:jc w:val="both"/>
        <w:rPr>
          <w:rFonts w:ascii="Arial" w:hAnsi="Arial"/>
          <w:b/>
          <w:color w:val="000000" w:themeColor="text1"/>
          <w:sz w:val="24"/>
          <w:szCs w:val="24"/>
        </w:rPr>
      </w:pPr>
    </w:p>
    <w:p w:rsidR="009667DD" w:rsidRPr="00481243" w:rsidRDefault="009667DD" w:rsidP="00702D7A">
      <w:pPr>
        <w:spacing w:after="0" w:line="240" w:lineRule="auto"/>
        <w:jc w:val="both"/>
        <w:rPr>
          <w:rFonts w:ascii="Arial" w:hAnsi="Arial"/>
          <w:b/>
          <w:color w:val="000000" w:themeColor="text1"/>
          <w:sz w:val="24"/>
          <w:szCs w:val="24"/>
        </w:rPr>
      </w:pPr>
    </w:p>
    <w:p w:rsidR="009667DD" w:rsidRPr="00481243" w:rsidRDefault="009667DD" w:rsidP="00702D7A">
      <w:pPr>
        <w:spacing w:after="0" w:line="240" w:lineRule="auto"/>
        <w:jc w:val="both"/>
        <w:rPr>
          <w:rFonts w:ascii="Arial" w:hAnsi="Arial"/>
          <w:b/>
          <w:color w:val="000000" w:themeColor="text1"/>
          <w:sz w:val="24"/>
          <w:szCs w:val="24"/>
        </w:rPr>
      </w:pPr>
    </w:p>
    <w:p w:rsidR="009667DD" w:rsidRPr="00481243" w:rsidRDefault="009667DD" w:rsidP="00702D7A">
      <w:pPr>
        <w:spacing w:after="0" w:line="240" w:lineRule="auto"/>
        <w:jc w:val="both"/>
        <w:rPr>
          <w:rFonts w:ascii="Arial" w:hAnsi="Arial"/>
          <w:b/>
          <w:color w:val="000000" w:themeColor="text1"/>
          <w:sz w:val="24"/>
          <w:szCs w:val="24"/>
        </w:rPr>
      </w:pPr>
    </w:p>
    <w:p w:rsidR="009667DD" w:rsidRPr="00481243" w:rsidRDefault="009667DD" w:rsidP="00702D7A">
      <w:pPr>
        <w:spacing w:after="0" w:line="240" w:lineRule="auto"/>
        <w:jc w:val="both"/>
        <w:rPr>
          <w:rFonts w:ascii="Arial" w:hAnsi="Arial"/>
          <w:b/>
          <w:color w:val="000000" w:themeColor="text1"/>
          <w:sz w:val="24"/>
          <w:szCs w:val="24"/>
        </w:rPr>
      </w:pPr>
    </w:p>
    <w:p w:rsidR="00C71A4E" w:rsidRPr="00481243" w:rsidRDefault="00C71A4E" w:rsidP="00702D7A">
      <w:pPr>
        <w:spacing w:after="0" w:line="240" w:lineRule="auto"/>
        <w:jc w:val="both"/>
        <w:rPr>
          <w:rFonts w:ascii="Arial" w:hAnsi="Arial"/>
          <w:b/>
          <w:color w:val="000000" w:themeColor="text1"/>
          <w:sz w:val="24"/>
          <w:szCs w:val="24"/>
        </w:rPr>
      </w:pPr>
    </w:p>
    <w:p w:rsidR="00C71A4E" w:rsidRPr="00481243" w:rsidRDefault="00C71A4E" w:rsidP="00702D7A">
      <w:pPr>
        <w:spacing w:after="0" w:line="240" w:lineRule="auto"/>
        <w:jc w:val="both"/>
        <w:rPr>
          <w:rFonts w:ascii="Arial" w:hAnsi="Arial"/>
          <w:b/>
          <w:color w:val="000000" w:themeColor="text1"/>
          <w:sz w:val="24"/>
          <w:szCs w:val="24"/>
        </w:rPr>
      </w:pPr>
    </w:p>
    <w:p w:rsidR="009A1FC6" w:rsidRPr="00481243" w:rsidRDefault="009A1FC6" w:rsidP="00702D7A">
      <w:pPr>
        <w:spacing w:after="0" w:line="240" w:lineRule="auto"/>
        <w:jc w:val="both"/>
        <w:rPr>
          <w:rFonts w:ascii="Arial" w:hAnsi="Arial"/>
          <w:b/>
          <w:color w:val="000000" w:themeColor="text1"/>
          <w:sz w:val="24"/>
          <w:szCs w:val="24"/>
        </w:rPr>
      </w:pPr>
    </w:p>
    <w:tbl>
      <w:tblPr>
        <w:tblW w:w="9072" w:type="dxa"/>
        <w:tblLook w:val="04A0" w:firstRow="1" w:lastRow="0" w:firstColumn="1" w:lastColumn="0" w:noHBand="0" w:noVBand="1"/>
      </w:tblPr>
      <w:tblGrid>
        <w:gridCol w:w="4701"/>
        <w:gridCol w:w="4371"/>
      </w:tblGrid>
      <w:tr w:rsidR="00481243" w:rsidRPr="00481243" w:rsidTr="00BB50CB">
        <w:tc>
          <w:tcPr>
            <w:tcW w:w="4701" w:type="dxa"/>
            <w:shd w:val="clear" w:color="000000" w:fill="FFFFFF"/>
          </w:tcPr>
          <w:p w:rsidR="00702D7A" w:rsidRPr="00481243" w:rsidRDefault="00702D7A" w:rsidP="00BB50CB">
            <w:pPr>
              <w:spacing w:after="0" w:line="480" w:lineRule="auto"/>
              <w:ind w:right="-146"/>
              <w:rPr>
                <w:rFonts w:ascii="Arial" w:hAnsi="Arial"/>
                <w:color w:val="000000" w:themeColor="text1"/>
                <w:sz w:val="24"/>
                <w:szCs w:val="24"/>
              </w:rPr>
            </w:pPr>
            <w:r w:rsidRPr="00481243">
              <w:rPr>
                <w:rFonts w:ascii="Arial" w:hAnsi="Arial"/>
                <w:color w:val="000000" w:themeColor="text1"/>
                <w:sz w:val="24"/>
                <w:szCs w:val="24"/>
              </w:rPr>
              <w:t>APPEARANCES:</w:t>
            </w:r>
          </w:p>
          <w:p w:rsidR="00702D7A" w:rsidRPr="00481243" w:rsidRDefault="00702D7A" w:rsidP="00BB50CB">
            <w:pPr>
              <w:spacing w:after="0" w:line="480" w:lineRule="auto"/>
              <w:ind w:right="-146"/>
              <w:rPr>
                <w:rFonts w:ascii="Arial" w:hAnsi="Arial"/>
                <w:color w:val="000000" w:themeColor="text1"/>
                <w:sz w:val="24"/>
                <w:szCs w:val="24"/>
              </w:rPr>
            </w:pPr>
          </w:p>
          <w:p w:rsidR="00702D7A" w:rsidRPr="00481243" w:rsidRDefault="00702D7A" w:rsidP="00BB50CB">
            <w:pPr>
              <w:spacing w:after="0" w:line="480" w:lineRule="auto"/>
              <w:ind w:right="-146"/>
              <w:rPr>
                <w:rFonts w:ascii="Arial" w:hAnsi="Arial"/>
                <w:color w:val="000000" w:themeColor="text1"/>
                <w:sz w:val="24"/>
                <w:szCs w:val="24"/>
              </w:rPr>
            </w:pPr>
            <w:r w:rsidRPr="00481243">
              <w:rPr>
                <w:rFonts w:ascii="Arial" w:hAnsi="Arial"/>
                <w:color w:val="000000" w:themeColor="text1"/>
                <w:sz w:val="24"/>
                <w:szCs w:val="24"/>
              </w:rPr>
              <w:t>Appellant:</w:t>
            </w:r>
          </w:p>
        </w:tc>
        <w:tc>
          <w:tcPr>
            <w:tcW w:w="4371" w:type="dxa"/>
            <w:shd w:val="clear" w:color="000000" w:fill="FFFFFF"/>
          </w:tcPr>
          <w:p w:rsidR="00702D7A" w:rsidRPr="00481243" w:rsidRDefault="00702D7A" w:rsidP="00BB50CB">
            <w:pPr>
              <w:spacing w:after="0" w:line="480" w:lineRule="auto"/>
              <w:rPr>
                <w:rFonts w:ascii="Arial" w:hAnsi="Arial"/>
                <w:color w:val="000000" w:themeColor="text1"/>
                <w:sz w:val="24"/>
                <w:szCs w:val="24"/>
              </w:rPr>
            </w:pPr>
          </w:p>
          <w:p w:rsidR="00702D7A" w:rsidRPr="00481243" w:rsidRDefault="00702D7A" w:rsidP="00BB50CB">
            <w:pPr>
              <w:spacing w:after="0" w:line="480" w:lineRule="auto"/>
              <w:rPr>
                <w:rFonts w:ascii="Arial" w:hAnsi="Arial"/>
                <w:color w:val="000000" w:themeColor="text1"/>
                <w:sz w:val="24"/>
                <w:szCs w:val="24"/>
              </w:rPr>
            </w:pPr>
          </w:p>
          <w:p w:rsidR="00702D7A" w:rsidRPr="00481243" w:rsidRDefault="00702D7A" w:rsidP="00BB50CB">
            <w:pPr>
              <w:spacing w:after="0" w:line="480" w:lineRule="auto"/>
              <w:rPr>
                <w:rFonts w:ascii="Arial" w:hAnsi="Arial"/>
                <w:color w:val="000000" w:themeColor="text1"/>
                <w:sz w:val="24"/>
                <w:szCs w:val="24"/>
              </w:rPr>
            </w:pPr>
            <w:r w:rsidRPr="00481243">
              <w:rPr>
                <w:rFonts w:ascii="Arial" w:hAnsi="Arial"/>
                <w:color w:val="000000" w:themeColor="text1"/>
                <w:sz w:val="24"/>
                <w:szCs w:val="24"/>
              </w:rPr>
              <w:t>M Boonzaier</w:t>
            </w:r>
          </w:p>
        </w:tc>
      </w:tr>
      <w:tr w:rsidR="00481243" w:rsidRPr="00481243" w:rsidTr="00BB50CB">
        <w:tc>
          <w:tcPr>
            <w:tcW w:w="4701" w:type="dxa"/>
            <w:shd w:val="clear" w:color="000000" w:fill="FFFFFF"/>
          </w:tcPr>
          <w:p w:rsidR="00702D7A" w:rsidRPr="00481243" w:rsidRDefault="00702D7A" w:rsidP="00BB50CB">
            <w:pPr>
              <w:spacing w:after="0" w:line="480" w:lineRule="auto"/>
              <w:rPr>
                <w:rFonts w:ascii="Arial" w:hAnsi="Arial"/>
                <w:color w:val="000000" w:themeColor="text1"/>
                <w:sz w:val="24"/>
                <w:szCs w:val="24"/>
              </w:rPr>
            </w:pPr>
          </w:p>
        </w:tc>
        <w:tc>
          <w:tcPr>
            <w:tcW w:w="4371" w:type="dxa"/>
            <w:shd w:val="clear" w:color="000000" w:fill="FFFFFF"/>
          </w:tcPr>
          <w:p w:rsidR="00702D7A" w:rsidRPr="00481243" w:rsidRDefault="00702D7A" w:rsidP="00BB50CB">
            <w:pPr>
              <w:spacing w:after="0" w:line="480" w:lineRule="auto"/>
              <w:ind w:right="-818"/>
              <w:rPr>
                <w:rFonts w:ascii="Arial" w:hAnsi="Arial"/>
                <w:color w:val="000000" w:themeColor="text1"/>
                <w:sz w:val="24"/>
                <w:szCs w:val="24"/>
              </w:rPr>
            </w:pPr>
            <w:r w:rsidRPr="00481243">
              <w:rPr>
                <w:rFonts w:ascii="Arial" w:hAnsi="Arial"/>
                <w:color w:val="000000" w:themeColor="text1"/>
                <w:sz w:val="24"/>
                <w:szCs w:val="24"/>
              </w:rPr>
              <w:t xml:space="preserve">of the office of the Prosecutor-General, Windhoek </w:t>
            </w:r>
          </w:p>
        </w:tc>
      </w:tr>
      <w:tr w:rsidR="00481243" w:rsidRPr="00481243" w:rsidTr="00BB50CB">
        <w:tc>
          <w:tcPr>
            <w:tcW w:w="4701" w:type="dxa"/>
            <w:shd w:val="clear" w:color="000000" w:fill="FFFFFF"/>
          </w:tcPr>
          <w:p w:rsidR="00702D7A" w:rsidRPr="00481243" w:rsidRDefault="00702D7A" w:rsidP="00BB50CB">
            <w:pPr>
              <w:spacing w:after="0" w:line="480" w:lineRule="auto"/>
              <w:rPr>
                <w:rFonts w:ascii="Arial" w:hAnsi="Arial"/>
                <w:color w:val="000000" w:themeColor="text1"/>
                <w:sz w:val="24"/>
                <w:szCs w:val="24"/>
              </w:rPr>
            </w:pPr>
          </w:p>
          <w:p w:rsidR="00702D7A" w:rsidRPr="00481243" w:rsidRDefault="00702D7A" w:rsidP="00BB50CB">
            <w:pPr>
              <w:spacing w:after="0" w:line="480" w:lineRule="auto"/>
              <w:rPr>
                <w:rFonts w:ascii="Arial" w:hAnsi="Arial"/>
                <w:color w:val="000000" w:themeColor="text1"/>
                <w:sz w:val="24"/>
                <w:szCs w:val="24"/>
              </w:rPr>
            </w:pPr>
            <w:r w:rsidRPr="00481243">
              <w:rPr>
                <w:rFonts w:ascii="Arial" w:hAnsi="Arial"/>
                <w:color w:val="000000" w:themeColor="text1"/>
                <w:sz w:val="24"/>
                <w:szCs w:val="24"/>
              </w:rPr>
              <w:t>Respondent</w:t>
            </w:r>
            <w:r w:rsidR="00FA5050" w:rsidRPr="00481243">
              <w:rPr>
                <w:rFonts w:ascii="Arial" w:hAnsi="Arial"/>
                <w:color w:val="000000" w:themeColor="text1"/>
                <w:sz w:val="24"/>
                <w:szCs w:val="24"/>
              </w:rPr>
              <w:t>s</w:t>
            </w:r>
            <w:r w:rsidRPr="00481243">
              <w:rPr>
                <w:rFonts w:ascii="Arial" w:hAnsi="Arial"/>
                <w:color w:val="000000" w:themeColor="text1"/>
                <w:sz w:val="24"/>
                <w:szCs w:val="24"/>
              </w:rPr>
              <w:t>:</w:t>
            </w:r>
          </w:p>
        </w:tc>
        <w:tc>
          <w:tcPr>
            <w:tcW w:w="4371" w:type="dxa"/>
            <w:shd w:val="clear" w:color="000000" w:fill="FFFFFF"/>
          </w:tcPr>
          <w:p w:rsidR="00702D7A" w:rsidRPr="00481243" w:rsidRDefault="00702D7A" w:rsidP="00BB50CB">
            <w:pPr>
              <w:spacing w:after="0" w:line="480" w:lineRule="auto"/>
              <w:rPr>
                <w:rFonts w:ascii="Arial" w:hAnsi="Arial"/>
                <w:color w:val="000000" w:themeColor="text1"/>
                <w:sz w:val="24"/>
                <w:szCs w:val="24"/>
              </w:rPr>
            </w:pPr>
          </w:p>
          <w:p w:rsidR="00702D7A" w:rsidRPr="00481243" w:rsidRDefault="00702D7A" w:rsidP="00BB50CB">
            <w:pPr>
              <w:spacing w:after="0" w:line="480" w:lineRule="auto"/>
              <w:rPr>
                <w:rFonts w:ascii="Arial" w:hAnsi="Arial"/>
                <w:color w:val="000000" w:themeColor="text1"/>
                <w:sz w:val="24"/>
                <w:szCs w:val="24"/>
              </w:rPr>
            </w:pPr>
            <w:r w:rsidRPr="00481243">
              <w:rPr>
                <w:rFonts w:ascii="Arial" w:hAnsi="Arial"/>
                <w:color w:val="000000" w:themeColor="text1"/>
                <w:sz w:val="24"/>
                <w:szCs w:val="24"/>
              </w:rPr>
              <w:t>S Namandje</w:t>
            </w:r>
          </w:p>
          <w:p w:rsidR="00702D7A" w:rsidRPr="00481243" w:rsidRDefault="00702D7A" w:rsidP="00BB50CB">
            <w:pPr>
              <w:spacing w:after="0" w:line="480" w:lineRule="auto"/>
              <w:rPr>
                <w:rFonts w:ascii="Arial" w:hAnsi="Arial"/>
                <w:color w:val="000000" w:themeColor="text1"/>
                <w:sz w:val="24"/>
                <w:szCs w:val="24"/>
              </w:rPr>
            </w:pPr>
            <w:r w:rsidRPr="00481243">
              <w:rPr>
                <w:rFonts w:ascii="Arial" w:hAnsi="Arial"/>
                <w:color w:val="000000" w:themeColor="text1"/>
                <w:sz w:val="24"/>
                <w:szCs w:val="24"/>
              </w:rPr>
              <w:t xml:space="preserve">of Sisa Namandje Co Inc., </w:t>
            </w:r>
          </w:p>
          <w:p w:rsidR="00702D7A" w:rsidRPr="00481243" w:rsidRDefault="00702D7A" w:rsidP="00BB50CB">
            <w:pPr>
              <w:spacing w:after="0" w:line="480" w:lineRule="auto"/>
              <w:rPr>
                <w:rFonts w:ascii="Arial" w:hAnsi="Arial"/>
                <w:color w:val="000000" w:themeColor="text1"/>
                <w:sz w:val="24"/>
                <w:szCs w:val="24"/>
              </w:rPr>
            </w:pPr>
            <w:r w:rsidRPr="00481243">
              <w:rPr>
                <w:rFonts w:ascii="Arial" w:hAnsi="Arial"/>
                <w:color w:val="000000" w:themeColor="text1"/>
                <w:sz w:val="24"/>
                <w:szCs w:val="24"/>
              </w:rPr>
              <w:t>Windhoek</w:t>
            </w:r>
          </w:p>
        </w:tc>
      </w:tr>
      <w:tr w:rsidR="00481243" w:rsidRPr="00481243" w:rsidTr="00BB50CB">
        <w:trPr>
          <w:trHeight w:val="328"/>
        </w:trPr>
        <w:tc>
          <w:tcPr>
            <w:tcW w:w="4701" w:type="dxa"/>
            <w:shd w:val="clear" w:color="000000" w:fill="FFFFFF"/>
          </w:tcPr>
          <w:p w:rsidR="00702D7A" w:rsidRPr="00481243" w:rsidRDefault="00702D7A" w:rsidP="00BB50CB">
            <w:pPr>
              <w:spacing w:after="0" w:line="480" w:lineRule="auto"/>
              <w:rPr>
                <w:rFonts w:ascii="Arial" w:hAnsi="Arial"/>
                <w:color w:val="000000" w:themeColor="text1"/>
                <w:sz w:val="24"/>
                <w:szCs w:val="24"/>
              </w:rPr>
            </w:pPr>
          </w:p>
        </w:tc>
        <w:tc>
          <w:tcPr>
            <w:tcW w:w="4371" w:type="dxa"/>
            <w:shd w:val="clear" w:color="000000" w:fill="FFFFFF"/>
          </w:tcPr>
          <w:p w:rsidR="00702D7A" w:rsidRPr="00481243" w:rsidRDefault="00702D7A" w:rsidP="00BB50CB">
            <w:pPr>
              <w:spacing w:after="0" w:line="480" w:lineRule="auto"/>
              <w:rPr>
                <w:rFonts w:ascii="Arial" w:hAnsi="Arial"/>
                <w:color w:val="000000" w:themeColor="text1"/>
                <w:sz w:val="24"/>
                <w:szCs w:val="24"/>
              </w:rPr>
            </w:pPr>
          </w:p>
        </w:tc>
      </w:tr>
    </w:tbl>
    <w:p w:rsidR="00702D7A" w:rsidRPr="00481243" w:rsidRDefault="00702D7A" w:rsidP="00702D7A">
      <w:pPr>
        <w:spacing w:after="0" w:line="480" w:lineRule="auto"/>
        <w:jc w:val="both"/>
        <w:rPr>
          <w:rFonts w:ascii="Arial" w:hAnsi="Arial"/>
          <w:color w:val="000000" w:themeColor="text1"/>
        </w:rPr>
      </w:pPr>
    </w:p>
    <w:p w:rsidR="00702D7A" w:rsidRPr="00481243" w:rsidRDefault="00702D7A" w:rsidP="00702D7A">
      <w:pPr>
        <w:pStyle w:val="ListParagraph"/>
        <w:tabs>
          <w:tab w:val="left" w:pos="851"/>
        </w:tabs>
        <w:spacing w:after="0" w:line="480" w:lineRule="auto"/>
        <w:ind w:left="0"/>
        <w:jc w:val="both"/>
        <w:rPr>
          <w:rFonts w:ascii="Arial" w:hAnsi="Arial"/>
          <w:color w:val="000000" w:themeColor="text1"/>
        </w:rPr>
      </w:pPr>
    </w:p>
    <w:p w:rsidR="00C05B33" w:rsidRPr="00481243" w:rsidRDefault="00C05B33" w:rsidP="00702D7A">
      <w:pPr>
        <w:rPr>
          <w:rFonts w:ascii="Arial" w:hAnsi="Arial" w:cs="Arial"/>
          <w:color w:val="000000" w:themeColor="text1"/>
          <w:sz w:val="24"/>
          <w:szCs w:val="24"/>
        </w:rPr>
      </w:pPr>
    </w:p>
    <w:sectPr w:rsidR="00C05B33" w:rsidRPr="00481243" w:rsidSect="00041C7A">
      <w:headerReference w:type="default" r:id="rId9"/>
      <w:pgSz w:w="11907" w:h="16839"/>
      <w:pgMar w:top="1701" w:right="1418"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B20" w:rsidRDefault="00F20B20" w:rsidP="00F74879">
      <w:pPr>
        <w:spacing w:after="0" w:line="240" w:lineRule="auto"/>
      </w:pPr>
      <w:r>
        <w:separator/>
      </w:r>
    </w:p>
  </w:endnote>
  <w:endnote w:type="continuationSeparator" w:id="0">
    <w:p w:rsidR="00F20B20" w:rsidRDefault="00F20B20" w:rsidP="00F7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B20" w:rsidRDefault="00F20B20" w:rsidP="00F74879">
      <w:pPr>
        <w:spacing w:after="0" w:line="240" w:lineRule="auto"/>
      </w:pPr>
      <w:r>
        <w:separator/>
      </w:r>
    </w:p>
  </w:footnote>
  <w:footnote w:type="continuationSeparator" w:id="0">
    <w:p w:rsidR="00F20B20" w:rsidRDefault="00F20B20" w:rsidP="00F74879">
      <w:pPr>
        <w:spacing w:after="0" w:line="240" w:lineRule="auto"/>
      </w:pPr>
      <w:r>
        <w:continuationSeparator/>
      </w:r>
    </w:p>
  </w:footnote>
  <w:footnote w:id="1">
    <w:p w:rsidR="00702D7A" w:rsidRPr="00271D28" w:rsidRDefault="00702D7A" w:rsidP="00702D7A">
      <w:pPr>
        <w:pStyle w:val="FootnoteText"/>
        <w:jc w:val="both"/>
        <w:rPr>
          <w:rFonts w:ascii="Arial" w:hAnsi="Arial" w:cs="Arial"/>
          <w:lang w:val="en-ZA"/>
        </w:rPr>
      </w:pPr>
      <w:r w:rsidRPr="00271D28">
        <w:rPr>
          <w:rStyle w:val="FootnoteReference"/>
          <w:rFonts w:ascii="Arial" w:hAnsi="Arial" w:cs="Arial"/>
        </w:rPr>
        <w:footnoteRef/>
      </w:r>
      <w:r w:rsidRPr="00271D28">
        <w:rPr>
          <w:rFonts w:ascii="Arial" w:hAnsi="Arial" w:cs="Arial"/>
        </w:rPr>
        <w:t>‘Every application must be brought on notice of motion supported by affidavit as to the facts on which the applicant relies for relief and every application initiating new proceedings, not forming part of an existing cause or matter, commences with the issue of the notice of motion signed by the registrar, date stamped with the official stamp and uniquely numbered for identification purposes.’</w:t>
      </w:r>
    </w:p>
  </w:footnote>
  <w:footnote w:id="2">
    <w:p w:rsidR="00702D7A" w:rsidRPr="00424549" w:rsidRDefault="00702D7A" w:rsidP="00702D7A">
      <w:pPr>
        <w:pStyle w:val="FootnoteText"/>
        <w:jc w:val="both"/>
        <w:rPr>
          <w:rFonts w:ascii="Arial" w:hAnsi="Arial" w:cs="Arial"/>
          <w:lang w:val="en-ZA"/>
        </w:rPr>
      </w:pPr>
      <w:r w:rsidRPr="00424549">
        <w:rPr>
          <w:rStyle w:val="FootnoteReference"/>
          <w:rFonts w:ascii="Arial" w:hAnsi="Arial" w:cs="Arial"/>
        </w:rPr>
        <w:footnoteRef/>
      </w:r>
      <w:r w:rsidRPr="00424549">
        <w:rPr>
          <w:rFonts w:ascii="Arial" w:hAnsi="Arial" w:cs="Arial"/>
        </w:rPr>
        <w:t xml:space="preserve"> </w:t>
      </w:r>
      <w:r>
        <w:rPr>
          <w:rFonts w:ascii="Arial" w:hAnsi="Arial" w:cs="Arial"/>
        </w:rPr>
        <w:t>Prevention of Organised Crime Regulations: Prevention of Organised Crime Act, 2004</w:t>
      </w:r>
      <w:r w:rsidRPr="00424549">
        <w:rPr>
          <w:rFonts w:ascii="Arial" w:hAnsi="Arial" w:cs="Arial"/>
        </w:rPr>
        <w:t>, GN 78, GG 4254, 5 May 2009.</w:t>
      </w:r>
    </w:p>
  </w:footnote>
  <w:footnote w:id="3">
    <w:p w:rsidR="00702D7A" w:rsidRPr="00C8791A" w:rsidRDefault="00702D7A" w:rsidP="00702D7A">
      <w:pPr>
        <w:shd w:val="clear" w:color="auto" w:fill="FFFFFF"/>
        <w:spacing w:after="0" w:line="240" w:lineRule="auto"/>
        <w:jc w:val="both"/>
        <w:rPr>
          <w:rFonts w:ascii="Arial" w:eastAsia="Times New Roman" w:hAnsi="Arial" w:cs="Arial"/>
          <w:color w:val="222222"/>
          <w:sz w:val="20"/>
          <w:szCs w:val="20"/>
          <w:lang w:val="en-ZA" w:eastAsia="en-ZA"/>
        </w:rPr>
      </w:pPr>
      <w:r w:rsidRPr="00D11346">
        <w:rPr>
          <w:rStyle w:val="FootnoteReference"/>
          <w:rFonts w:ascii="Arial" w:hAnsi="Arial" w:cs="Arial"/>
          <w:sz w:val="20"/>
          <w:szCs w:val="20"/>
        </w:rPr>
        <w:footnoteRef/>
      </w:r>
      <w:r w:rsidRPr="00D11346">
        <w:rPr>
          <w:rFonts w:ascii="Arial" w:hAnsi="Arial" w:cs="Arial"/>
          <w:sz w:val="20"/>
          <w:szCs w:val="20"/>
        </w:rPr>
        <w:t xml:space="preserve"> </w:t>
      </w:r>
      <w:r w:rsidRPr="00D11346">
        <w:rPr>
          <w:rFonts w:ascii="Arial" w:eastAsia="Times New Roman" w:hAnsi="Arial" w:cs="Arial"/>
          <w:i/>
          <w:color w:val="222222"/>
          <w:sz w:val="20"/>
          <w:szCs w:val="20"/>
          <w:lang w:val="en-ZA" w:eastAsia="en-ZA"/>
        </w:rPr>
        <w:t>Mentoor v Usebiu</w:t>
      </w:r>
      <w:r w:rsidRPr="00D11346">
        <w:rPr>
          <w:rFonts w:ascii="Arial" w:eastAsia="Times New Roman" w:hAnsi="Arial" w:cs="Arial"/>
          <w:color w:val="222222"/>
          <w:sz w:val="20"/>
          <w:szCs w:val="20"/>
          <w:lang w:val="en-ZA" w:eastAsia="en-ZA"/>
        </w:rPr>
        <w:t xml:space="preserve"> (SA 24/2015) [2017] NASC 12 (19 April 2017).</w:t>
      </w:r>
    </w:p>
  </w:footnote>
  <w:footnote w:id="4">
    <w:p w:rsidR="00702D7A" w:rsidRPr="00475B40" w:rsidRDefault="00702D7A" w:rsidP="00702D7A">
      <w:pPr>
        <w:pStyle w:val="FootnoteText"/>
        <w:jc w:val="both"/>
        <w:rPr>
          <w:rFonts w:ascii="Arial" w:hAnsi="Arial" w:cs="Arial"/>
          <w:lang w:val="en-ZA"/>
        </w:rPr>
      </w:pPr>
      <w:r w:rsidRPr="00475B40">
        <w:rPr>
          <w:rStyle w:val="FootnoteReference"/>
          <w:rFonts w:ascii="Arial" w:hAnsi="Arial" w:cs="Arial"/>
        </w:rPr>
        <w:footnoteRef/>
      </w:r>
      <w:r w:rsidRPr="00475B40">
        <w:rPr>
          <w:rFonts w:ascii="Arial" w:hAnsi="Arial" w:cs="Arial"/>
        </w:rPr>
        <w:t xml:space="preserve"> </w:t>
      </w:r>
      <w:r w:rsidRPr="00475B40">
        <w:rPr>
          <w:rFonts w:ascii="Arial" w:eastAsia="Times New Roman" w:hAnsi="Arial" w:cs="Arial"/>
          <w:i/>
          <w:color w:val="222222"/>
          <w:lang w:val="en-ZA" w:eastAsia="en-ZA"/>
        </w:rPr>
        <w:t>Felisberto v Meyer</w:t>
      </w:r>
      <w:r>
        <w:rPr>
          <w:rFonts w:ascii="Arial" w:eastAsia="Times New Roman" w:hAnsi="Arial" w:cs="Arial"/>
          <w:color w:val="222222"/>
          <w:lang w:val="en-ZA" w:eastAsia="en-ZA"/>
        </w:rPr>
        <w:t xml:space="preserve"> (SA 33/2014) [2017] NASC 11 (12 April 2017).</w:t>
      </w:r>
    </w:p>
  </w:footnote>
  <w:footnote w:id="5">
    <w:p w:rsidR="00702D7A" w:rsidRPr="0003606E" w:rsidRDefault="00702D7A" w:rsidP="00702D7A">
      <w:pPr>
        <w:pStyle w:val="FootnoteText"/>
        <w:jc w:val="both"/>
        <w:rPr>
          <w:rFonts w:ascii="Arial" w:hAnsi="Arial" w:cs="Arial"/>
          <w:lang w:val="en-ZA"/>
        </w:rPr>
      </w:pPr>
      <w:r w:rsidRPr="0003606E">
        <w:rPr>
          <w:rStyle w:val="FootnoteReference"/>
          <w:rFonts w:ascii="Arial" w:hAnsi="Arial" w:cs="Arial"/>
        </w:rPr>
        <w:footnoteRef/>
      </w:r>
      <w:r w:rsidRPr="0003606E">
        <w:rPr>
          <w:rFonts w:ascii="Arial" w:hAnsi="Arial" w:cs="Arial"/>
        </w:rPr>
        <w:t xml:space="preserve"> </w:t>
      </w:r>
      <w:r>
        <w:rPr>
          <w:rFonts w:ascii="Arial" w:hAnsi="Arial" w:cs="Arial"/>
        </w:rPr>
        <w:t xml:space="preserve">See </w:t>
      </w:r>
      <w:r w:rsidRPr="0003606E">
        <w:rPr>
          <w:rFonts w:ascii="Arial" w:eastAsia="Times New Roman" w:hAnsi="Arial" w:cs="Arial"/>
          <w:i/>
          <w:color w:val="222222"/>
          <w:lang w:val="en-ZA" w:eastAsia="en-ZA"/>
        </w:rPr>
        <w:t>Felisberto</w:t>
      </w:r>
      <w:r>
        <w:rPr>
          <w:rFonts w:ascii="Arial" w:eastAsia="Times New Roman" w:hAnsi="Arial" w:cs="Arial"/>
          <w:i/>
          <w:color w:val="222222"/>
          <w:lang w:val="en-ZA" w:eastAsia="en-ZA"/>
        </w:rPr>
        <w:t xml:space="preserve"> v Meyer; Naka</w:t>
      </w:r>
      <w:r w:rsidRPr="0003606E">
        <w:rPr>
          <w:rFonts w:ascii="Arial" w:eastAsia="Times New Roman" w:hAnsi="Arial" w:cs="Arial"/>
          <w:i/>
          <w:color w:val="222222"/>
          <w:lang w:val="en-ZA" w:eastAsia="en-ZA"/>
        </w:rPr>
        <w:t>le v S</w:t>
      </w:r>
      <w:r>
        <w:rPr>
          <w:rFonts w:ascii="Arial" w:eastAsia="Times New Roman" w:hAnsi="Arial" w:cs="Arial"/>
          <w:i/>
          <w:color w:val="222222"/>
          <w:lang w:val="en-ZA" w:eastAsia="en-ZA"/>
        </w:rPr>
        <w:t xml:space="preserve"> </w:t>
      </w:r>
      <w:r>
        <w:rPr>
          <w:rFonts w:ascii="Arial" w:eastAsia="Times New Roman" w:hAnsi="Arial" w:cs="Arial"/>
          <w:color w:val="222222"/>
          <w:lang w:val="en-ZA" w:eastAsia="en-ZA"/>
        </w:rPr>
        <w:t>(SA 04/2010) [2011] NASC 2 (20 April 2011)</w:t>
      </w:r>
      <w:r>
        <w:rPr>
          <w:rFonts w:ascii="Arial" w:eastAsia="Times New Roman" w:hAnsi="Arial" w:cs="Arial"/>
          <w:i/>
          <w:color w:val="222222"/>
          <w:lang w:val="en-ZA" w:eastAsia="en-ZA"/>
        </w:rPr>
        <w:t>; Telecom v Nangolo &amp; o</w:t>
      </w:r>
      <w:r w:rsidRPr="0003606E">
        <w:rPr>
          <w:rFonts w:ascii="Arial" w:eastAsia="Times New Roman" w:hAnsi="Arial" w:cs="Arial"/>
          <w:i/>
          <w:color w:val="222222"/>
          <w:lang w:val="en-ZA" w:eastAsia="en-ZA"/>
        </w:rPr>
        <w:t>thers</w:t>
      </w:r>
      <w:r>
        <w:rPr>
          <w:rFonts w:ascii="Arial" w:eastAsia="Times New Roman" w:hAnsi="Arial" w:cs="Arial"/>
          <w:i/>
          <w:color w:val="222222"/>
          <w:lang w:val="en-ZA" w:eastAsia="en-ZA"/>
        </w:rPr>
        <w:t xml:space="preserve"> </w:t>
      </w:r>
      <w:r w:rsidR="00FD3D36">
        <w:rPr>
          <w:rFonts w:ascii="Arial" w:eastAsia="Times New Roman" w:hAnsi="Arial" w:cs="Arial"/>
          <w:color w:val="222222"/>
          <w:lang w:val="en-ZA" w:eastAsia="en-ZA"/>
        </w:rPr>
        <w:t>2015 (2) NR 510 (SC)</w:t>
      </w:r>
      <w:r w:rsidRPr="0003606E">
        <w:rPr>
          <w:rFonts w:ascii="Arial" w:eastAsia="Times New Roman" w:hAnsi="Arial" w:cs="Arial"/>
          <w:i/>
          <w:color w:val="222222"/>
          <w:lang w:val="en-ZA" w:eastAsia="en-ZA"/>
        </w:rPr>
        <w:t>; Arubertus v S</w:t>
      </w:r>
      <w:r w:rsidRPr="0003606E">
        <w:rPr>
          <w:rFonts w:ascii="Arial" w:eastAsia="Times New Roman" w:hAnsi="Arial" w:cs="Arial"/>
          <w:color w:val="222222"/>
          <w:lang w:val="en-ZA" w:eastAsia="en-ZA"/>
        </w:rPr>
        <w:t xml:space="preserve"> </w:t>
      </w:r>
      <w:r>
        <w:rPr>
          <w:rFonts w:ascii="Arial" w:eastAsia="Times New Roman" w:hAnsi="Arial" w:cs="Arial"/>
          <w:color w:val="222222"/>
          <w:lang w:val="en-ZA" w:eastAsia="en-ZA"/>
        </w:rPr>
        <w:t xml:space="preserve">(SA </w:t>
      </w:r>
      <w:r w:rsidRPr="0003606E">
        <w:rPr>
          <w:rFonts w:ascii="Arial" w:eastAsia="Times New Roman" w:hAnsi="Arial" w:cs="Arial"/>
          <w:color w:val="222222"/>
          <w:lang w:val="en-ZA" w:eastAsia="en-ZA"/>
        </w:rPr>
        <w:t>15/2009</w:t>
      </w:r>
      <w:r>
        <w:rPr>
          <w:rFonts w:ascii="Arial" w:eastAsia="Times New Roman" w:hAnsi="Arial" w:cs="Arial"/>
          <w:color w:val="222222"/>
          <w:lang w:val="en-ZA" w:eastAsia="en-ZA"/>
        </w:rPr>
        <w:t>) [2010] NASC 17 (1 December 2010)</w:t>
      </w:r>
      <w:r w:rsidRPr="0003606E">
        <w:rPr>
          <w:rFonts w:ascii="Arial" w:eastAsia="Times New Roman" w:hAnsi="Arial" w:cs="Arial"/>
          <w:color w:val="222222"/>
          <w:lang w:val="en-ZA" w:eastAsia="en-ZA"/>
        </w:rPr>
        <w:t>.</w:t>
      </w:r>
    </w:p>
  </w:footnote>
  <w:footnote w:id="6">
    <w:p w:rsidR="00702D7A" w:rsidRPr="0003606E" w:rsidRDefault="00702D7A" w:rsidP="00702D7A">
      <w:pPr>
        <w:shd w:val="clear" w:color="auto" w:fill="FFFFFF"/>
        <w:spacing w:after="0" w:line="240" w:lineRule="auto"/>
        <w:jc w:val="both"/>
        <w:rPr>
          <w:rFonts w:ascii="Arial" w:eastAsia="Times New Roman" w:hAnsi="Arial" w:cs="Arial"/>
          <w:color w:val="222222"/>
          <w:sz w:val="20"/>
          <w:szCs w:val="20"/>
          <w:lang w:val="en-ZA" w:eastAsia="en-ZA"/>
        </w:rPr>
      </w:pPr>
      <w:r w:rsidRPr="0003606E">
        <w:rPr>
          <w:rStyle w:val="FootnoteReference"/>
          <w:rFonts w:ascii="Arial" w:hAnsi="Arial" w:cs="Arial"/>
          <w:sz w:val="20"/>
          <w:szCs w:val="20"/>
        </w:rPr>
        <w:footnoteRef/>
      </w:r>
      <w:r w:rsidRPr="0003606E">
        <w:rPr>
          <w:rFonts w:ascii="Arial" w:hAnsi="Arial" w:cs="Arial"/>
          <w:sz w:val="20"/>
          <w:szCs w:val="20"/>
        </w:rPr>
        <w:t xml:space="preserve"> </w:t>
      </w:r>
      <w:r w:rsidRPr="0003606E">
        <w:rPr>
          <w:rFonts w:ascii="Arial" w:hAnsi="Arial" w:cs="Arial"/>
          <w:sz w:val="20"/>
          <w:szCs w:val="20"/>
          <w:lang w:val="en-ZA"/>
        </w:rPr>
        <w:t>S</w:t>
      </w:r>
      <w:r w:rsidRPr="0003606E">
        <w:rPr>
          <w:rFonts w:ascii="Arial" w:eastAsia="Times New Roman" w:hAnsi="Arial" w:cs="Arial"/>
          <w:color w:val="222222"/>
          <w:sz w:val="20"/>
          <w:szCs w:val="20"/>
          <w:lang w:val="en-ZA" w:eastAsia="en-ZA"/>
        </w:rPr>
        <w:t xml:space="preserve">ee also </w:t>
      </w:r>
      <w:r w:rsidRPr="0003606E">
        <w:rPr>
          <w:rFonts w:ascii="Arial" w:eastAsia="Times New Roman" w:hAnsi="Arial" w:cs="Arial"/>
          <w:i/>
          <w:color w:val="222222"/>
          <w:sz w:val="20"/>
          <w:szCs w:val="20"/>
          <w:lang w:val="en-ZA" w:eastAsia="en-ZA"/>
        </w:rPr>
        <w:t>Felisberto</w:t>
      </w:r>
      <w:r>
        <w:rPr>
          <w:rFonts w:ascii="Arial" w:eastAsia="Times New Roman" w:hAnsi="Arial" w:cs="Arial"/>
          <w:i/>
          <w:color w:val="222222"/>
          <w:sz w:val="20"/>
          <w:szCs w:val="20"/>
          <w:lang w:val="en-ZA" w:eastAsia="en-ZA"/>
        </w:rPr>
        <w:t xml:space="preserve"> v Meyer</w:t>
      </w:r>
      <w:r w:rsidRPr="0003606E">
        <w:rPr>
          <w:rFonts w:ascii="Arial" w:eastAsia="Times New Roman" w:hAnsi="Arial" w:cs="Arial"/>
          <w:i/>
          <w:color w:val="222222"/>
          <w:sz w:val="20"/>
          <w:szCs w:val="20"/>
          <w:lang w:val="en-ZA" w:eastAsia="en-ZA"/>
        </w:rPr>
        <w:t>; Nakale v S; Arubertus v S</w:t>
      </w:r>
      <w:r w:rsidRPr="0003606E">
        <w:rPr>
          <w:rFonts w:ascii="Arial" w:eastAsia="Times New Roman" w:hAnsi="Arial" w:cs="Arial"/>
          <w:color w:val="222222"/>
          <w:sz w:val="20"/>
          <w:szCs w:val="20"/>
          <w:lang w:val="en-ZA" w:eastAsia="en-ZA"/>
        </w:rPr>
        <w:t>.</w:t>
      </w:r>
    </w:p>
  </w:footnote>
  <w:footnote w:id="7">
    <w:p w:rsidR="00702D7A" w:rsidRPr="0003606E" w:rsidRDefault="00702D7A" w:rsidP="00702D7A">
      <w:pPr>
        <w:pStyle w:val="FootnoteText"/>
        <w:jc w:val="both"/>
        <w:rPr>
          <w:rFonts w:ascii="Arial" w:hAnsi="Arial" w:cs="Arial"/>
          <w:lang w:val="en-ZA"/>
        </w:rPr>
      </w:pPr>
      <w:r w:rsidRPr="0003606E">
        <w:rPr>
          <w:rStyle w:val="FootnoteReference"/>
          <w:rFonts w:ascii="Arial" w:hAnsi="Arial" w:cs="Arial"/>
        </w:rPr>
        <w:footnoteRef/>
      </w:r>
      <w:r w:rsidRPr="0003606E">
        <w:rPr>
          <w:rFonts w:ascii="Arial" w:hAnsi="Arial" w:cs="Arial"/>
        </w:rPr>
        <w:t xml:space="preserve"> (</w:t>
      </w:r>
      <w:r>
        <w:rPr>
          <w:rFonts w:ascii="Arial" w:eastAsia="Times New Roman" w:hAnsi="Arial" w:cs="Arial"/>
          <w:color w:val="222222"/>
          <w:lang w:val="en-ZA" w:eastAsia="en-ZA"/>
        </w:rPr>
        <w:t xml:space="preserve">CA 03/2015) [2017] NAHCNLD </w:t>
      </w:r>
      <w:r w:rsidRPr="0003606E">
        <w:rPr>
          <w:rFonts w:ascii="Arial" w:eastAsia="Times New Roman" w:hAnsi="Arial" w:cs="Arial"/>
          <w:color w:val="222222"/>
          <w:lang w:val="en-ZA" w:eastAsia="en-ZA"/>
        </w:rPr>
        <w:t>2 (30 January 2017).</w:t>
      </w:r>
    </w:p>
  </w:footnote>
  <w:footnote w:id="8">
    <w:p w:rsidR="00702D7A" w:rsidRPr="0003606E" w:rsidRDefault="00702D7A" w:rsidP="00702D7A">
      <w:pPr>
        <w:pStyle w:val="FootnoteText"/>
        <w:jc w:val="both"/>
        <w:rPr>
          <w:rFonts w:ascii="Arial" w:hAnsi="Arial" w:cs="Arial"/>
          <w:lang w:val="en-ZA"/>
        </w:rPr>
      </w:pPr>
      <w:r w:rsidRPr="0003606E">
        <w:rPr>
          <w:rStyle w:val="FootnoteReference"/>
          <w:rFonts w:ascii="Arial" w:hAnsi="Arial" w:cs="Arial"/>
        </w:rPr>
        <w:footnoteRef/>
      </w:r>
      <w:r w:rsidRPr="0003606E">
        <w:rPr>
          <w:rFonts w:ascii="Arial" w:hAnsi="Arial" w:cs="Arial"/>
        </w:rPr>
        <w:t xml:space="preserve"> </w:t>
      </w:r>
      <w:r w:rsidRPr="0003606E">
        <w:rPr>
          <w:rFonts w:ascii="Arial" w:eastAsia="Times New Roman" w:hAnsi="Arial" w:cs="Arial"/>
          <w:color w:val="222222"/>
          <w:lang w:val="en-ZA" w:eastAsia="en-ZA"/>
        </w:rPr>
        <w:t xml:space="preserve">See </w:t>
      </w:r>
      <w:r w:rsidRPr="0003606E">
        <w:rPr>
          <w:rFonts w:ascii="Arial" w:eastAsia="Times New Roman" w:hAnsi="Arial" w:cs="Arial"/>
          <w:i/>
          <w:color w:val="222222"/>
          <w:lang w:val="en-ZA" w:eastAsia="en-ZA"/>
        </w:rPr>
        <w:t>Felisberto</w:t>
      </w:r>
      <w:r>
        <w:rPr>
          <w:rFonts w:ascii="Arial" w:eastAsia="Times New Roman" w:hAnsi="Arial" w:cs="Arial"/>
          <w:i/>
          <w:color w:val="222222"/>
          <w:lang w:val="en-ZA" w:eastAsia="en-ZA"/>
        </w:rPr>
        <w:t xml:space="preserve"> v Meyer</w:t>
      </w:r>
      <w:r w:rsidRPr="0003606E">
        <w:rPr>
          <w:rFonts w:ascii="Arial" w:eastAsia="Times New Roman" w:hAnsi="Arial" w:cs="Arial"/>
          <w:i/>
          <w:color w:val="222222"/>
          <w:lang w:val="en-ZA" w:eastAsia="en-ZA"/>
        </w:rPr>
        <w:t xml:space="preserve">; Mthembu </w:t>
      </w:r>
      <w:r>
        <w:rPr>
          <w:rFonts w:ascii="Arial" w:eastAsia="Times New Roman" w:hAnsi="Arial" w:cs="Arial"/>
          <w:i/>
          <w:color w:val="222222"/>
          <w:lang w:val="en-ZA" w:eastAsia="en-ZA"/>
        </w:rPr>
        <w:t>&amp; o</w:t>
      </w:r>
      <w:r w:rsidRPr="0003606E">
        <w:rPr>
          <w:rFonts w:ascii="Arial" w:eastAsia="Times New Roman" w:hAnsi="Arial" w:cs="Arial"/>
          <w:i/>
          <w:color w:val="222222"/>
          <w:lang w:val="en-ZA" w:eastAsia="en-ZA"/>
        </w:rPr>
        <w:t>t</w:t>
      </w:r>
      <w:r>
        <w:rPr>
          <w:rFonts w:ascii="Arial" w:eastAsia="Times New Roman" w:hAnsi="Arial" w:cs="Arial"/>
          <w:i/>
          <w:color w:val="222222"/>
          <w:lang w:val="en-ZA" w:eastAsia="en-ZA"/>
        </w:rPr>
        <w:t>hers v Minister of Housing &amp; a</w:t>
      </w:r>
      <w:r w:rsidRPr="0003606E">
        <w:rPr>
          <w:rFonts w:ascii="Arial" w:eastAsia="Times New Roman" w:hAnsi="Arial" w:cs="Arial"/>
          <w:i/>
          <w:color w:val="222222"/>
          <w:lang w:val="en-ZA" w:eastAsia="en-ZA"/>
        </w:rPr>
        <w:t>nother</w:t>
      </w:r>
      <w:r w:rsidRPr="0003606E">
        <w:rPr>
          <w:rFonts w:ascii="Arial" w:eastAsia="Times New Roman" w:hAnsi="Arial" w:cs="Arial"/>
          <w:color w:val="222222"/>
          <w:lang w:val="en-ZA" w:eastAsia="en-ZA"/>
        </w:rPr>
        <w:t xml:space="preserve"> (94/2017) [2018] SZSC 15 (30 May 2018); </w:t>
      </w:r>
      <w:r>
        <w:rPr>
          <w:rFonts w:ascii="Arial" w:eastAsia="Times New Roman" w:hAnsi="Arial" w:cs="Arial"/>
          <w:i/>
          <w:color w:val="222222"/>
          <w:lang w:val="en-ZA" w:eastAsia="en-ZA"/>
        </w:rPr>
        <w:t>Mavimbela &amp; o</w:t>
      </w:r>
      <w:r w:rsidRPr="0003606E">
        <w:rPr>
          <w:rFonts w:ascii="Arial" w:eastAsia="Times New Roman" w:hAnsi="Arial" w:cs="Arial"/>
          <w:i/>
          <w:color w:val="222222"/>
          <w:lang w:val="en-ZA" w:eastAsia="en-ZA"/>
        </w:rPr>
        <w:t>thers v Mavimbela</w:t>
      </w:r>
      <w:r w:rsidRPr="0003606E">
        <w:rPr>
          <w:rFonts w:ascii="Arial" w:eastAsia="Times New Roman" w:hAnsi="Arial" w:cs="Arial"/>
          <w:color w:val="222222"/>
          <w:lang w:val="en-ZA" w:eastAsia="en-ZA"/>
        </w:rPr>
        <w:t xml:space="preserve"> (39/2018) [2019] SZSC 51 (26 November 2019).</w:t>
      </w:r>
    </w:p>
  </w:footnote>
  <w:footnote w:id="9">
    <w:p w:rsidR="00702D7A" w:rsidRPr="0003606E" w:rsidRDefault="00702D7A" w:rsidP="00702D7A">
      <w:pPr>
        <w:pStyle w:val="FootnoteText"/>
        <w:jc w:val="both"/>
        <w:rPr>
          <w:rFonts w:ascii="Arial" w:hAnsi="Arial" w:cs="Arial"/>
          <w:lang w:val="en-ZA"/>
        </w:rPr>
      </w:pPr>
      <w:r w:rsidRPr="0003606E">
        <w:rPr>
          <w:rStyle w:val="FootnoteReference"/>
          <w:rFonts w:ascii="Arial" w:hAnsi="Arial" w:cs="Arial"/>
        </w:rPr>
        <w:footnoteRef/>
      </w:r>
      <w:r w:rsidRPr="0003606E">
        <w:rPr>
          <w:rFonts w:ascii="Arial" w:hAnsi="Arial" w:cs="Arial"/>
        </w:rPr>
        <w:t xml:space="preserve"> </w:t>
      </w:r>
      <w:r w:rsidRPr="0003606E">
        <w:rPr>
          <w:rFonts w:ascii="Arial" w:eastAsia="Times New Roman" w:hAnsi="Arial" w:cs="Arial"/>
          <w:color w:val="222222"/>
          <w:lang w:val="en-ZA" w:eastAsia="en-ZA"/>
        </w:rPr>
        <w:t xml:space="preserve">(SA 4/2017) [2018] NASC </w:t>
      </w:r>
      <w:r>
        <w:rPr>
          <w:rFonts w:ascii="Arial" w:eastAsia="Times New Roman" w:hAnsi="Arial" w:cs="Arial"/>
          <w:color w:val="222222"/>
          <w:lang w:val="en-ZA" w:eastAsia="en-ZA"/>
        </w:rPr>
        <w:t xml:space="preserve">413 </w:t>
      </w:r>
      <w:r w:rsidRPr="0003606E">
        <w:rPr>
          <w:rFonts w:ascii="Arial" w:eastAsia="Times New Roman" w:hAnsi="Arial" w:cs="Arial"/>
          <w:color w:val="222222"/>
          <w:lang w:val="en-ZA" w:eastAsia="en-ZA"/>
        </w:rPr>
        <w:t>(6 December 2018).</w:t>
      </w:r>
    </w:p>
  </w:footnote>
  <w:footnote w:id="10">
    <w:p w:rsidR="00702D7A" w:rsidRPr="0003606E" w:rsidRDefault="00702D7A" w:rsidP="00702D7A">
      <w:pPr>
        <w:pStyle w:val="FootnoteText"/>
        <w:jc w:val="both"/>
        <w:rPr>
          <w:rFonts w:ascii="Arial" w:hAnsi="Arial" w:cs="Arial"/>
          <w:lang w:val="en-ZA"/>
        </w:rPr>
      </w:pPr>
      <w:r w:rsidRPr="0003606E">
        <w:rPr>
          <w:rStyle w:val="FootnoteReference"/>
          <w:rFonts w:ascii="Arial" w:hAnsi="Arial" w:cs="Arial"/>
        </w:rPr>
        <w:footnoteRef/>
      </w:r>
      <w:r w:rsidRPr="0003606E">
        <w:rPr>
          <w:rFonts w:ascii="Arial" w:hAnsi="Arial" w:cs="Arial"/>
        </w:rPr>
        <w:t xml:space="preserve"> See </w:t>
      </w:r>
      <w:r>
        <w:rPr>
          <w:rFonts w:ascii="Arial" w:eastAsia="Times New Roman" w:hAnsi="Arial" w:cs="Arial"/>
          <w:i/>
          <w:color w:val="222222"/>
          <w:lang w:val="en-ZA" w:eastAsia="en-ZA"/>
        </w:rPr>
        <w:t>Felisberto v Meyer</w:t>
      </w:r>
      <w:r w:rsidRPr="0003606E">
        <w:rPr>
          <w:rFonts w:ascii="Arial" w:eastAsia="Times New Roman" w:hAnsi="Arial" w:cs="Arial"/>
          <w:color w:val="222222"/>
          <w:lang w:val="en-ZA" w:eastAsia="en-ZA"/>
        </w:rPr>
        <w:t>.</w:t>
      </w:r>
    </w:p>
  </w:footnote>
  <w:footnote w:id="11">
    <w:p w:rsidR="00702D7A" w:rsidRPr="0003606E" w:rsidRDefault="00702D7A" w:rsidP="00702D7A">
      <w:pPr>
        <w:pStyle w:val="FootnoteText"/>
        <w:jc w:val="both"/>
        <w:rPr>
          <w:rFonts w:ascii="Arial" w:hAnsi="Arial" w:cs="Arial"/>
          <w:lang w:val="en-ZA"/>
        </w:rPr>
      </w:pPr>
      <w:r w:rsidRPr="0003606E">
        <w:rPr>
          <w:rStyle w:val="FootnoteReference"/>
          <w:rFonts w:ascii="Arial" w:hAnsi="Arial" w:cs="Arial"/>
        </w:rPr>
        <w:footnoteRef/>
      </w:r>
      <w:r w:rsidRPr="0003606E">
        <w:rPr>
          <w:rFonts w:ascii="Arial" w:hAnsi="Arial" w:cs="Arial"/>
        </w:rPr>
        <w:t xml:space="preserve"> </w:t>
      </w:r>
      <w:r w:rsidR="006A3321">
        <w:rPr>
          <w:rFonts w:ascii="Arial" w:eastAsia="Times New Roman" w:hAnsi="Arial" w:cs="Arial"/>
          <w:color w:val="222222"/>
          <w:lang w:val="en-ZA" w:eastAsia="en-ZA"/>
        </w:rPr>
        <w:t>Rule 17(1)</w:t>
      </w:r>
      <w:r w:rsidRPr="0003606E">
        <w:rPr>
          <w:rFonts w:ascii="Arial" w:eastAsia="Times New Roman" w:hAnsi="Arial" w:cs="Arial"/>
          <w:color w:val="222222"/>
          <w:lang w:val="en-ZA" w:eastAsia="en-ZA"/>
        </w:rPr>
        <w:t xml:space="preserve"> of the Supreme Court</w:t>
      </w:r>
      <w:r>
        <w:rPr>
          <w:rFonts w:ascii="Arial" w:eastAsia="Times New Roman" w:hAnsi="Arial" w:cs="Arial"/>
          <w:color w:val="222222"/>
          <w:lang w:val="en-ZA" w:eastAsia="en-ZA"/>
        </w:rPr>
        <w:t xml:space="preserve"> R</w:t>
      </w:r>
      <w:r w:rsidRPr="0003606E">
        <w:rPr>
          <w:rFonts w:ascii="Arial" w:eastAsia="Times New Roman" w:hAnsi="Arial" w:cs="Arial"/>
          <w:color w:val="222222"/>
          <w:lang w:val="en-ZA" w:eastAsia="en-ZA"/>
        </w:rPr>
        <w:t>ules.</w:t>
      </w:r>
    </w:p>
  </w:footnote>
  <w:footnote w:id="12">
    <w:p w:rsidR="00702D7A" w:rsidRPr="00B01A25" w:rsidRDefault="00702D7A" w:rsidP="00702D7A">
      <w:pPr>
        <w:pStyle w:val="FootnoteText"/>
        <w:jc w:val="both"/>
        <w:rPr>
          <w:lang w:val="en-ZA"/>
        </w:rPr>
      </w:pPr>
      <w:r w:rsidRPr="0003606E">
        <w:rPr>
          <w:rStyle w:val="FootnoteReference"/>
          <w:rFonts w:ascii="Arial" w:hAnsi="Arial" w:cs="Arial"/>
        </w:rPr>
        <w:footnoteRef/>
      </w:r>
      <w:r w:rsidRPr="0003606E">
        <w:rPr>
          <w:rFonts w:ascii="Arial" w:hAnsi="Arial" w:cs="Arial"/>
        </w:rPr>
        <w:t xml:space="preserve"> </w:t>
      </w:r>
      <w:r w:rsidRPr="0003606E">
        <w:rPr>
          <w:rFonts w:ascii="Arial" w:eastAsia="Times New Roman" w:hAnsi="Arial" w:cs="Arial"/>
          <w:color w:val="222222"/>
          <w:lang w:val="en-ZA" w:eastAsia="en-ZA"/>
        </w:rPr>
        <w:t>Rule 17 of the Supreme Court</w:t>
      </w:r>
      <w:r>
        <w:rPr>
          <w:rFonts w:ascii="Arial" w:eastAsia="Times New Roman" w:hAnsi="Arial" w:cs="Arial"/>
          <w:color w:val="222222"/>
          <w:lang w:val="en-ZA" w:eastAsia="en-ZA"/>
        </w:rPr>
        <w:t xml:space="preserve"> R</w:t>
      </w:r>
      <w:r w:rsidRPr="0003606E">
        <w:rPr>
          <w:rFonts w:ascii="Arial" w:eastAsia="Times New Roman" w:hAnsi="Arial" w:cs="Arial"/>
          <w:color w:val="222222"/>
          <w:lang w:val="en-ZA" w:eastAsia="en-ZA"/>
        </w:rPr>
        <w:t>ules.</w:t>
      </w:r>
    </w:p>
  </w:footnote>
  <w:footnote w:id="13">
    <w:p w:rsidR="00702D7A" w:rsidRPr="00B01A25" w:rsidRDefault="00702D7A" w:rsidP="00702D7A">
      <w:pPr>
        <w:shd w:val="clear" w:color="auto" w:fill="FFFFFF"/>
        <w:spacing w:after="0" w:line="480" w:lineRule="auto"/>
        <w:jc w:val="both"/>
        <w:rPr>
          <w:rFonts w:ascii="Arial" w:eastAsia="Times New Roman" w:hAnsi="Arial" w:cs="Arial"/>
          <w:color w:val="222222"/>
          <w:sz w:val="20"/>
          <w:szCs w:val="20"/>
          <w:lang w:val="en-ZA" w:eastAsia="en-ZA"/>
        </w:rPr>
      </w:pPr>
      <w:r w:rsidRPr="00B01A25">
        <w:rPr>
          <w:rStyle w:val="FootnoteReference"/>
          <w:rFonts w:ascii="Arial" w:hAnsi="Arial" w:cs="Arial"/>
          <w:sz w:val="20"/>
          <w:szCs w:val="20"/>
        </w:rPr>
        <w:footnoteRef/>
      </w:r>
      <w:r w:rsidRPr="00B01A25">
        <w:rPr>
          <w:rFonts w:ascii="Arial" w:hAnsi="Arial" w:cs="Arial"/>
          <w:sz w:val="20"/>
          <w:szCs w:val="20"/>
        </w:rPr>
        <w:t xml:space="preserve"> </w:t>
      </w:r>
      <w:r w:rsidRPr="00B01A25">
        <w:rPr>
          <w:rFonts w:ascii="Arial" w:eastAsia="Times New Roman" w:hAnsi="Arial" w:cs="Arial"/>
          <w:color w:val="222222"/>
          <w:sz w:val="20"/>
          <w:szCs w:val="20"/>
          <w:lang w:val="en-ZA" w:eastAsia="en-ZA"/>
        </w:rPr>
        <w:t xml:space="preserve">See </w:t>
      </w:r>
      <w:r w:rsidRPr="00B01A25">
        <w:rPr>
          <w:rFonts w:ascii="Arial" w:eastAsia="Times New Roman" w:hAnsi="Arial" w:cs="Arial"/>
          <w:i/>
          <w:color w:val="222222"/>
          <w:sz w:val="20"/>
          <w:szCs w:val="20"/>
          <w:lang w:val="en-ZA" w:eastAsia="en-ZA"/>
        </w:rPr>
        <w:t>Foster v Stewart Scott Inc</w:t>
      </w:r>
      <w:r w:rsidRPr="00B01A25">
        <w:rPr>
          <w:rFonts w:ascii="Arial" w:eastAsia="Times New Roman" w:hAnsi="Arial" w:cs="Arial"/>
          <w:color w:val="222222"/>
          <w:sz w:val="20"/>
          <w:szCs w:val="20"/>
          <w:lang w:val="en-ZA" w:eastAsia="en-ZA"/>
        </w:rPr>
        <w:t>. (1997) 18 ILJ 367 (LAC).</w:t>
      </w:r>
    </w:p>
  </w:footnote>
  <w:footnote w:id="14">
    <w:p w:rsidR="005F4236" w:rsidRPr="0062101D" w:rsidRDefault="005F4236" w:rsidP="0062101D">
      <w:pPr>
        <w:pStyle w:val="FootnoteText"/>
        <w:jc w:val="both"/>
        <w:rPr>
          <w:rFonts w:ascii="Arial" w:hAnsi="Arial" w:cs="Arial"/>
          <w:lang w:val="en-ZA"/>
        </w:rPr>
      </w:pPr>
      <w:r w:rsidRPr="0062101D">
        <w:rPr>
          <w:rStyle w:val="FootnoteReference"/>
          <w:rFonts w:ascii="Arial" w:hAnsi="Arial" w:cs="Arial"/>
          <w:i/>
        </w:rPr>
        <w:footnoteRef/>
      </w:r>
      <w:r w:rsidRPr="0062101D">
        <w:rPr>
          <w:rFonts w:ascii="Arial" w:hAnsi="Arial" w:cs="Arial"/>
          <w:i/>
        </w:rPr>
        <w:t xml:space="preserve"> </w:t>
      </w:r>
      <w:r w:rsidR="0062101D" w:rsidRPr="0062101D">
        <w:rPr>
          <w:rFonts w:ascii="Arial" w:hAnsi="Arial" w:cs="Arial"/>
          <w:i/>
        </w:rPr>
        <w:t>Prosecutor-General v Kamunguma</w:t>
      </w:r>
      <w:r w:rsidR="0062101D" w:rsidRPr="0062101D">
        <w:rPr>
          <w:rFonts w:ascii="Arial" w:hAnsi="Arial" w:cs="Arial"/>
        </w:rPr>
        <w:t xml:space="preserve"> (SA 62/2017) [2019] NASC (12 June 2019)</w:t>
      </w:r>
      <w:r w:rsidR="00733969">
        <w:rPr>
          <w:rFonts w:ascii="Arial" w:hAnsi="Arial" w:cs="Arial"/>
        </w:rPr>
        <w:t xml:space="preserve">, </w:t>
      </w:r>
      <w:r w:rsidR="00733969" w:rsidRPr="00733969">
        <w:rPr>
          <w:rFonts w:ascii="Arial" w:hAnsi="Arial" w:cs="Arial"/>
          <w:i/>
        </w:rPr>
        <w:t>Prosecutor-General v Uuyoni</w:t>
      </w:r>
      <w:r w:rsidR="00733969">
        <w:rPr>
          <w:rFonts w:ascii="Arial" w:hAnsi="Arial" w:cs="Arial"/>
          <w:sz w:val="24"/>
          <w:szCs w:val="24"/>
        </w:rPr>
        <w:t xml:space="preserve"> </w:t>
      </w:r>
      <w:r w:rsidR="00BB1648">
        <w:rPr>
          <w:rFonts w:ascii="Arial" w:hAnsi="Arial" w:cs="Arial"/>
        </w:rPr>
        <w:t>2015 (3) NR 886 (SC)</w:t>
      </w:r>
      <w:r w:rsidR="00733969">
        <w:rPr>
          <w:rFonts w:ascii="Arial" w:hAnsi="Arial" w:cs="Arial"/>
        </w:rPr>
        <w:t>.</w:t>
      </w:r>
    </w:p>
  </w:footnote>
  <w:footnote w:id="15">
    <w:p w:rsidR="00361EBA" w:rsidRPr="00261BCF" w:rsidRDefault="00361EBA" w:rsidP="00361EBA">
      <w:pPr>
        <w:pStyle w:val="FootnoteText"/>
        <w:jc w:val="both"/>
        <w:rPr>
          <w:rFonts w:ascii="Arial" w:hAnsi="Arial" w:cs="Arial"/>
          <w:lang w:val="en-ZA"/>
        </w:rPr>
      </w:pPr>
      <w:r w:rsidRPr="00261BCF">
        <w:rPr>
          <w:rStyle w:val="FootnoteReference"/>
          <w:rFonts w:ascii="Arial" w:hAnsi="Arial" w:cs="Arial"/>
        </w:rPr>
        <w:footnoteRef/>
      </w:r>
      <w:r w:rsidRPr="00261BCF">
        <w:rPr>
          <w:rFonts w:ascii="Arial" w:hAnsi="Arial" w:cs="Arial"/>
        </w:rPr>
        <w:t xml:space="preserve"> </w:t>
      </w:r>
      <w:r w:rsidRPr="00261BCF">
        <w:rPr>
          <w:rFonts w:ascii="Arial" w:eastAsia="Times New Roman" w:hAnsi="Arial" w:cs="Arial"/>
          <w:i/>
          <w:iCs/>
          <w:color w:val="222222"/>
          <w:lang w:val="en-ZA" w:eastAsia="en-ZA"/>
        </w:rPr>
        <w:t xml:space="preserve">See Likanyi v S </w:t>
      </w:r>
      <w:r>
        <w:rPr>
          <w:rFonts w:ascii="Arial" w:eastAsia="Times New Roman" w:hAnsi="Arial" w:cs="Arial"/>
          <w:iCs/>
          <w:color w:val="222222"/>
          <w:lang w:val="en-ZA" w:eastAsia="en-ZA"/>
        </w:rPr>
        <w:t xml:space="preserve">2017 (3) NR 771 (SC), </w:t>
      </w:r>
      <w:r w:rsidRPr="00261BCF">
        <w:rPr>
          <w:rFonts w:ascii="Arial" w:eastAsia="Times New Roman" w:hAnsi="Arial" w:cs="Arial"/>
          <w:color w:val="222222"/>
          <w:lang w:val="en-ZA" w:eastAsia="en-ZA"/>
        </w:rPr>
        <w:t>where the court held that the case presented exceptional circumstances that required it to relax the</w:t>
      </w:r>
      <w:r w:rsidRPr="00261BCF">
        <w:rPr>
          <w:rFonts w:ascii="Arial" w:eastAsia="Times New Roman" w:hAnsi="Arial" w:cs="Arial"/>
          <w:i/>
          <w:iCs/>
          <w:color w:val="222222"/>
          <w:lang w:val="en-ZA" w:eastAsia="en-ZA"/>
        </w:rPr>
        <w:t> res judicata </w:t>
      </w:r>
      <w:r w:rsidRPr="00261BCF">
        <w:rPr>
          <w:rFonts w:ascii="Arial" w:eastAsia="Times New Roman" w:hAnsi="Arial" w:cs="Arial"/>
          <w:color w:val="222222"/>
          <w:lang w:val="en-ZA" w:eastAsia="en-ZA"/>
        </w:rPr>
        <w:t>rule to comply with the principle of legality where a manifest injustice would have resulted if the court did not grant a litigant leave to seek relief from the Supreme Court in terms of Article 81 of the Constitution.</w:t>
      </w:r>
    </w:p>
  </w:footnote>
  <w:footnote w:id="16">
    <w:p w:rsidR="00702D7A" w:rsidRPr="002B3980" w:rsidRDefault="00702D7A" w:rsidP="00702D7A">
      <w:pPr>
        <w:pStyle w:val="FootnoteText"/>
        <w:jc w:val="both"/>
        <w:rPr>
          <w:rFonts w:ascii="Arial" w:hAnsi="Arial" w:cs="Arial"/>
          <w:lang w:val="en-ZA"/>
        </w:rPr>
      </w:pPr>
      <w:r w:rsidRPr="002B3980">
        <w:rPr>
          <w:rStyle w:val="FootnoteReference"/>
          <w:rFonts w:ascii="Arial" w:hAnsi="Arial" w:cs="Arial"/>
        </w:rPr>
        <w:footnoteRef/>
      </w:r>
      <w:r w:rsidRPr="002B3980">
        <w:rPr>
          <w:rFonts w:ascii="Arial" w:hAnsi="Arial" w:cs="Arial"/>
        </w:rPr>
        <w:t xml:space="preserve"> </w:t>
      </w:r>
      <w:r w:rsidR="002B3980" w:rsidRPr="002B3980">
        <w:rPr>
          <w:rFonts w:ascii="Arial" w:hAnsi="Arial" w:cs="Arial"/>
        </w:rPr>
        <w:t>(</w:t>
      </w:r>
      <w:r w:rsidR="002B3980" w:rsidRPr="002B3980">
        <w:rPr>
          <w:rFonts w:ascii="Arial" w:hAnsi="Arial" w:cs="Arial"/>
          <w:color w:val="333333"/>
          <w:shd w:val="clear" w:color="auto" w:fill="FFFFFF"/>
        </w:rPr>
        <w:t>HC-MD-</w:t>
      </w:r>
      <w:r w:rsidR="002B3980">
        <w:rPr>
          <w:rFonts w:ascii="Arial" w:hAnsi="Arial" w:cs="Arial"/>
          <w:color w:val="333333"/>
          <w:shd w:val="clear" w:color="auto" w:fill="FFFFFF"/>
        </w:rPr>
        <w:t xml:space="preserve">CIV-ACT-CON-2018/01674) [2019] </w:t>
      </w:r>
      <w:r w:rsidR="002B3980" w:rsidRPr="002B3980">
        <w:rPr>
          <w:rFonts w:ascii="Arial" w:hAnsi="Arial" w:cs="Arial"/>
          <w:color w:val="333333"/>
          <w:shd w:val="clear" w:color="auto" w:fill="FFFFFF"/>
        </w:rPr>
        <w:t xml:space="preserve">NAHCMD </w:t>
      </w:r>
      <w:r w:rsidR="002B3980" w:rsidRPr="002B3980">
        <w:rPr>
          <w:rFonts w:ascii="Arial" w:hAnsi="Arial" w:cs="Arial"/>
          <w:shd w:val="clear" w:color="auto" w:fill="FFFFFF"/>
        </w:rPr>
        <w:t>257</w:t>
      </w:r>
      <w:r w:rsidR="002B3980" w:rsidRPr="002B3980">
        <w:rPr>
          <w:rFonts w:ascii="Arial" w:hAnsi="Arial" w:cs="Arial"/>
          <w:color w:val="FF0000"/>
          <w:shd w:val="clear" w:color="auto" w:fill="FFFFFF"/>
        </w:rPr>
        <w:t xml:space="preserve"> </w:t>
      </w:r>
      <w:r w:rsidR="002B3980" w:rsidRPr="002B3980">
        <w:rPr>
          <w:rFonts w:ascii="Arial" w:hAnsi="Arial" w:cs="Arial"/>
          <w:shd w:val="clear" w:color="auto" w:fill="FFFFFF"/>
        </w:rPr>
        <w:t>(26 July 2019).</w:t>
      </w:r>
    </w:p>
  </w:footnote>
  <w:footnote w:id="17">
    <w:p w:rsidR="00702D7A" w:rsidRPr="004701AB" w:rsidRDefault="00702D7A" w:rsidP="00702D7A">
      <w:pPr>
        <w:spacing w:after="0" w:line="240" w:lineRule="auto"/>
        <w:jc w:val="both"/>
        <w:rPr>
          <w:rFonts w:ascii="Arial" w:hAnsi="Arial" w:cs="Arial"/>
          <w:sz w:val="20"/>
          <w:szCs w:val="20"/>
        </w:rPr>
      </w:pPr>
      <w:r w:rsidRPr="004701AB">
        <w:rPr>
          <w:rStyle w:val="FootnoteReference"/>
          <w:rFonts w:ascii="Arial" w:hAnsi="Arial" w:cs="Arial"/>
          <w:sz w:val="20"/>
          <w:szCs w:val="20"/>
        </w:rPr>
        <w:footnoteRef/>
      </w:r>
      <w:r w:rsidRPr="004701AB">
        <w:rPr>
          <w:rFonts w:ascii="Arial" w:hAnsi="Arial" w:cs="Arial"/>
          <w:sz w:val="20"/>
          <w:szCs w:val="20"/>
        </w:rPr>
        <w:t xml:space="preserve"> </w:t>
      </w:r>
      <w:r w:rsidR="00CC0765">
        <w:rPr>
          <w:rFonts w:ascii="Arial" w:hAnsi="Arial" w:cs="Arial"/>
          <w:sz w:val="20"/>
          <w:szCs w:val="20"/>
        </w:rPr>
        <w:t>2015 (3) NR 886 (SC).</w:t>
      </w:r>
    </w:p>
  </w:footnote>
  <w:footnote w:id="18">
    <w:p w:rsidR="00702D7A" w:rsidRPr="004701AB" w:rsidRDefault="00702D7A" w:rsidP="00702D7A">
      <w:pPr>
        <w:pStyle w:val="FootnoteText"/>
        <w:jc w:val="both"/>
        <w:rPr>
          <w:rFonts w:ascii="Arial" w:hAnsi="Arial" w:cs="Arial"/>
          <w:lang w:val="en-ZA"/>
        </w:rPr>
      </w:pPr>
      <w:r w:rsidRPr="004701AB">
        <w:rPr>
          <w:rStyle w:val="FootnoteReference"/>
          <w:rFonts w:ascii="Arial" w:hAnsi="Arial" w:cs="Arial"/>
        </w:rPr>
        <w:footnoteRef/>
      </w:r>
      <w:r w:rsidRPr="004701AB">
        <w:rPr>
          <w:rFonts w:ascii="Arial" w:hAnsi="Arial" w:cs="Arial"/>
        </w:rPr>
        <w:t xml:space="preserve"> 2002 (4) SA 843 (CC).</w:t>
      </w:r>
    </w:p>
  </w:footnote>
  <w:footnote w:id="19">
    <w:p w:rsidR="00702D7A" w:rsidRPr="004701AB" w:rsidRDefault="00702D7A" w:rsidP="00702D7A">
      <w:pPr>
        <w:pStyle w:val="FootnoteText"/>
        <w:jc w:val="both"/>
        <w:rPr>
          <w:rFonts w:ascii="Arial" w:hAnsi="Arial" w:cs="Arial"/>
          <w:lang w:val="en-ZA"/>
        </w:rPr>
      </w:pPr>
      <w:r w:rsidRPr="004701AB">
        <w:rPr>
          <w:rStyle w:val="FootnoteReference"/>
          <w:rFonts w:ascii="Arial" w:hAnsi="Arial" w:cs="Arial"/>
        </w:rPr>
        <w:footnoteRef/>
      </w:r>
      <w:r w:rsidRPr="004701AB">
        <w:rPr>
          <w:rFonts w:ascii="Arial" w:hAnsi="Arial" w:cs="Arial"/>
        </w:rPr>
        <w:t xml:space="preserve"> </w:t>
      </w:r>
      <w:r w:rsidRPr="004701AB">
        <w:rPr>
          <w:rFonts w:ascii="Arial" w:hAnsi="Arial" w:cs="Arial"/>
          <w:lang w:val="en-ZA"/>
        </w:rPr>
        <w:t>Section 51 of POCA.</w:t>
      </w:r>
    </w:p>
  </w:footnote>
  <w:footnote w:id="20">
    <w:p w:rsidR="00702D7A" w:rsidRPr="00215A0D" w:rsidRDefault="00702D7A" w:rsidP="00215A0D">
      <w:pPr>
        <w:spacing w:after="0" w:line="240" w:lineRule="auto"/>
        <w:jc w:val="both"/>
        <w:rPr>
          <w:rFonts w:ascii="Arial" w:hAnsi="Arial" w:cs="Arial"/>
          <w:sz w:val="20"/>
          <w:szCs w:val="20"/>
        </w:rPr>
      </w:pPr>
      <w:r w:rsidRPr="00215A0D">
        <w:rPr>
          <w:rStyle w:val="FootnoteReference"/>
          <w:rFonts w:ascii="Arial" w:hAnsi="Arial" w:cs="Arial"/>
          <w:sz w:val="20"/>
          <w:szCs w:val="20"/>
        </w:rPr>
        <w:footnoteRef/>
      </w:r>
      <w:r w:rsidRPr="00215A0D">
        <w:rPr>
          <w:rFonts w:ascii="Arial" w:hAnsi="Arial" w:cs="Arial"/>
          <w:sz w:val="20"/>
          <w:szCs w:val="20"/>
        </w:rPr>
        <w:t xml:space="preserve"> </w:t>
      </w:r>
      <w:r w:rsidR="00733969" w:rsidRPr="00215A0D">
        <w:rPr>
          <w:rFonts w:ascii="Arial" w:hAnsi="Arial" w:cs="Arial"/>
          <w:i/>
          <w:sz w:val="20"/>
          <w:szCs w:val="20"/>
        </w:rPr>
        <w:t>Prosecutor-General v Uuyoni</w:t>
      </w:r>
      <w:r w:rsidR="00733969" w:rsidRPr="00215A0D">
        <w:rPr>
          <w:rFonts w:ascii="Arial" w:hAnsi="Arial" w:cs="Arial"/>
          <w:sz w:val="20"/>
          <w:szCs w:val="20"/>
        </w:rPr>
        <w:t xml:space="preserve"> </w:t>
      </w:r>
      <w:r w:rsidR="006F7024" w:rsidRPr="00215A0D">
        <w:rPr>
          <w:rFonts w:ascii="Arial" w:hAnsi="Arial" w:cs="Arial"/>
          <w:sz w:val="20"/>
          <w:szCs w:val="20"/>
        </w:rPr>
        <w:t>2015 (3) NR 886 (SC)</w:t>
      </w:r>
      <w:r w:rsidR="00733969" w:rsidRPr="00215A0D">
        <w:rPr>
          <w:rFonts w:ascii="Arial" w:hAnsi="Arial" w:cs="Arial"/>
          <w:sz w:val="20"/>
          <w:szCs w:val="20"/>
        </w:rPr>
        <w:t>, para 28</w:t>
      </w:r>
      <w:r w:rsidR="00215A0D" w:rsidRPr="00215A0D">
        <w:rPr>
          <w:rFonts w:ascii="Arial" w:hAnsi="Arial" w:cs="Arial"/>
          <w:sz w:val="20"/>
          <w:szCs w:val="20"/>
        </w:rPr>
        <w:t>0</w:t>
      </w:r>
      <w:r w:rsidR="00733969" w:rsidRPr="00215A0D">
        <w:rPr>
          <w:rFonts w:ascii="Arial" w:hAnsi="Arial" w:cs="Arial"/>
          <w:sz w:val="20"/>
          <w:szCs w:val="20"/>
        </w:rPr>
        <w:t>.</w:t>
      </w:r>
      <w:r w:rsidR="00215A0D" w:rsidRPr="00215A0D">
        <w:rPr>
          <w:rFonts w:ascii="Arial" w:hAnsi="Arial" w:cs="Arial"/>
          <w:sz w:val="20"/>
          <w:szCs w:val="20"/>
        </w:rPr>
        <w:t xml:space="preserve">  The court quoted the Constitutional Court in the case of </w:t>
      </w:r>
      <w:r w:rsidR="00215A0D" w:rsidRPr="00215A0D">
        <w:rPr>
          <w:rFonts w:ascii="Arial" w:hAnsi="Arial" w:cs="Arial"/>
          <w:i/>
          <w:sz w:val="20"/>
          <w:szCs w:val="20"/>
        </w:rPr>
        <w:t xml:space="preserve">National Director of Public Prosecutions v Mohamed NO </w:t>
      </w:r>
      <w:r w:rsidR="00215A0D">
        <w:rPr>
          <w:rFonts w:ascii="Arial" w:hAnsi="Arial" w:cs="Arial"/>
          <w:i/>
          <w:sz w:val="20"/>
          <w:szCs w:val="20"/>
        </w:rPr>
        <w:t>&amp; o</w:t>
      </w:r>
      <w:r w:rsidR="00215A0D" w:rsidRPr="00215A0D">
        <w:rPr>
          <w:rFonts w:ascii="Arial" w:hAnsi="Arial" w:cs="Arial"/>
          <w:i/>
          <w:sz w:val="20"/>
          <w:szCs w:val="20"/>
        </w:rPr>
        <w:t>thers</w:t>
      </w:r>
      <w:r w:rsidR="00215A0D" w:rsidRPr="00215A0D">
        <w:rPr>
          <w:rFonts w:ascii="Arial" w:hAnsi="Arial" w:cs="Arial"/>
          <w:sz w:val="20"/>
          <w:szCs w:val="20"/>
        </w:rPr>
        <w:t xml:space="preserve"> 2002</w:t>
      </w:r>
      <w:r w:rsidR="00215A0D">
        <w:rPr>
          <w:rFonts w:ascii="Arial" w:hAnsi="Arial" w:cs="Arial"/>
          <w:sz w:val="20"/>
          <w:szCs w:val="20"/>
        </w:rPr>
        <w:t xml:space="preserve"> </w:t>
      </w:r>
      <w:r w:rsidR="00215A0D" w:rsidRPr="00215A0D">
        <w:rPr>
          <w:rFonts w:ascii="Arial" w:hAnsi="Arial" w:cs="Arial"/>
          <w:sz w:val="20"/>
          <w:szCs w:val="20"/>
        </w:rPr>
        <w:t>(4) SA 843 (CC).</w:t>
      </w:r>
    </w:p>
  </w:footnote>
  <w:footnote w:id="21">
    <w:p w:rsidR="00702D7A" w:rsidRPr="006D43AF" w:rsidRDefault="00702D7A" w:rsidP="00702D7A">
      <w:pPr>
        <w:pStyle w:val="FootnoteText"/>
        <w:jc w:val="both"/>
        <w:rPr>
          <w:rFonts w:ascii="Arial" w:hAnsi="Arial" w:cs="Arial"/>
          <w:lang w:val="en-ZA"/>
        </w:rPr>
      </w:pPr>
      <w:r w:rsidRPr="006D43AF">
        <w:rPr>
          <w:rStyle w:val="FootnoteReference"/>
          <w:rFonts w:ascii="Arial" w:hAnsi="Arial" w:cs="Arial"/>
        </w:rPr>
        <w:footnoteRef/>
      </w:r>
      <w:r w:rsidRPr="006D43AF">
        <w:rPr>
          <w:rFonts w:ascii="Arial" w:hAnsi="Arial" w:cs="Arial"/>
        </w:rPr>
        <w:t xml:space="preserve"> </w:t>
      </w:r>
      <w:r w:rsidRPr="006D43AF">
        <w:rPr>
          <w:rFonts w:ascii="Arial" w:hAnsi="Arial" w:cs="Arial"/>
          <w:lang w:val="en-ZA"/>
        </w:rPr>
        <w:t>Section 52(1)</w:t>
      </w:r>
      <w:r w:rsidRPr="006D43AF">
        <w:rPr>
          <w:rFonts w:ascii="Arial" w:hAnsi="Arial" w:cs="Arial"/>
          <w:i/>
          <w:lang w:val="en-ZA"/>
        </w:rPr>
        <w:t xml:space="preserve">(a) </w:t>
      </w:r>
      <w:r w:rsidRPr="006D43AF">
        <w:rPr>
          <w:rFonts w:ascii="Arial" w:hAnsi="Arial" w:cs="Arial"/>
          <w:lang w:val="en-ZA"/>
        </w:rPr>
        <w:t>of POCA.</w:t>
      </w:r>
    </w:p>
  </w:footnote>
  <w:footnote w:id="22">
    <w:p w:rsidR="00702D7A" w:rsidRPr="006D43AF" w:rsidRDefault="00702D7A" w:rsidP="00702D7A">
      <w:pPr>
        <w:pStyle w:val="FootnoteText"/>
        <w:jc w:val="both"/>
        <w:rPr>
          <w:rFonts w:ascii="Arial" w:hAnsi="Arial" w:cs="Arial"/>
          <w:lang w:val="en-ZA"/>
        </w:rPr>
      </w:pPr>
      <w:r w:rsidRPr="006D43AF">
        <w:rPr>
          <w:rStyle w:val="FootnoteReference"/>
          <w:rFonts w:ascii="Arial" w:hAnsi="Arial" w:cs="Arial"/>
        </w:rPr>
        <w:footnoteRef/>
      </w:r>
      <w:r w:rsidRPr="006D43AF">
        <w:rPr>
          <w:rFonts w:ascii="Arial" w:hAnsi="Arial" w:cs="Arial"/>
        </w:rPr>
        <w:t xml:space="preserve"> </w:t>
      </w:r>
      <w:r w:rsidRPr="006D43AF">
        <w:rPr>
          <w:rFonts w:ascii="Arial" w:eastAsia="Times New Roman" w:hAnsi="Arial" w:cs="Arial"/>
          <w:color w:val="222222"/>
          <w:lang w:val="en-ZA" w:eastAsia="en-ZA"/>
        </w:rPr>
        <w:t>Section 59(2) read with s 53 and/or s 58.</w:t>
      </w:r>
    </w:p>
  </w:footnote>
  <w:footnote w:id="23">
    <w:p w:rsidR="00702D7A" w:rsidRPr="006D43AF" w:rsidRDefault="00702D7A" w:rsidP="00702D7A">
      <w:pPr>
        <w:pStyle w:val="FootnoteText"/>
        <w:jc w:val="both"/>
        <w:rPr>
          <w:rFonts w:ascii="Arial" w:hAnsi="Arial" w:cs="Arial"/>
          <w:lang w:val="en-ZA"/>
        </w:rPr>
      </w:pPr>
      <w:r w:rsidRPr="006D43AF">
        <w:rPr>
          <w:rStyle w:val="FootnoteReference"/>
          <w:rFonts w:ascii="Arial" w:hAnsi="Arial" w:cs="Arial"/>
        </w:rPr>
        <w:footnoteRef/>
      </w:r>
      <w:r w:rsidRPr="006D43AF">
        <w:rPr>
          <w:rFonts w:ascii="Arial" w:hAnsi="Arial" w:cs="Arial"/>
        </w:rPr>
        <w:t xml:space="preserve"> </w:t>
      </w:r>
      <w:r w:rsidRPr="006D43AF">
        <w:rPr>
          <w:rFonts w:ascii="Arial" w:eastAsia="Times New Roman" w:hAnsi="Arial" w:cs="Arial"/>
          <w:color w:val="222222"/>
          <w:lang w:val="en-ZA" w:eastAsia="en-ZA"/>
        </w:rPr>
        <w:t>Section 52(1)</w:t>
      </w:r>
      <w:r w:rsidRPr="006D43AF">
        <w:rPr>
          <w:rFonts w:ascii="Arial" w:eastAsia="Times New Roman" w:hAnsi="Arial" w:cs="Arial"/>
          <w:i/>
          <w:color w:val="222222"/>
          <w:lang w:val="en-ZA" w:eastAsia="en-ZA"/>
        </w:rPr>
        <w:t>(b).</w:t>
      </w:r>
    </w:p>
  </w:footnote>
  <w:footnote w:id="24">
    <w:p w:rsidR="00702D7A" w:rsidRPr="00435F7F" w:rsidRDefault="00702D7A" w:rsidP="00702D7A">
      <w:pPr>
        <w:pStyle w:val="FootnoteText"/>
        <w:jc w:val="both"/>
        <w:rPr>
          <w:rFonts w:ascii="Arial" w:hAnsi="Arial" w:cs="Arial"/>
          <w:lang w:val="en-ZA"/>
        </w:rPr>
      </w:pPr>
      <w:r w:rsidRPr="00435F7F">
        <w:rPr>
          <w:rStyle w:val="FootnoteReference"/>
          <w:rFonts w:ascii="Arial" w:hAnsi="Arial" w:cs="Arial"/>
        </w:rPr>
        <w:footnoteRef/>
      </w:r>
      <w:r w:rsidRPr="00435F7F">
        <w:rPr>
          <w:rFonts w:ascii="Arial" w:hAnsi="Arial" w:cs="Arial"/>
        </w:rPr>
        <w:t xml:space="preserve"> </w:t>
      </w:r>
      <w:r w:rsidRPr="00435F7F">
        <w:rPr>
          <w:rFonts w:ascii="Arial" w:eastAsia="Times New Roman" w:hAnsi="Arial" w:cs="Arial"/>
          <w:color w:val="222222"/>
          <w:lang w:val="en-ZA" w:eastAsia="en-ZA"/>
        </w:rPr>
        <w:t>Issued in terms of s 103 of POCA.</w:t>
      </w:r>
    </w:p>
  </w:footnote>
  <w:footnote w:id="25">
    <w:p w:rsidR="00702D7A" w:rsidRPr="002A24F1" w:rsidRDefault="00702D7A" w:rsidP="00702D7A">
      <w:pPr>
        <w:pStyle w:val="FootnoteText"/>
        <w:jc w:val="both"/>
        <w:rPr>
          <w:rFonts w:ascii="Arial" w:hAnsi="Arial" w:cs="Arial"/>
          <w:lang w:val="en-ZA"/>
        </w:rPr>
      </w:pPr>
      <w:r w:rsidRPr="00AC1826">
        <w:rPr>
          <w:rStyle w:val="FootnoteReference"/>
          <w:rFonts w:ascii="Arial" w:hAnsi="Arial" w:cs="Arial"/>
        </w:rPr>
        <w:footnoteRef/>
      </w:r>
      <w:r w:rsidRPr="00AC1826">
        <w:rPr>
          <w:rFonts w:ascii="Arial" w:hAnsi="Arial" w:cs="Arial"/>
        </w:rPr>
        <w:t xml:space="preserve"> </w:t>
      </w:r>
      <w:r w:rsidRPr="002A24F1">
        <w:rPr>
          <w:rFonts w:ascii="Arial" w:hAnsi="Arial" w:cs="Arial"/>
          <w:i/>
          <w:color w:val="222222"/>
        </w:rPr>
        <w:t xml:space="preserve">Immanuel Fillemon v Immanuel Shikuambi </w:t>
      </w:r>
      <w:r w:rsidRPr="002A24F1">
        <w:rPr>
          <w:rFonts w:ascii="Arial" w:hAnsi="Arial" w:cs="Arial"/>
          <w:color w:val="222222"/>
        </w:rPr>
        <w:t>(A293/2014) [2017] NAHCMD 148 (24 May 2017).</w:t>
      </w:r>
    </w:p>
  </w:footnote>
  <w:footnote w:id="26">
    <w:p w:rsidR="00702D7A" w:rsidRPr="004475AF" w:rsidRDefault="00702D7A" w:rsidP="00702D7A">
      <w:pPr>
        <w:pStyle w:val="FootnoteText"/>
        <w:jc w:val="both"/>
        <w:rPr>
          <w:rFonts w:ascii="Arial" w:hAnsi="Arial" w:cs="Arial"/>
          <w:lang w:val="en-ZA"/>
        </w:rPr>
      </w:pPr>
      <w:r w:rsidRPr="002A24F1">
        <w:rPr>
          <w:rStyle w:val="FootnoteReference"/>
          <w:rFonts w:ascii="Arial" w:hAnsi="Arial" w:cs="Arial"/>
        </w:rPr>
        <w:footnoteRef/>
      </w:r>
      <w:r w:rsidRPr="002A24F1">
        <w:rPr>
          <w:rFonts w:ascii="Arial" w:hAnsi="Arial" w:cs="Arial"/>
        </w:rPr>
        <w:t xml:space="preserve"> </w:t>
      </w:r>
      <w:r w:rsidRPr="002A24F1">
        <w:rPr>
          <w:rFonts w:ascii="Arial" w:hAnsi="Arial" w:cs="Arial"/>
          <w:i/>
          <w:color w:val="222222"/>
        </w:rPr>
        <w:t xml:space="preserve">Ferreira v Levin NO &amp; others; Vryenhoek &amp; others v Powell NO &amp; others </w:t>
      </w:r>
      <w:r w:rsidR="00226504">
        <w:rPr>
          <w:rFonts w:ascii="Arial" w:hAnsi="Arial" w:cs="Arial"/>
          <w:color w:val="222222"/>
        </w:rPr>
        <w:t>1996(1) SA 984 (CC).</w:t>
      </w:r>
    </w:p>
  </w:footnote>
  <w:footnote w:id="27">
    <w:p w:rsidR="00702D7A" w:rsidRPr="00AC1826" w:rsidRDefault="00702D7A" w:rsidP="00702D7A">
      <w:pPr>
        <w:pStyle w:val="FootnoteText"/>
        <w:jc w:val="both"/>
        <w:rPr>
          <w:rFonts w:ascii="Arial" w:hAnsi="Arial" w:cs="Arial"/>
          <w:lang w:val="en-ZA"/>
        </w:rPr>
      </w:pPr>
      <w:r w:rsidRPr="00AC1826">
        <w:rPr>
          <w:rStyle w:val="FootnoteReference"/>
          <w:rFonts w:ascii="Arial" w:hAnsi="Arial" w:cs="Arial"/>
        </w:rPr>
        <w:footnoteRef/>
      </w:r>
      <w:r w:rsidRPr="00AC1826">
        <w:rPr>
          <w:rFonts w:ascii="Arial" w:hAnsi="Arial" w:cs="Arial"/>
        </w:rPr>
        <w:t xml:space="preserve"> </w:t>
      </w:r>
      <w:r w:rsidRPr="00AC1826">
        <w:rPr>
          <w:rFonts w:ascii="Arial" w:hAnsi="Arial" w:cs="Arial"/>
          <w:i/>
          <w:color w:val="222222"/>
        </w:rPr>
        <w:t xml:space="preserve">Ferreira v Levin and also PG v Africa Autonet CC t/a Pacific Motors </w:t>
      </w:r>
      <w:r w:rsidRPr="00AC1826">
        <w:rPr>
          <w:rFonts w:ascii="Arial" w:hAnsi="Arial" w:cs="Arial"/>
          <w:color w:val="222222"/>
        </w:rPr>
        <w:t>(POCA 5/2017) NAHCMD 265 (13 September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4E0" w:rsidRPr="007D275A" w:rsidRDefault="005E44E0">
    <w:pPr>
      <w:pStyle w:val="Header"/>
      <w:jc w:val="right"/>
      <w:rPr>
        <w:rFonts w:ascii="Arial" w:hAnsi="Arial" w:cs="Arial"/>
        <w:sz w:val="24"/>
        <w:szCs w:val="24"/>
      </w:rPr>
    </w:pPr>
    <w:r w:rsidRPr="007D275A">
      <w:rPr>
        <w:rFonts w:ascii="Arial" w:hAnsi="Arial" w:cs="Arial"/>
        <w:sz w:val="24"/>
        <w:szCs w:val="24"/>
      </w:rPr>
      <w:fldChar w:fldCharType="begin"/>
    </w:r>
    <w:r w:rsidRPr="007D275A">
      <w:rPr>
        <w:rFonts w:ascii="Arial" w:hAnsi="Arial" w:cs="Arial"/>
        <w:sz w:val="24"/>
        <w:szCs w:val="24"/>
      </w:rPr>
      <w:instrText xml:space="preserve"> PAGE   \* MERGEFORMAT </w:instrText>
    </w:r>
    <w:r w:rsidRPr="007D275A">
      <w:rPr>
        <w:rFonts w:ascii="Arial" w:hAnsi="Arial" w:cs="Arial"/>
        <w:sz w:val="24"/>
        <w:szCs w:val="24"/>
      </w:rPr>
      <w:fldChar w:fldCharType="separate"/>
    </w:r>
    <w:r w:rsidR="00CB55CF">
      <w:rPr>
        <w:rFonts w:ascii="Arial" w:hAnsi="Arial" w:cs="Arial"/>
        <w:noProof/>
        <w:sz w:val="24"/>
        <w:szCs w:val="24"/>
      </w:rPr>
      <w:t>29</w:t>
    </w:r>
    <w:r w:rsidRPr="007D275A">
      <w:rPr>
        <w:rFonts w:ascii="Arial" w:hAnsi="Arial" w:cs="Arial"/>
        <w:noProof/>
        <w:sz w:val="24"/>
        <w:szCs w:val="24"/>
      </w:rPr>
      <w:fldChar w:fldCharType="end"/>
    </w:r>
  </w:p>
  <w:p w:rsidR="005E44E0" w:rsidRDefault="005E4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07B8"/>
    <w:multiLevelType w:val="hybridMultilevel"/>
    <w:tmpl w:val="22E28FFA"/>
    <w:lvl w:ilvl="0" w:tplc="CB8E7A68">
      <w:start w:val="1"/>
      <w:numFmt w:val="lowerLetter"/>
      <w:lvlText w:val="(%1)"/>
      <w:lvlJc w:val="left"/>
      <w:pPr>
        <w:ind w:left="1800" w:hanging="360"/>
      </w:pPr>
    </w:lvl>
    <w:lvl w:ilvl="1" w:tplc="5A0A8FBE">
      <w:start w:val="1"/>
      <w:numFmt w:val="lowerLetter"/>
      <w:lvlText w:val="%2."/>
      <w:lvlJc w:val="left"/>
      <w:pPr>
        <w:ind w:left="2520" w:hanging="360"/>
      </w:pPr>
    </w:lvl>
    <w:lvl w:ilvl="2" w:tplc="05C4AD36">
      <w:start w:val="1"/>
      <w:numFmt w:val="lowerRoman"/>
      <w:lvlText w:val="%3."/>
      <w:lvlJc w:val="right"/>
      <w:pPr>
        <w:ind w:left="3240" w:hanging="180"/>
      </w:pPr>
    </w:lvl>
    <w:lvl w:ilvl="3" w:tplc="80BE5B8E">
      <w:start w:val="1"/>
      <w:numFmt w:val="decimal"/>
      <w:lvlText w:val="%4."/>
      <w:lvlJc w:val="left"/>
      <w:pPr>
        <w:ind w:left="3960" w:hanging="360"/>
      </w:pPr>
    </w:lvl>
    <w:lvl w:ilvl="4" w:tplc="F11E97C8">
      <w:start w:val="1"/>
      <w:numFmt w:val="lowerLetter"/>
      <w:lvlText w:val="%5."/>
      <w:lvlJc w:val="left"/>
      <w:pPr>
        <w:ind w:left="4680" w:hanging="360"/>
      </w:pPr>
    </w:lvl>
    <w:lvl w:ilvl="5" w:tplc="6116E326">
      <w:start w:val="1"/>
      <w:numFmt w:val="lowerRoman"/>
      <w:lvlText w:val="%6."/>
      <w:lvlJc w:val="right"/>
      <w:pPr>
        <w:ind w:left="5400" w:hanging="180"/>
      </w:pPr>
    </w:lvl>
    <w:lvl w:ilvl="6" w:tplc="C8783184">
      <w:start w:val="1"/>
      <w:numFmt w:val="decimal"/>
      <w:lvlText w:val="%7."/>
      <w:lvlJc w:val="left"/>
      <w:pPr>
        <w:ind w:left="6120" w:hanging="360"/>
      </w:pPr>
    </w:lvl>
    <w:lvl w:ilvl="7" w:tplc="F08CEF58">
      <w:start w:val="1"/>
      <w:numFmt w:val="lowerLetter"/>
      <w:lvlText w:val="%8."/>
      <w:lvlJc w:val="left"/>
      <w:pPr>
        <w:ind w:left="6840" w:hanging="360"/>
      </w:pPr>
    </w:lvl>
    <w:lvl w:ilvl="8" w:tplc="8480C420">
      <w:start w:val="1"/>
      <w:numFmt w:val="lowerRoman"/>
      <w:lvlText w:val="%9."/>
      <w:lvlJc w:val="right"/>
      <w:pPr>
        <w:ind w:left="7560" w:hanging="180"/>
      </w:pPr>
    </w:lvl>
  </w:abstractNum>
  <w:abstractNum w:abstractNumId="1" w15:restartNumberingAfterBreak="0">
    <w:nsid w:val="028C6DBF"/>
    <w:multiLevelType w:val="hybridMultilevel"/>
    <w:tmpl w:val="6584D17A"/>
    <w:lvl w:ilvl="0" w:tplc="AA3A0C08">
      <w:start w:val="11"/>
      <w:numFmt w:val="bullet"/>
      <w:lvlText w:val="-"/>
      <w:lvlJc w:val="left"/>
      <w:pPr>
        <w:ind w:left="2520" w:hanging="360"/>
      </w:pPr>
      <w:rPr>
        <w:rFonts w:ascii="Arial" w:hAnsi="Arial"/>
      </w:rPr>
    </w:lvl>
    <w:lvl w:ilvl="1" w:tplc="D1EE3364">
      <w:start w:val="1"/>
      <w:numFmt w:val="bullet"/>
      <w:lvlText w:val="o"/>
      <w:lvlJc w:val="left"/>
      <w:pPr>
        <w:ind w:left="3240" w:hanging="360"/>
      </w:pPr>
      <w:rPr>
        <w:rFonts w:ascii="Courier New" w:hAnsi="Courier New"/>
      </w:rPr>
    </w:lvl>
    <w:lvl w:ilvl="2" w:tplc="FE8871FA">
      <w:start w:val="1"/>
      <w:numFmt w:val="bullet"/>
      <w:lvlText w:val=""/>
      <w:lvlJc w:val="left"/>
      <w:pPr>
        <w:ind w:left="3960" w:hanging="360"/>
      </w:pPr>
      <w:rPr>
        <w:rFonts w:ascii="Wingdings" w:hAnsi="Wingdings"/>
      </w:rPr>
    </w:lvl>
    <w:lvl w:ilvl="3" w:tplc="044ADDC4">
      <w:start w:val="1"/>
      <w:numFmt w:val="bullet"/>
      <w:lvlText w:val=""/>
      <w:lvlJc w:val="left"/>
      <w:pPr>
        <w:ind w:left="4680" w:hanging="360"/>
      </w:pPr>
      <w:rPr>
        <w:rFonts w:ascii="Symbol" w:hAnsi="Symbol"/>
      </w:rPr>
    </w:lvl>
    <w:lvl w:ilvl="4" w:tplc="28688DBC">
      <w:start w:val="1"/>
      <w:numFmt w:val="bullet"/>
      <w:lvlText w:val="o"/>
      <w:lvlJc w:val="left"/>
      <w:pPr>
        <w:ind w:left="5400" w:hanging="360"/>
      </w:pPr>
      <w:rPr>
        <w:rFonts w:ascii="Courier New" w:hAnsi="Courier New"/>
      </w:rPr>
    </w:lvl>
    <w:lvl w:ilvl="5" w:tplc="DB828750">
      <w:start w:val="1"/>
      <w:numFmt w:val="bullet"/>
      <w:lvlText w:val=""/>
      <w:lvlJc w:val="left"/>
      <w:pPr>
        <w:ind w:left="6120" w:hanging="360"/>
      </w:pPr>
      <w:rPr>
        <w:rFonts w:ascii="Wingdings" w:hAnsi="Wingdings"/>
      </w:rPr>
    </w:lvl>
    <w:lvl w:ilvl="6" w:tplc="812ABB5E">
      <w:start w:val="1"/>
      <w:numFmt w:val="bullet"/>
      <w:lvlText w:val=""/>
      <w:lvlJc w:val="left"/>
      <w:pPr>
        <w:ind w:left="6840" w:hanging="360"/>
      </w:pPr>
      <w:rPr>
        <w:rFonts w:ascii="Symbol" w:hAnsi="Symbol"/>
      </w:rPr>
    </w:lvl>
    <w:lvl w:ilvl="7" w:tplc="A57AB276">
      <w:start w:val="1"/>
      <w:numFmt w:val="bullet"/>
      <w:lvlText w:val="o"/>
      <w:lvlJc w:val="left"/>
      <w:pPr>
        <w:ind w:left="7560" w:hanging="360"/>
      </w:pPr>
      <w:rPr>
        <w:rFonts w:ascii="Courier New" w:hAnsi="Courier New"/>
      </w:rPr>
    </w:lvl>
    <w:lvl w:ilvl="8" w:tplc="01C42360">
      <w:start w:val="1"/>
      <w:numFmt w:val="bullet"/>
      <w:lvlText w:val=""/>
      <w:lvlJc w:val="left"/>
      <w:pPr>
        <w:ind w:left="8280" w:hanging="360"/>
      </w:pPr>
      <w:rPr>
        <w:rFonts w:ascii="Wingdings" w:hAnsi="Wingdings"/>
      </w:rPr>
    </w:lvl>
  </w:abstractNum>
  <w:abstractNum w:abstractNumId="2" w15:restartNumberingAfterBreak="0">
    <w:nsid w:val="09426A51"/>
    <w:multiLevelType w:val="hybridMultilevel"/>
    <w:tmpl w:val="912E2AE0"/>
    <w:lvl w:ilvl="0" w:tplc="BC80063C">
      <w:start w:val="1"/>
      <w:numFmt w:val="lowerLetter"/>
      <w:lvlText w:val="(%1)"/>
      <w:lvlJc w:val="left"/>
      <w:pPr>
        <w:ind w:left="1080" w:hanging="360"/>
      </w:pPr>
    </w:lvl>
    <w:lvl w:ilvl="1" w:tplc="AD8E9BD2">
      <w:start w:val="1"/>
      <w:numFmt w:val="lowerLetter"/>
      <w:lvlText w:val="%2."/>
      <w:lvlJc w:val="left"/>
      <w:pPr>
        <w:ind w:left="1800" w:hanging="360"/>
      </w:pPr>
    </w:lvl>
    <w:lvl w:ilvl="2" w:tplc="5EBEFFB6">
      <w:start w:val="1"/>
      <w:numFmt w:val="lowerRoman"/>
      <w:lvlText w:val="%3."/>
      <w:lvlJc w:val="right"/>
      <w:pPr>
        <w:ind w:left="2520" w:hanging="180"/>
      </w:pPr>
    </w:lvl>
    <w:lvl w:ilvl="3" w:tplc="779CF620">
      <w:start w:val="1"/>
      <w:numFmt w:val="decimal"/>
      <w:lvlText w:val="%4."/>
      <w:lvlJc w:val="left"/>
      <w:pPr>
        <w:ind w:left="3240" w:hanging="360"/>
      </w:pPr>
    </w:lvl>
    <w:lvl w:ilvl="4" w:tplc="E6AAB28C">
      <w:start w:val="1"/>
      <w:numFmt w:val="lowerLetter"/>
      <w:lvlText w:val="%5."/>
      <w:lvlJc w:val="left"/>
      <w:pPr>
        <w:ind w:left="3960" w:hanging="360"/>
      </w:pPr>
    </w:lvl>
    <w:lvl w:ilvl="5" w:tplc="38BCE3A2">
      <w:start w:val="1"/>
      <w:numFmt w:val="lowerRoman"/>
      <w:lvlText w:val="%6."/>
      <w:lvlJc w:val="right"/>
      <w:pPr>
        <w:ind w:left="4680" w:hanging="180"/>
      </w:pPr>
    </w:lvl>
    <w:lvl w:ilvl="6" w:tplc="6BE4786E">
      <w:start w:val="1"/>
      <w:numFmt w:val="decimal"/>
      <w:lvlText w:val="%7."/>
      <w:lvlJc w:val="left"/>
      <w:pPr>
        <w:ind w:left="5400" w:hanging="360"/>
      </w:pPr>
    </w:lvl>
    <w:lvl w:ilvl="7" w:tplc="7902E3E2">
      <w:start w:val="1"/>
      <w:numFmt w:val="lowerLetter"/>
      <w:lvlText w:val="%8."/>
      <w:lvlJc w:val="left"/>
      <w:pPr>
        <w:ind w:left="6120" w:hanging="360"/>
      </w:pPr>
    </w:lvl>
    <w:lvl w:ilvl="8" w:tplc="0234F046">
      <w:start w:val="1"/>
      <w:numFmt w:val="lowerRoman"/>
      <w:lvlText w:val="%9."/>
      <w:lvlJc w:val="right"/>
      <w:pPr>
        <w:ind w:left="6840" w:hanging="180"/>
      </w:pPr>
    </w:lvl>
  </w:abstractNum>
  <w:abstractNum w:abstractNumId="3" w15:restartNumberingAfterBreak="0">
    <w:nsid w:val="0BC07855"/>
    <w:multiLevelType w:val="hybridMultilevel"/>
    <w:tmpl w:val="ED881486"/>
    <w:lvl w:ilvl="0" w:tplc="8B688072">
      <w:start w:val="1"/>
      <w:numFmt w:val="decimal"/>
      <w:lvlText w:val="(%1)"/>
      <w:lvlJc w:val="left"/>
      <w:pPr>
        <w:ind w:left="1215" w:hanging="360"/>
      </w:pPr>
    </w:lvl>
    <w:lvl w:ilvl="1" w:tplc="0C6E1F9A">
      <w:start w:val="1"/>
      <w:numFmt w:val="lowerLetter"/>
      <w:lvlText w:val="%2."/>
      <w:lvlJc w:val="left"/>
      <w:pPr>
        <w:ind w:left="1935" w:hanging="360"/>
      </w:pPr>
    </w:lvl>
    <w:lvl w:ilvl="2" w:tplc="DD743CE2">
      <w:start w:val="1"/>
      <w:numFmt w:val="lowerRoman"/>
      <w:lvlText w:val="%3."/>
      <w:lvlJc w:val="right"/>
      <w:pPr>
        <w:ind w:left="2655" w:hanging="180"/>
      </w:pPr>
    </w:lvl>
    <w:lvl w:ilvl="3" w:tplc="0538AD10">
      <w:start w:val="1"/>
      <w:numFmt w:val="decimal"/>
      <w:lvlText w:val="%4."/>
      <w:lvlJc w:val="left"/>
      <w:pPr>
        <w:ind w:left="3375" w:hanging="360"/>
      </w:pPr>
    </w:lvl>
    <w:lvl w:ilvl="4" w:tplc="B7B8BEB6">
      <w:start w:val="1"/>
      <w:numFmt w:val="lowerLetter"/>
      <w:lvlText w:val="%5."/>
      <w:lvlJc w:val="left"/>
      <w:pPr>
        <w:ind w:left="4095" w:hanging="360"/>
      </w:pPr>
    </w:lvl>
    <w:lvl w:ilvl="5" w:tplc="DEA88ED8">
      <w:start w:val="1"/>
      <w:numFmt w:val="lowerRoman"/>
      <w:lvlText w:val="%6."/>
      <w:lvlJc w:val="right"/>
      <w:pPr>
        <w:ind w:left="4815" w:hanging="180"/>
      </w:pPr>
    </w:lvl>
    <w:lvl w:ilvl="6" w:tplc="645CABFE">
      <w:start w:val="1"/>
      <w:numFmt w:val="decimal"/>
      <w:lvlText w:val="%7."/>
      <w:lvlJc w:val="left"/>
      <w:pPr>
        <w:ind w:left="5535" w:hanging="360"/>
      </w:pPr>
    </w:lvl>
    <w:lvl w:ilvl="7" w:tplc="C04EE19C">
      <w:start w:val="1"/>
      <w:numFmt w:val="lowerLetter"/>
      <w:lvlText w:val="%8."/>
      <w:lvlJc w:val="left"/>
      <w:pPr>
        <w:ind w:left="6255" w:hanging="360"/>
      </w:pPr>
    </w:lvl>
    <w:lvl w:ilvl="8" w:tplc="9A845FE6">
      <w:start w:val="1"/>
      <w:numFmt w:val="lowerRoman"/>
      <w:lvlText w:val="%9."/>
      <w:lvlJc w:val="right"/>
      <w:pPr>
        <w:ind w:left="6975" w:hanging="180"/>
      </w:pPr>
    </w:lvl>
  </w:abstractNum>
  <w:abstractNum w:abstractNumId="4" w15:restartNumberingAfterBreak="0">
    <w:nsid w:val="0C72136B"/>
    <w:multiLevelType w:val="hybridMultilevel"/>
    <w:tmpl w:val="CC7C4A94"/>
    <w:lvl w:ilvl="0" w:tplc="535A35D0">
      <w:start w:val="1"/>
      <w:numFmt w:val="decimal"/>
      <w:lvlText w:val="%1."/>
      <w:lvlJc w:val="left"/>
      <w:pPr>
        <w:ind w:left="1215" w:hanging="360"/>
      </w:pPr>
    </w:lvl>
    <w:lvl w:ilvl="1" w:tplc="B9BCFCBC">
      <w:start w:val="1"/>
      <w:numFmt w:val="lowerLetter"/>
      <w:lvlText w:val="%2."/>
      <w:lvlJc w:val="left"/>
      <w:pPr>
        <w:ind w:left="1935" w:hanging="360"/>
      </w:pPr>
    </w:lvl>
    <w:lvl w:ilvl="2" w:tplc="4254F3D6">
      <w:start w:val="1"/>
      <w:numFmt w:val="lowerRoman"/>
      <w:lvlText w:val="%3."/>
      <w:lvlJc w:val="right"/>
      <w:pPr>
        <w:ind w:left="2655" w:hanging="180"/>
      </w:pPr>
    </w:lvl>
    <w:lvl w:ilvl="3" w:tplc="09D0BC94">
      <w:start w:val="1"/>
      <w:numFmt w:val="decimal"/>
      <w:lvlText w:val="%4."/>
      <w:lvlJc w:val="left"/>
      <w:pPr>
        <w:ind w:left="3375" w:hanging="360"/>
      </w:pPr>
    </w:lvl>
    <w:lvl w:ilvl="4" w:tplc="02A836BA">
      <w:start w:val="1"/>
      <w:numFmt w:val="lowerLetter"/>
      <w:lvlText w:val="%5."/>
      <w:lvlJc w:val="left"/>
      <w:pPr>
        <w:ind w:left="4095" w:hanging="360"/>
      </w:pPr>
    </w:lvl>
    <w:lvl w:ilvl="5" w:tplc="C9E4D92C">
      <w:start w:val="1"/>
      <w:numFmt w:val="lowerRoman"/>
      <w:lvlText w:val="%6."/>
      <w:lvlJc w:val="right"/>
      <w:pPr>
        <w:ind w:left="4815" w:hanging="180"/>
      </w:pPr>
    </w:lvl>
    <w:lvl w:ilvl="6" w:tplc="263E6708">
      <w:start w:val="1"/>
      <w:numFmt w:val="decimal"/>
      <w:lvlText w:val="%7."/>
      <w:lvlJc w:val="left"/>
      <w:pPr>
        <w:ind w:left="5535" w:hanging="360"/>
      </w:pPr>
    </w:lvl>
    <w:lvl w:ilvl="7" w:tplc="082CFD6C">
      <w:start w:val="1"/>
      <w:numFmt w:val="lowerLetter"/>
      <w:lvlText w:val="%8."/>
      <w:lvlJc w:val="left"/>
      <w:pPr>
        <w:ind w:left="6255" w:hanging="360"/>
      </w:pPr>
    </w:lvl>
    <w:lvl w:ilvl="8" w:tplc="CDDCEE6E">
      <w:start w:val="1"/>
      <w:numFmt w:val="lowerRoman"/>
      <w:lvlText w:val="%9."/>
      <w:lvlJc w:val="right"/>
      <w:pPr>
        <w:ind w:left="6975" w:hanging="180"/>
      </w:pPr>
    </w:lvl>
  </w:abstractNum>
  <w:abstractNum w:abstractNumId="5" w15:restartNumberingAfterBreak="0">
    <w:nsid w:val="0FE27FCF"/>
    <w:multiLevelType w:val="hybridMultilevel"/>
    <w:tmpl w:val="972AB520"/>
    <w:lvl w:ilvl="0" w:tplc="7694A29A">
      <w:start w:val="1"/>
      <w:numFmt w:val="upperRoman"/>
      <w:lvlText w:val="%1."/>
      <w:lvlJc w:val="right"/>
      <w:pPr>
        <w:ind w:left="1635" w:hanging="360"/>
      </w:pPr>
    </w:lvl>
    <w:lvl w:ilvl="1" w:tplc="7B2813E8">
      <w:start w:val="1"/>
      <w:numFmt w:val="lowerLetter"/>
      <w:lvlText w:val="%2."/>
      <w:lvlJc w:val="left"/>
      <w:pPr>
        <w:ind w:left="2355" w:hanging="360"/>
      </w:pPr>
    </w:lvl>
    <w:lvl w:ilvl="2" w:tplc="0BE4980C">
      <w:start w:val="1"/>
      <w:numFmt w:val="lowerRoman"/>
      <w:lvlText w:val="%3."/>
      <w:lvlJc w:val="right"/>
      <w:pPr>
        <w:ind w:left="3075" w:hanging="180"/>
      </w:pPr>
    </w:lvl>
    <w:lvl w:ilvl="3" w:tplc="7A82578A">
      <w:start w:val="1"/>
      <w:numFmt w:val="decimal"/>
      <w:lvlText w:val="%4."/>
      <w:lvlJc w:val="left"/>
      <w:pPr>
        <w:ind w:left="3795" w:hanging="360"/>
      </w:pPr>
    </w:lvl>
    <w:lvl w:ilvl="4" w:tplc="9CAE3DF4">
      <w:start w:val="1"/>
      <w:numFmt w:val="lowerLetter"/>
      <w:lvlText w:val="%5."/>
      <w:lvlJc w:val="left"/>
      <w:pPr>
        <w:ind w:left="4515" w:hanging="360"/>
      </w:pPr>
    </w:lvl>
    <w:lvl w:ilvl="5" w:tplc="2F36B772">
      <w:start w:val="1"/>
      <w:numFmt w:val="lowerRoman"/>
      <w:lvlText w:val="%6."/>
      <w:lvlJc w:val="right"/>
      <w:pPr>
        <w:ind w:left="5235" w:hanging="180"/>
      </w:pPr>
    </w:lvl>
    <w:lvl w:ilvl="6" w:tplc="3D7E73B0">
      <w:start w:val="1"/>
      <w:numFmt w:val="decimal"/>
      <w:lvlText w:val="%7."/>
      <w:lvlJc w:val="left"/>
      <w:pPr>
        <w:ind w:left="5955" w:hanging="360"/>
      </w:pPr>
    </w:lvl>
    <w:lvl w:ilvl="7" w:tplc="A302000C">
      <w:start w:val="1"/>
      <w:numFmt w:val="lowerLetter"/>
      <w:lvlText w:val="%8."/>
      <w:lvlJc w:val="left"/>
      <w:pPr>
        <w:ind w:left="6675" w:hanging="360"/>
      </w:pPr>
    </w:lvl>
    <w:lvl w:ilvl="8" w:tplc="20B4DDCE">
      <w:start w:val="1"/>
      <w:numFmt w:val="lowerRoman"/>
      <w:lvlText w:val="%9."/>
      <w:lvlJc w:val="right"/>
      <w:pPr>
        <w:ind w:left="7395" w:hanging="180"/>
      </w:pPr>
    </w:lvl>
  </w:abstractNum>
  <w:abstractNum w:abstractNumId="6" w15:restartNumberingAfterBreak="0">
    <w:nsid w:val="118C4EBC"/>
    <w:multiLevelType w:val="hybridMultilevel"/>
    <w:tmpl w:val="C8D643B6"/>
    <w:lvl w:ilvl="0" w:tplc="49EA2B70">
      <w:start w:val="1"/>
      <w:numFmt w:val="decimal"/>
      <w:lvlText w:val="%1."/>
      <w:lvlJc w:val="left"/>
      <w:pPr>
        <w:ind w:left="720" w:hanging="360"/>
      </w:pPr>
    </w:lvl>
    <w:lvl w:ilvl="1" w:tplc="ACC458BA">
      <w:start w:val="1"/>
      <w:numFmt w:val="lowerLetter"/>
      <w:lvlText w:val="%2."/>
      <w:lvlJc w:val="left"/>
      <w:pPr>
        <w:ind w:left="1440" w:hanging="360"/>
      </w:pPr>
    </w:lvl>
    <w:lvl w:ilvl="2" w:tplc="65C0D984">
      <w:start w:val="1"/>
      <w:numFmt w:val="lowerRoman"/>
      <w:lvlText w:val="%3."/>
      <w:lvlJc w:val="right"/>
      <w:pPr>
        <w:ind w:left="2160" w:hanging="180"/>
      </w:pPr>
    </w:lvl>
    <w:lvl w:ilvl="3" w:tplc="3B882CAA">
      <w:start w:val="1"/>
      <w:numFmt w:val="decimal"/>
      <w:lvlText w:val="%4."/>
      <w:lvlJc w:val="left"/>
      <w:pPr>
        <w:ind w:left="2880" w:hanging="360"/>
      </w:pPr>
    </w:lvl>
    <w:lvl w:ilvl="4" w:tplc="CA166456">
      <w:start w:val="1"/>
      <w:numFmt w:val="lowerLetter"/>
      <w:lvlText w:val="%5."/>
      <w:lvlJc w:val="left"/>
      <w:pPr>
        <w:ind w:left="3600" w:hanging="360"/>
      </w:pPr>
    </w:lvl>
    <w:lvl w:ilvl="5" w:tplc="B84CBBA0">
      <w:start w:val="1"/>
      <w:numFmt w:val="lowerRoman"/>
      <w:lvlText w:val="%6."/>
      <w:lvlJc w:val="right"/>
      <w:pPr>
        <w:ind w:left="4320" w:hanging="180"/>
      </w:pPr>
    </w:lvl>
    <w:lvl w:ilvl="6" w:tplc="9BF6BBDA">
      <w:start w:val="1"/>
      <w:numFmt w:val="decimal"/>
      <w:lvlText w:val="%7."/>
      <w:lvlJc w:val="left"/>
      <w:pPr>
        <w:ind w:left="5040" w:hanging="360"/>
      </w:pPr>
    </w:lvl>
    <w:lvl w:ilvl="7" w:tplc="1BEED9AC">
      <w:start w:val="1"/>
      <w:numFmt w:val="lowerLetter"/>
      <w:lvlText w:val="%8."/>
      <w:lvlJc w:val="left"/>
      <w:pPr>
        <w:ind w:left="5760" w:hanging="360"/>
      </w:pPr>
    </w:lvl>
    <w:lvl w:ilvl="8" w:tplc="5274B68E">
      <w:start w:val="1"/>
      <w:numFmt w:val="lowerRoman"/>
      <w:lvlText w:val="%9."/>
      <w:lvlJc w:val="right"/>
      <w:pPr>
        <w:ind w:left="6480" w:hanging="180"/>
      </w:pPr>
    </w:lvl>
  </w:abstractNum>
  <w:abstractNum w:abstractNumId="7" w15:restartNumberingAfterBreak="0">
    <w:nsid w:val="12027B0E"/>
    <w:multiLevelType w:val="hybridMultilevel"/>
    <w:tmpl w:val="99CEEDAA"/>
    <w:lvl w:ilvl="0" w:tplc="7382BC0E">
      <w:start w:val="1"/>
      <w:numFmt w:val="decimal"/>
      <w:lvlText w:val="%1."/>
      <w:lvlJc w:val="left"/>
      <w:pPr>
        <w:ind w:left="1440" w:hanging="360"/>
      </w:pPr>
    </w:lvl>
    <w:lvl w:ilvl="1" w:tplc="0DD024B4">
      <w:start w:val="1"/>
      <w:numFmt w:val="lowerLetter"/>
      <w:lvlText w:val="%2."/>
      <w:lvlJc w:val="left"/>
      <w:pPr>
        <w:ind w:left="2160" w:hanging="360"/>
      </w:pPr>
    </w:lvl>
    <w:lvl w:ilvl="2" w:tplc="8D0A1944">
      <w:start w:val="1"/>
      <w:numFmt w:val="lowerRoman"/>
      <w:lvlText w:val="%3."/>
      <w:lvlJc w:val="right"/>
      <w:pPr>
        <w:ind w:left="2880" w:hanging="180"/>
      </w:pPr>
    </w:lvl>
    <w:lvl w:ilvl="3" w:tplc="8FD68EBE">
      <w:start w:val="1"/>
      <w:numFmt w:val="decimal"/>
      <w:lvlText w:val="%4."/>
      <w:lvlJc w:val="left"/>
      <w:pPr>
        <w:ind w:left="3600" w:hanging="360"/>
      </w:pPr>
    </w:lvl>
    <w:lvl w:ilvl="4" w:tplc="9D3A49B6">
      <w:start w:val="1"/>
      <w:numFmt w:val="lowerLetter"/>
      <w:lvlText w:val="%5."/>
      <w:lvlJc w:val="left"/>
      <w:pPr>
        <w:ind w:left="4320" w:hanging="360"/>
      </w:pPr>
    </w:lvl>
    <w:lvl w:ilvl="5" w:tplc="5B507828">
      <w:start w:val="1"/>
      <w:numFmt w:val="lowerRoman"/>
      <w:lvlText w:val="%6."/>
      <w:lvlJc w:val="right"/>
      <w:pPr>
        <w:ind w:left="5040" w:hanging="180"/>
      </w:pPr>
    </w:lvl>
    <w:lvl w:ilvl="6" w:tplc="FA4AA3DC">
      <w:start w:val="1"/>
      <w:numFmt w:val="decimal"/>
      <w:lvlText w:val="%7."/>
      <w:lvlJc w:val="left"/>
      <w:pPr>
        <w:ind w:left="5760" w:hanging="360"/>
      </w:pPr>
    </w:lvl>
    <w:lvl w:ilvl="7" w:tplc="B432801E">
      <w:start w:val="1"/>
      <w:numFmt w:val="lowerLetter"/>
      <w:lvlText w:val="%8."/>
      <w:lvlJc w:val="left"/>
      <w:pPr>
        <w:ind w:left="6480" w:hanging="360"/>
      </w:pPr>
    </w:lvl>
    <w:lvl w:ilvl="8" w:tplc="719CEE14">
      <w:start w:val="1"/>
      <w:numFmt w:val="lowerRoman"/>
      <w:lvlText w:val="%9."/>
      <w:lvlJc w:val="right"/>
      <w:pPr>
        <w:ind w:left="7200" w:hanging="180"/>
      </w:pPr>
    </w:lvl>
  </w:abstractNum>
  <w:abstractNum w:abstractNumId="8" w15:restartNumberingAfterBreak="0">
    <w:nsid w:val="124B6BA4"/>
    <w:multiLevelType w:val="hybridMultilevel"/>
    <w:tmpl w:val="720A5F64"/>
    <w:lvl w:ilvl="0" w:tplc="6A606DE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2A028CB"/>
    <w:multiLevelType w:val="multilevel"/>
    <w:tmpl w:val="3AE48E8A"/>
    <w:lvl w:ilvl="0">
      <w:start w:val="1"/>
      <w:numFmt w:val="decimal"/>
      <w:lvlText w:val="%1."/>
      <w:lvlJc w:val="left"/>
      <w:pPr>
        <w:ind w:left="1080" w:hanging="360"/>
      </w:pPr>
    </w:lvl>
    <w:lvl w:ilvl="1">
      <w:start w:val="1"/>
      <w:numFmt w:val="decimal"/>
      <w:lvlText w:val="%1.%2."/>
      <w:lvlJc w:val="left"/>
      <w:pPr>
        <w:ind w:left="1440" w:hanging="360"/>
      </w:pPr>
    </w:lvl>
    <w:lvl w:ilvl="2">
      <w:start w:val="1"/>
      <w:numFmt w:val="decimal"/>
      <w:lvlText w:val="%1.%2.%3."/>
      <w:lvlJc w:val="left"/>
      <w:pPr>
        <w:ind w:left="2160" w:hanging="720"/>
      </w:pPr>
    </w:lvl>
    <w:lvl w:ilvl="3">
      <w:start w:val="1"/>
      <w:numFmt w:val="decimal"/>
      <w:lvlText w:val="%1.%2.%3.%4."/>
      <w:lvlJc w:val="left"/>
      <w:pPr>
        <w:ind w:left="2520" w:hanging="720"/>
      </w:pPr>
    </w:lvl>
    <w:lvl w:ilvl="4">
      <w:start w:val="1"/>
      <w:numFmt w:val="decimal"/>
      <w:lvlText w:val="%1.%2.%3.%4.%5."/>
      <w:lvlJc w:val="left"/>
      <w:pPr>
        <w:ind w:left="3240" w:hanging="1080"/>
      </w:pPr>
    </w:lvl>
    <w:lvl w:ilvl="5">
      <w:start w:val="1"/>
      <w:numFmt w:val="decimal"/>
      <w:lvlText w:val="%1.%2.%3.%4.%5.%6."/>
      <w:lvlJc w:val="left"/>
      <w:pPr>
        <w:ind w:left="3600" w:hanging="1080"/>
      </w:pPr>
    </w:lvl>
    <w:lvl w:ilvl="6">
      <w:start w:val="1"/>
      <w:numFmt w:val="decimal"/>
      <w:lvlText w:val="%1.%2.%3.%4.%5.%6.%7."/>
      <w:lvlJc w:val="left"/>
      <w:pPr>
        <w:ind w:left="4320" w:hanging="1440"/>
      </w:pPr>
    </w:lvl>
    <w:lvl w:ilvl="7">
      <w:start w:val="1"/>
      <w:numFmt w:val="decimal"/>
      <w:lvlText w:val="%1.%2.%3.%4.%5.%6.%7.%8."/>
      <w:lvlJc w:val="left"/>
      <w:pPr>
        <w:ind w:left="4680" w:hanging="1440"/>
      </w:pPr>
    </w:lvl>
    <w:lvl w:ilvl="8">
      <w:start w:val="1"/>
      <w:numFmt w:val="decimal"/>
      <w:lvlText w:val="%1.%2.%3.%4.%5.%6.%7.%8.%9."/>
      <w:lvlJc w:val="left"/>
      <w:pPr>
        <w:ind w:left="5400" w:hanging="1800"/>
      </w:pPr>
    </w:lvl>
  </w:abstractNum>
  <w:abstractNum w:abstractNumId="10" w15:restartNumberingAfterBreak="0">
    <w:nsid w:val="12FF66F7"/>
    <w:multiLevelType w:val="hybridMultilevel"/>
    <w:tmpl w:val="04405138"/>
    <w:lvl w:ilvl="0" w:tplc="0122CB1A">
      <w:start w:val="1"/>
      <w:numFmt w:val="decimal"/>
      <w:lvlText w:val="%1."/>
      <w:lvlJc w:val="left"/>
      <w:pPr>
        <w:ind w:left="720" w:hanging="360"/>
      </w:pPr>
    </w:lvl>
    <w:lvl w:ilvl="1" w:tplc="26BA3B4A">
      <w:start w:val="1"/>
      <w:numFmt w:val="lowerLetter"/>
      <w:lvlText w:val="%2."/>
      <w:lvlJc w:val="left"/>
      <w:pPr>
        <w:ind w:left="1440" w:hanging="360"/>
      </w:pPr>
    </w:lvl>
    <w:lvl w:ilvl="2" w:tplc="D93A45AE">
      <w:start w:val="1"/>
      <w:numFmt w:val="lowerRoman"/>
      <w:lvlText w:val="%3."/>
      <w:lvlJc w:val="right"/>
      <w:pPr>
        <w:ind w:left="2160" w:hanging="180"/>
      </w:pPr>
    </w:lvl>
    <w:lvl w:ilvl="3" w:tplc="B028763C">
      <w:start w:val="1"/>
      <w:numFmt w:val="decimal"/>
      <w:lvlText w:val="%4."/>
      <w:lvlJc w:val="left"/>
      <w:pPr>
        <w:ind w:left="2880" w:hanging="360"/>
      </w:pPr>
    </w:lvl>
    <w:lvl w:ilvl="4" w:tplc="61BA9952">
      <w:start w:val="1"/>
      <w:numFmt w:val="lowerLetter"/>
      <w:lvlText w:val="%5."/>
      <w:lvlJc w:val="left"/>
      <w:pPr>
        <w:ind w:left="3600" w:hanging="360"/>
      </w:pPr>
    </w:lvl>
    <w:lvl w:ilvl="5" w:tplc="65B4066A">
      <w:start w:val="1"/>
      <w:numFmt w:val="lowerRoman"/>
      <w:lvlText w:val="%6."/>
      <w:lvlJc w:val="right"/>
      <w:pPr>
        <w:ind w:left="4320" w:hanging="180"/>
      </w:pPr>
    </w:lvl>
    <w:lvl w:ilvl="6" w:tplc="4B882E68">
      <w:start w:val="1"/>
      <w:numFmt w:val="decimal"/>
      <w:lvlText w:val="%7."/>
      <w:lvlJc w:val="left"/>
      <w:pPr>
        <w:ind w:left="5040" w:hanging="360"/>
      </w:pPr>
    </w:lvl>
    <w:lvl w:ilvl="7" w:tplc="CF3E0CEE">
      <w:start w:val="1"/>
      <w:numFmt w:val="lowerLetter"/>
      <w:lvlText w:val="%8."/>
      <w:lvlJc w:val="left"/>
      <w:pPr>
        <w:ind w:left="5760" w:hanging="360"/>
      </w:pPr>
    </w:lvl>
    <w:lvl w:ilvl="8" w:tplc="8362E96A">
      <w:start w:val="1"/>
      <w:numFmt w:val="lowerRoman"/>
      <w:lvlText w:val="%9."/>
      <w:lvlJc w:val="right"/>
      <w:pPr>
        <w:ind w:left="6480" w:hanging="180"/>
      </w:pPr>
    </w:lvl>
  </w:abstractNum>
  <w:abstractNum w:abstractNumId="11" w15:restartNumberingAfterBreak="0">
    <w:nsid w:val="19D700AF"/>
    <w:multiLevelType w:val="singleLevel"/>
    <w:tmpl w:val="61DC9D19"/>
    <w:lvl w:ilvl="0">
      <w:start w:val="1"/>
      <w:numFmt w:val="decimal"/>
      <w:lvlText w:val="%1."/>
      <w:lvlJc w:val="left"/>
      <w:pPr>
        <w:tabs>
          <w:tab w:val="num" w:pos="720"/>
        </w:tabs>
        <w:ind w:left="432"/>
      </w:pPr>
      <w:rPr>
        <w:b/>
        <w:bCs/>
        <w:spacing w:val="66"/>
        <w:sz w:val="25"/>
        <w:szCs w:val="25"/>
      </w:rPr>
    </w:lvl>
  </w:abstractNum>
  <w:abstractNum w:abstractNumId="12" w15:restartNumberingAfterBreak="0">
    <w:nsid w:val="21A90436"/>
    <w:multiLevelType w:val="hybridMultilevel"/>
    <w:tmpl w:val="F0800436"/>
    <w:lvl w:ilvl="0" w:tplc="A2E498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77B5FA0"/>
    <w:multiLevelType w:val="hybridMultilevel"/>
    <w:tmpl w:val="34005768"/>
    <w:lvl w:ilvl="0" w:tplc="149E355E">
      <w:start w:val="1"/>
      <w:numFmt w:val="decimal"/>
      <w:lvlText w:val="[%1]"/>
      <w:lvlJc w:val="left"/>
      <w:pPr>
        <w:ind w:left="720" w:hanging="360"/>
      </w:pPr>
      <w:rPr>
        <w:rFonts w:hint="default"/>
        <w:i w:val="0"/>
      </w:rPr>
    </w:lvl>
    <w:lvl w:ilvl="1" w:tplc="B8763FFA">
      <w:start w:val="1"/>
      <w:numFmt w:val="lowerLetter"/>
      <w:lvlText w:val="%2."/>
      <w:lvlJc w:val="left"/>
      <w:pPr>
        <w:ind w:left="1440" w:hanging="360"/>
      </w:pPr>
    </w:lvl>
    <w:lvl w:ilvl="2" w:tplc="C8A61E04">
      <w:start w:val="1"/>
      <w:numFmt w:val="lowerRoman"/>
      <w:lvlText w:val="%3."/>
      <w:lvlJc w:val="right"/>
      <w:pPr>
        <w:ind w:left="2160" w:hanging="180"/>
      </w:pPr>
    </w:lvl>
    <w:lvl w:ilvl="3" w:tplc="C980CDFA">
      <w:start w:val="1"/>
      <w:numFmt w:val="decimal"/>
      <w:lvlText w:val="%4."/>
      <w:lvlJc w:val="left"/>
      <w:pPr>
        <w:ind w:left="2880" w:hanging="360"/>
      </w:pPr>
    </w:lvl>
    <w:lvl w:ilvl="4" w:tplc="6A1AF32C">
      <w:start w:val="1"/>
      <w:numFmt w:val="lowerLetter"/>
      <w:lvlText w:val="%5."/>
      <w:lvlJc w:val="left"/>
      <w:pPr>
        <w:ind w:left="3600" w:hanging="360"/>
      </w:pPr>
    </w:lvl>
    <w:lvl w:ilvl="5" w:tplc="959E5F9E">
      <w:start w:val="1"/>
      <w:numFmt w:val="lowerRoman"/>
      <w:lvlText w:val="%6."/>
      <w:lvlJc w:val="right"/>
      <w:pPr>
        <w:ind w:left="4320" w:hanging="180"/>
      </w:pPr>
    </w:lvl>
    <w:lvl w:ilvl="6" w:tplc="B252A676">
      <w:start w:val="1"/>
      <w:numFmt w:val="decimal"/>
      <w:lvlText w:val="%7."/>
      <w:lvlJc w:val="left"/>
      <w:pPr>
        <w:ind w:left="5040" w:hanging="360"/>
      </w:pPr>
    </w:lvl>
    <w:lvl w:ilvl="7" w:tplc="64E8ADD2">
      <w:start w:val="1"/>
      <w:numFmt w:val="lowerLetter"/>
      <w:lvlText w:val="%8."/>
      <w:lvlJc w:val="left"/>
      <w:pPr>
        <w:ind w:left="5760" w:hanging="360"/>
      </w:pPr>
    </w:lvl>
    <w:lvl w:ilvl="8" w:tplc="E97E14E2">
      <w:start w:val="1"/>
      <w:numFmt w:val="lowerRoman"/>
      <w:lvlText w:val="%9."/>
      <w:lvlJc w:val="right"/>
      <w:pPr>
        <w:ind w:left="6480" w:hanging="180"/>
      </w:pPr>
    </w:lvl>
  </w:abstractNum>
  <w:abstractNum w:abstractNumId="14" w15:restartNumberingAfterBreak="0">
    <w:nsid w:val="28254568"/>
    <w:multiLevelType w:val="hybridMultilevel"/>
    <w:tmpl w:val="B94A058A"/>
    <w:lvl w:ilvl="0" w:tplc="774ACB6C">
      <w:start w:val="1"/>
      <w:numFmt w:val="decimal"/>
      <w:lvlText w:val="%1."/>
      <w:lvlJc w:val="left"/>
      <w:pPr>
        <w:ind w:left="1215" w:hanging="360"/>
      </w:pPr>
    </w:lvl>
    <w:lvl w:ilvl="1" w:tplc="69E4B660">
      <w:start w:val="1"/>
      <w:numFmt w:val="lowerLetter"/>
      <w:lvlText w:val="%2."/>
      <w:lvlJc w:val="left"/>
      <w:pPr>
        <w:ind w:left="1935" w:hanging="360"/>
      </w:pPr>
    </w:lvl>
    <w:lvl w:ilvl="2" w:tplc="2908631E">
      <w:start w:val="1"/>
      <w:numFmt w:val="lowerRoman"/>
      <w:lvlText w:val="%3."/>
      <w:lvlJc w:val="right"/>
      <w:pPr>
        <w:ind w:left="2655" w:hanging="180"/>
      </w:pPr>
    </w:lvl>
    <w:lvl w:ilvl="3" w:tplc="D8AAB54C">
      <w:start w:val="1"/>
      <w:numFmt w:val="decimal"/>
      <w:lvlText w:val="%4."/>
      <w:lvlJc w:val="left"/>
      <w:pPr>
        <w:ind w:left="3375" w:hanging="360"/>
      </w:pPr>
    </w:lvl>
    <w:lvl w:ilvl="4" w:tplc="A0F8DF38">
      <w:start w:val="1"/>
      <w:numFmt w:val="lowerLetter"/>
      <w:lvlText w:val="%5."/>
      <w:lvlJc w:val="left"/>
      <w:pPr>
        <w:ind w:left="4095" w:hanging="360"/>
      </w:pPr>
    </w:lvl>
    <w:lvl w:ilvl="5" w:tplc="F1C6E6AE">
      <w:start w:val="1"/>
      <w:numFmt w:val="lowerRoman"/>
      <w:lvlText w:val="%6."/>
      <w:lvlJc w:val="right"/>
      <w:pPr>
        <w:ind w:left="4815" w:hanging="180"/>
      </w:pPr>
    </w:lvl>
    <w:lvl w:ilvl="6" w:tplc="5FB87FD4">
      <w:start w:val="1"/>
      <w:numFmt w:val="decimal"/>
      <w:lvlText w:val="%7."/>
      <w:lvlJc w:val="left"/>
      <w:pPr>
        <w:ind w:left="5535" w:hanging="360"/>
      </w:pPr>
    </w:lvl>
    <w:lvl w:ilvl="7" w:tplc="5CDA7C9A">
      <w:start w:val="1"/>
      <w:numFmt w:val="lowerLetter"/>
      <w:lvlText w:val="%8."/>
      <w:lvlJc w:val="left"/>
      <w:pPr>
        <w:ind w:left="6255" w:hanging="360"/>
      </w:pPr>
    </w:lvl>
    <w:lvl w:ilvl="8" w:tplc="B0AAF9D0">
      <w:start w:val="1"/>
      <w:numFmt w:val="lowerRoman"/>
      <w:lvlText w:val="%9."/>
      <w:lvlJc w:val="right"/>
      <w:pPr>
        <w:ind w:left="6975" w:hanging="180"/>
      </w:pPr>
    </w:lvl>
  </w:abstractNum>
  <w:abstractNum w:abstractNumId="15" w15:restartNumberingAfterBreak="0">
    <w:nsid w:val="28F8641C"/>
    <w:multiLevelType w:val="hybridMultilevel"/>
    <w:tmpl w:val="DBFE1D10"/>
    <w:lvl w:ilvl="0" w:tplc="B17442C6">
      <w:start w:val="1"/>
      <w:numFmt w:val="decimal"/>
      <w:lvlText w:val="%1."/>
      <w:lvlJc w:val="left"/>
      <w:pPr>
        <w:ind w:left="1215" w:hanging="360"/>
      </w:pPr>
    </w:lvl>
    <w:lvl w:ilvl="1" w:tplc="F544F236">
      <w:start w:val="1"/>
      <w:numFmt w:val="lowerLetter"/>
      <w:lvlText w:val="%2."/>
      <w:lvlJc w:val="left"/>
      <w:pPr>
        <w:ind w:left="1935" w:hanging="360"/>
      </w:pPr>
    </w:lvl>
    <w:lvl w:ilvl="2" w:tplc="87125142">
      <w:start w:val="1"/>
      <w:numFmt w:val="lowerRoman"/>
      <w:lvlText w:val="%3."/>
      <w:lvlJc w:val="right"/>
      <w:pPr>
        <w:ind w:left="2655" w:hanging="180"/>
      </w:pPr>
    </w:lvl>
    <w:lvl w:ilvl="3" w:tplc="B302FEA2">
      <w:start w:val="1"/>
      <w:numFmt w:val="decimal"/>
      <w:lvlText w:val="%4."/>
      <w:lvlJc w:val="left"/>
      <w:pPr>
        <w:ind w:left="3375" w:hanging="360"/>
      </w:pPr>
    </w:lvl>
    <w:lvl w:ilvl="4" w:tplc="50005FB8">
      <w:start w:val="1"/>
      <w:numFmt w:val="lowerLetter"/>
      <w:lvlText w:val="%5."/>
      <w:lvlJc w:val="left"/>
      <w:pPr>
        <w:ind w:left="4095" w:hanging="360"/>
      </w:pPr>
    </w:lvl>
    <w:lvl w:ilvl="5" w:tplc="88B61A7A">
      <w:start w:val="1"/>
      <w:numFmt w:val="lowerRoman"/>
      <w:lvlText w:val="%6."/>
      <w:lvlJc w:val="right"/>
      <w:pPr>
        <w:ind w:left="4815" w:hanging="180"/>
      </w:pPr>
    </w:lvl>
    <w:lvl w:ilvl="6" w:tplc="01BC0732">
      <w:start w:val="1"/>
      <w:numFmt w:val="decimal"/>
      <w:lvlText w:val="%7."/>
      <w:lvlJc w:val="left"/>
      <w:pPr>
        <w:ind w:left="5535" w:hanging="360"/>
      </w:pPr>
    </w:lvl>
    <w:lvl w:ilvl="7" w:tplc="6AC47638">
      <w:start w:val="1"/>
      <w:numFmt w:val="lowerLetter"/>
      <w:lvlText w:val="%8."/>
      <w:lvlJc w:val="left"/>
      <w:pPr>
        <w:ind w:left="6255" w:hanging="360"/>
      </w:pPr>
    </w:lvl>
    <w:lvl w:ilvl="8" w:tplc="DC9AB2BE">
      <w:start w:val="1"/>
      <w:numFmt w:val="lowerRoman"/>
      <w:lvlText w:val="%9."/>
      <w:lvlJc w:val="right"/>
      <w:pPr>
        <w:ind w:left="6975" w:hanging="180"/>
      </w:pPr>
    </w:lvl>
  </w:abstractNum>
  <w:abstractNum w:abstractNumId="16" w15:restartNumberingAfterBreak="0">
    <w:nsid w:val="29527639"/>
    <w:multiLevelType w:val="hybridMultilevel"/>
    <w:tmpl w:val="0F3846AE"/>
    <w:lvl w:ilvl="0" w:tplc="AF7A80CA">
      <w:start w:val="1"/>
      <w:numFmt w:val="lowerLetter"/>
      <w:lvlText w:val="(%1)"/>
      <w:lvlJc w:val="left"/>
      <w:pPr>
        <w:ind w:left="1575" w:hanging="360"/>
      </w:pPr>
    </w:lvl>
    <w:lvl w:ilvl="1" w:tplc="6C18459C">
      <w:start w:val="1"/>
      <w:numFmt w:val="lowerLetter"/>
      <w:lvlText w:val="%2."/>
      <w:lvlJc w:val="left"/>
      <w:pPr>
        <w:ind w:left="2295" w:hanging="360"/>
      </w:pPr>
    </w:lvl>
    <w:lvl w:ilvl="2" w:tplc="0170A70C">
      <w:start w:val="1"/>
      <w:numFmt w:val="lowerRoman"/>
      <w:lvlText w:val="%3."/>
      <w:lvlJc w:val="right"/>
      <w:pPr>
        <w:ind w:left="3015" w:hanging="180"/>
      </w:pPr>
    </w:lvl>
    <w:lvl w:ilvl="3" w:tplc="EA9263F4">
      <w:start w:val="1"/>
      <w:numFmt w:val="decimal"/>
      <w:lvlText w:val="%4."/>
      <w:lvlJc w:val="left"/>
      <w:pPr>
        <w:ind w:left="3735" w:hanging="360"/>
      </w:pPr>
    </w:lvl>
    <w:lvl w:ilvl="4" w:tplc="133AEF70">
      <w:start w:val="1"/>
      <w:numFmt w:val="lowerLetter"/>
      <w:lvlText w:val="%5."/>
      <w:lvlJc w:val="left"/>
      <w:pPr>
        <w:ind w:left="4455" w:hanging="360"/>
      </w:pPr>
    </w:lvl>
    <w:lvl w:ilvl="5" w:tplc="20547AA8">
      <w:start w:val="1"/>
      <w:numFmt w:val="lowerRoman"/>
      <w:lvlText w:val="%6."/>
      <w:lvlJc w:val="right"/>
      <w:pPr>
        <w:ind w:left="5175" w:hanging="180"/>
      </w:pPr>
    </w:lvl>
    <w:lvl w:ilvl="6" w:tplc="E46A4790">
      <w:start w:val="1"/>
      <w:numFmt w:val="decimal"/>
      <w:lvlText w:val="%7."/>
      <w:lvlJc w:val="left"/>
      <w:pPr>
        <w:ind w:left="5895" w:hanging="360"/>
      </w:pPr>
    </w:lvl>
    <w:lvl w:ilvl="7" w:tplc="CC80E71E">
      <w:start w:val="1"/>
      <w:numFmt w:val="lowerLetter"/>
      <w:lvlText w:val="%8."/>
      <w:lvlJc w:val="left"/>
      <w:pPr>
        <w:ind w:left="6615" w:hanging="360"/>
      </w:pPr>
    </w:lvl>
    <w:lvl w:ilvl="8" w:tplc="2B2241A4">
      <w:start w:val="1"/>
      <w:numFmt w:val="lowerRoman"/>
      <w:lvlText w:val="%9."/>
      <w:lvlJc w:val="right"/>
      <w:pPr>
        <w:ind w:left="7335" w:hanging="180"/>
      </w:pPr>
    </w:lvl>
  </w:abstractNum>
  <w:abstractNum w:abstractNumId="17" w15:restartNumberingAfterBreak="0">
    <w:nsid w:val="29711527"/>
    <w:multiLevelType w:val="hybridMultilevel"/>
    <w:tmpl w:val="89EEFBB8"/>
    <w:lvl w:ilvl="0" w:tplc="263C3652">
      <w:start w:val="1"/>
      <w:numFmt w:val="lowerLetter"/>
      <w:lvlText w:val="(%1)"/>
      <w:lvlJc w:val="left"/>
      <w:pPr>
        <w:ind w:left="1215" w:hanging="360"/>
      </w:pPr>
    </w:lvl>
    <w:lvl w:ilvl="1" w:tplc="304EA4AE">
      <w:start w:val="1"/>
      <w:numFmt w:val="lowerLetter"/>
      <w:lvlText w:val="%2."/>
      <w:lvlJc w:val="left"/>
      <w:pPr>
        <w:ind w:left="1935" w:hanging="360"/>
      </w:pPr>
    </w:lvl>
    <w:lvl w:ilvl="2" w:tplc="54BC3980">
      <w:start w:val="1"/>
      <w:numFmt w:val="lowerRoman"/>
      <w:lvlText w:val="%3."/>
      <w:lvlJc w:val="right"/>
      <w:pPr>
        <w:ind w:left="2655" w:hanging="180"/>
      </w:pPr>
    </w:lvl>
    <w:lvl w:ilvl="3" w:tplc="5748C674">
      <w:start w:val="1"/>
      <w:numFmt w:val="decimal"/>
      <w:lvlText w:val="%4."/>
      <w:lvlJc w:val="left"/>
      <w:pPr>
        <w:ind w:left="3375" w:hanging="360"/>
      </w:pPr>
    </w:lvl>
    <w:lvl w:ilvl="4" w:tplc="E8AA875C">
      <w:start w:val="1"/>
      <w:numFmt w:val="lowerLetter"/>
      <w:lvlText w:val="%5."/>
      <w:lvlJc w:val="left"/>
      <w:pPr>
        <w:ind w:left="4095" w:hanging="360"/>
      </w:pPr>
    </w:lvl>
    <w:lvl w:ilvl="5" w:tplc="77825252">
      <w:start w:val="1"/>
      <w:numFmt w:val="lowerRoman"/>
      <w:lvlText w:val="%6."/>
      <w:lvlJc w:val="right"/>
      <w:pPr>
        <w:ind w:left="4815" w:hanging="180"/>
      </w:pPr>
    </w:lvl>
    <w:lvl w:ilvl="6" w:tplc="6B2AC97C">
      <w:start w:val="1"/>
      <w:numFmt w:val="decimal"/>
      <w:lvlText w:val="%7."/>
      <w:lvlJc w:val="left"/>
      <w:pPr>
        <w:ind w:left="5535" w:hanging="360"/>
      </w:pPr>
    </w:lvl>
    <w:lvl w:ilvl="7" w:tplc="552A9C18">
      <w:start w:val="1"/>
      <w:numFmt w:val="lowerLetter"/>
      <w:lvlText w:val="%8."/>
      <w:lvlJc w:val="left"/>
      <w:pPr>
        <w:ind w:left="6255" w:hanging="360"/>
      </w:pPr>
    </w:lvl>
    <w:lvl w:ilvl="8" w:tplc="B5B8DB10">
      <w:start w:val="1"/>
      <w:numFmt w:val="lowerRoman"/>
      <w:lvlText w:val="%9."/>
      <w:lvlJc w:val="right"/>
      <w:pPr>
        <w:ind w:left="6975" w:hanging="180"/>
      </w:pPr>
    </w:lvl>
  </w:abstractNum>
  <w:abstractNum w:abstractNumId="18" w15:restartNumberingAfterBreak="0">
    <w:nsid w:val="29F43F85"/>
    <w:multiLevelType w:val="hybridMultilevel"/>
    <w:tmpl w:val="207A3778"/>
    <w:lvl w:ilvl="0" w:tplc="26EEFDF8">
      <w:start w:val="1"/>
      <w:numFmt w:val="lowerLetter"/>
      <w:lvlText w:val="%1)"/>
      <w:lvlJc w:val="left"/>
      <w:pPr>
        <w:ind w:left="720" w:hanging="360"/>
      </w:pPr>
    </w:lvl>
    <w:lvl w:ilvl="1" w:tplc="CE6A6952">
      <w:start w:val="1"/>
      <w:numFmt w:val="lowerLetter"/>
      <w:lvlText w:val="%2."/>
      <w:lvlJc w:val="left"/>
      <w:pPr>
        <w:ind w:left="1440" w:hanging="360"/>
      </w:pPr>
    </w:lvl>
    <w:lvl w:ilvl="2" w:tplc="E2B4BDA0">
      <w:start w:val="1"/>
      <w:numFmt w:val="lowerRoman"/>
      <w:lvlText w:val="%3."/>
      <w:lvlJc w:val="right"/>
      <w:pPr>
        <w:ind w:left="2160" w:hanging="180"/>
      </w:pPr>
    </w:lvl>
    <w:lvl w:ilvl="3" w:tplc="29CE50A2">
      <w:start w:val="1"/>
      <w:numFmt w:val="decimal"/>
      <w:lvlText w:val="%4."/>
      <w:lvlJc w:val="left"/>
      <w:pPr>
        <w:ind w:left="2880" w:hanging="360"/>
      </w:pPr>
    </w:lvl>
    <w:lvl w:ilvl="4" w:tplc="B31229F8">
      <w:start w:val="1"/>
      <w:numFmt w:val="lowerLetter"/>
      <w:lvlText w:val="%5."/>
      <w:lvlJc w:val="left"/>
      <w:pPr>
        <w:ind w:left="3600" w:hanging="360"/>
      </w:pPr>
    </w:lvl>
    <w:lvl w:ilvl="5" w:tplc="788E7986">
      <w:start w:val="1"/>
      <w:numFmt w:val="lowerRoman"/>
      <w:lvlText w:val="%6."/>
      <w:lvlJc w:val="right"/>
      <w:pPr>
        <w:ind w:left="4320" w:hanging="180"/>
      </w:pPr>
    </w:lvl>
    <w:lvl w:ilvl="6" w:tplc="86A4E30C">
      <w:start w:val="1"/>
      <w:numFmt w:val="decimal"/>
      <w:lvlText w:val="%7."/>
      <w:lvlJc w:val="left"/>
      <w:pPr>
        <w:ind w:left="5040" w:hanging="360"/>
      </w:pPr>
    </w:lvl>
    <w:lvl w:ilvl="7" w:tplc="E6642E6C">
      <w:start w:val="1"/>
      <w:numFmt w:val="lowerLetter"/>
      <w:lvlText w:val="%8."/>
      <w:lvlJc w:val="left"/>
      <w:pPr>
        <w:ind w:left="5760" w:hanging="360"/>
      </w:pPr>
    </w:lvl>
    <w:lvl w:ilvl="8" w:tplc="351E4256">
      <w:start w:val="1"/>
      <w:numFmt w:val="lowerRoman"/>
      <w:lvlText w:val="%9."/>
      <w:lvlJc w:val="right"/>
      <w:pPr>
        <w:ind w:left="6480" w:hanging="180"/>
      </w:pPr>
    </w:lvl>
  </w:abstractNum>
  <w:abstractNum w:abstractNumId="19" w15:restartNumberingAfterBreak="0">
    <w:nsid w:val="2AB34ED3"/>
    <w:multiLevelType w:val="hybridMultilevel"/>
    <w:tmpl w:val="3648C034"/>
    <w:lvl w:ilvl="0" w:tplc="24F4FEAA">
      <w:start w:val="1"/>
      <w:numFmt w:val="lowerLetter"/>
      <w:lvlText w:val="(%1)"/>
      <w:lvlJc w:val="left"/>
      <w:pPr>
        <w:ind w:left="1800" w:hanging="360"/>
      </w:pPr>
    </w:lvl>
    <w:lvl w:ilvl="1" w:tplc="7C88F67E">
      <w:start w:val="1"/>
      <w:numFmt w:val="lowerLetter"/>
      <w:lvlText w:val="%2."/>
      <w:lvlJc w:val="left"/>
      <w:pPr>
        <w:ind w:left="2520" w:hanging="360"/>
      </w:pPr>
    </w:lvl>
    <w:lvl w:ilvl="2" w:tplc="FF1EB824">
      <w:start w:val="1"/>
      <w:numFmt w:val="lowerRoman"/>
      <w:lvlText w:val="%3."/>
      <w:lvlJc w:val="right"/>
      <w:pPr>
        <w:ind w:left="3240" w:hanging="180"/>
      </w:pPr>
    </w:lvl>
    <w:lvl w:ilvl="3" w:tplc="ADE49586">
      <w:start w:val="1"/>
      <w:numFmt w:val="decimal"/>
      <w:lvlText w:val="%4."/>
      <w:lvlJc w:val="left"/>
      <w:pPr>
        <w:ind w:left="3960" w:hanging="360"/>
      </w:pPr>
    </w:lvl>
    <w:lvl w:ilvl="4" w:tplc="C7A6B5F4">
      <w:start w:val="1"/>
      <w:numFmt w:val="lowerLetter"/>
      <w:lvlText w:val="%5."/>
      <w:lvlJc w:val="left"/>
      <w:pPr>
        <w:ind w:left="4680" w:hanging="360"/>
      </w:pPr>
    </w:lvl>
    <w:lvl w:ilvl="5" w:tplc="D312E1DE">
      <w:start w:val="1"/>
      <w:numFmt w:val="lowerRoman"/>
      <w:lvlText w:val="%6."/>
      <w:lvlJc w:val="right"/>
      <w:pPr>
        <w:ind w:left="5400" w:hanging="180"/>
      </w:pPr>
    </w:lvl>
    <w:lvl w:ilvl="6" w:tplc="BB68150E">
      <w:start w:val="1"/>
      <w:numFmt w:val="decimal"/>
      <w:lvlText w:val="%7."/>
      <w:lvlJc w:val="left"/>
      <w:pPr>
        <w:ind w:left="6120" w:hanging="360"/>
      </w:pPr>
    </w:lvl>
    <w:lvl w:ilvl="7" w:tplc="32487238">
      <w:start w:val="1"/>
      <w:numFmt w:val="lowerLetter"/>
      <w:lvlText w:val="%8."/>
      <w:lvlJc w:val="left"/>
      <w:pPr>
        <w:ind w:left="6840" w:hanging="360"/>
      </w:pPr>
    </w:lvl>
    <w:lvl w:ilvl="8" w:tplc="4D38D356">
      <w:start w:val="1"/>
      <w:numFmt w:val="lowerRoman"/>
      <w:lvlText w:val="%9."/>
      <w:lvlJc w:val="right"/>
      <w:pPr>
        <w:ind w:left="7560" w:hanging="180"/>
      </w:pPr>
    </w:lvl>
  </w:abstractNum>
  <w:abstractNum w:abstractNumId="20" w15:restartNumberingAfterBreak="0">
    <w:nsid w:val="2C86462F"/>
    <w:multiLevelType w:val="hybridMultilevel"/>
    <w:tmpl w:val="43A8128A"/>
    <w:lvl w:ilvl="0" w:tplc="89784C64">
      <w:start w:val="1"/>
      <w:numFmt w:val="lowerLetter"/>
      <w:lvlText w:val="(%1)"/>
      <w:lvlJc w:val="left"/>
      <w:pPr>
        <w:ind w:left="1800" w:hanging="360"/>
      </w:pPr>
    </w:lvl>
    <w:lvl w:ilvl="1" w:tplc="ECF2BB04">
      <w:start w:val="1"/>
      <w:numFmt w:val="lowerLetter"/>
      <w:lvlText w:val="%2."/>
      <w:lvlJc w:val="left"/>
      <w:pPr>
        <w:ind w:left="2520" w:hanging="360"/>
      </w:pPr>
    </w:lvl>
    <w:lvl w:ilvl="2" w:tplc="F8B62AA0">
      <w:start w:val="1"/>
      <w:numFmt w:val="lowerRoman"/>
      <w:lvlText w:val="%3."/>
      <w:lvlJc w:val="right"/>
      <w:pPr>
        <w:ind w:left="3240" w:hanging="180"/>
      </w:pPr>
    </w:lvl>
    <w:lvl w:ilvl="3" w:tplc="9276474C">
      <w:start w:val="1"/>
      <w:numFmt w:val="decimal"/>
      <w:lvlText w:val="%4."/>
      <w:lvlJc w:val="left"/>
      <w:pPr>
        <w:ind w:left="3960" w:hanging="360"/>
      </w:pPr>
    </w:lvl>
    <w:lvl w:ilvl="4" w:tplc="BE66DADC">
      <w:start w:val="1"/>
      <w:numFmt w:val="lowerLetter"/>
      <w:lvlText w:val="%5."/>
      <w:lvlJc w:val="left"/>
      <w:pPr>
        <w:ind w:left="4680" w:hanging="360"/>
      </w:pPr>
    </w:lvl>
    <w:lvl w:ilvl="5" w:tplc="AD66AAE6">
      <w:start w:val="1"/>
      <w:numFmt w:val="lowerRoman"/>
      <w:lvlText w:val="%6."/>
      <w:lvlJc w:val="right"/>
      <w:pPr>
        <w:ind w:left="5400" w:hanging="180"/>
      </w:pPr>
    </w:lvl>
    <w:lvl w:ilvl="6" w:tplc="BBECC666">
      <w:start w:val="1"/>
      <w:numFmt w:val="decimal"/>
      <w:lvlText w:val="%7."/>
      <w:lvlJc w:val="left"/>
      <w:pPr>
        <w:ind w:left="6120" w:hanging="360"/>
      </w:pPr>
    </w:lvl>
    <w:lvl w:ilvl="7" w:tplc="E4309D8C">
      <w:start w:val="1"/>
      <w:numFmt w:val="lowerLetter"/>
      <w:lvlText w:val="%8."/>
      <w:lvlJc w:val="left"/>
      <w:pPr>
        <w:ind w:left="6840" w:hanging="360"/>
      </w:pPr>
    </w:lvl>
    <w:lvl w:ilvl="8" w:tplc="AE72C522">
      <w:start w:val="1"/>
      <w:numFmt w:val="lowerRoman"/>
      <w:lvlText w:val="%9."/>
      <w:lvlJc w:val="right"/>
      <w:pPr>
        <w:ind w:left="7560" w:hanging="180"/>
      </w:pPr>
    </w:lvl>
  </w:abstractNum>
  <w:abstractNum w:abstractNumId="21" w15:restartNumberingAfterBreak="0">
    <w:nsid w:val="30F44FC6"/>
    <w:multiLevelType w:val="hybridMultilevel"/>
    <w:tmpl w:val="BB7E85D0"/>
    <w:lvl w:ilvl="0" w:tplc="0D5A862E">
      <w:start w:val="1"/>
      <w:numFmt w:val="lowerRoman"/>
      <w:lvlText w:val="%1."/>
      <w:lvlJc w:val="right"/>
      <w:pPr>
        <w:ind w:left="720" w:hanging="360"/>
      </w:pPr>
    </w:lvl>
    <w:lvl w:ilvl="1" w:tplc="175EE36E">
      <w:start w:val="1"/>
      <w:numFmt w:val="lowerLetter"/>
      <w:lvlText w:val="%2."/>
      <w:lvlJc w:val="left"/>
      <w:pPr>
        <w:ind w:left="1440" w:hanging="360"/>
      </w:pPr>
    </w:lvl>
    <w:lvl w:ilvl="2" w:tplc="7F74F120">
      <w:start w:val="1"/>
      <w:numFmt w:val="lowerRoman"/>
      <w:lvlText w:val="%3."/>
      <w:lvlJc w:val="right"/>
      <w:pPr>
        <w:ind w:left="2160" w:hanging="180"/>
      </w:pPr>
    </w:lvl>
    <w:lvl w:ilvl="3" w:tplc="1C400BBA">
      <w:start w:val="1"/>
      <w:numFmt w:val="decimal"/>
      <w:lvlText w:val="%4."/>
      <w:lvlJc w:val="left"/>
      <w:pPr>
        <w:ind w:left="2880" w:hanging="360"/>
      </w:pPr>
    </w:lvl>
    <w:lvl w:ilvl="4" w:tplc="34E23932">
      <w:start w:val="1"/>
      <w:numFmt w:val="lowerLetter"/>
      <w:lvlText w:val="%5."/>
      <w:lvlJc w:val="left"/>
      <w:pPr>
        <w:ind w:left="3600" w:hanging="360"/>
      </w:pPr>
    </w:lvl>
    <w:lvl w:ilvl="5" w:tplc="B5C0369E">
      <w:start w:val="1"/>
      <w:numFmt w:val="lowerRoman"/>
      <w:lvlText w:val="%6."/>
      <w:lvlJc w:val="right"/>
      <w:pPr>
        <w:ind w:left="4320" w:hanging="180"/>
      </w:pPr>
    </w:lvl>
    <w:lvl w:ilvl="6" w:tplc="95067B78">
      <w:start w:val="1"/>
      <w:numFmt w:val="decimal"/>
      <w:lvlText w:val="%7."/>
      <w:lvlJc w:val="left"/>
      <w:pPr>
        <w:ind w:left="5040" w:hanging="360"/>
      </w:pPr>
    </w:lvl>
    <w:lvl w:ilvl="7" w:tplc="0CEE5EB4">
      <w:start w:val="1"/>
      <w:numFmt w:val="lowerLetter"/>
      <w:lvlText w:val="%8."/>
      <w:lvlJc w:val="left"/>
      <w:pPr>
        <w:ind w:left="5760" w:hanging="360"/>
      </w:pPr>
    </w:lvl>
    <w:lvl w:ilvl="8" w:tplc="862602BE">
      <w:start w:val="1"/>
      <w:numFmt w:val="lowerRoman"/>
      <w:lvlText w:val="%9."/>
      <w:lvlJc w:val="right"/>
      <w:pPr>
        <w:ind w:left="6480" w:hanging="180"/>
      </w:pPr>
    </w:lvl>
  </w:abstractNum>
  <w:abstractNum w:abstractNumId="22" w15:restartNumberingAfterBreak="0">
    <w:nsid w:val="322C0098"/>
    <w:multiLevelType w:val="multilevel"/>
    <w:tmpl w:val="3C2CC60E"/>
    <w:lvl w:ilvl="0">
      <w:start w:val="1"/>
      <w:numFmt w:val="decimal"/>
      <w:lvlText w:val="%1."/>
      <w:lvlJc w:val="left"/>
      <w:pPr>
        <w:ind w:left="1440" w:hanging="360"/>
      </w:pPr>
    </w:lvl>
    <w:lvl w:ilvl="1">
      <w:start w:val="1"/>
      <w:numFmt w:val="decimal"/>
      <w:lvlText w:val="%1.%2."/>
      <w:lvlJc w:val="left"/>
      <w:pPr>
        <w:ind w:left="1800" w:hanging="72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23" w15:restartNumberingAfterBreak="0">
    <w:nsid w:val="32937796"/>
    <w:multiLevelType w:val="hybridMultilevel"/>
    <w:tmpl w:val="4E86CBD4"/>
    <w:lvl w:ilvl="0" w:tplc="5D0E689A">
      <w:start w:val="1"/>
      <w:numFmt w:val="decimal"/>
      <w:lvlText w:val="%1."/>
      <w:lvlJc w:val="left"/>
      <w:pPr>
        <w:ind w:left="1215" w:hanging="360"/>
      </w:pPr>
    </w:lvl>
    <w:lvl w:ilvl="1" w:tplc="5E287F86">
      <w:start w:val="1"/>
      <w:numFmt w:val="lowerLetter"/>
      <w:lvlText w:val="%2."/>
      <w:lvlJc w:val="left"/>
      <w:pPr>
        <w:ind w:left="1935" w:hanging="360"/>
      </w:pPr>
    </w:lvl>
    <w:lvl w:ilvl="2" w:tplc="BB600BBA">
      <w:start w:val="1"/>
      <w:numFmt w:val="lowerRoman"/>
      <w:lvlText w:val="%3."/>
      <w:lvlJc w:val="right"/>
      <w:pPr>
        <w:ind w:left="2655" w:hanging="180"/>
      </w:pPr>
    </w:lvl>
    <w:lvl w:ilvl="3" w:tplc="497EE8C8">
      <w:start w:val="1"/>
      <w:numFmt w:val="decimal"/>
      <w:lvlText w:val="%4."/>
      <w:lvlJc w:val="left"/>
      <w:pPr>
        <w:ind w:left="3375" w:hanging="360"/>
      </w:pPr>
    </w:lvl>
    <w:lvl w:ilvl="4" w:tplc="02D61084">
      <w:start w:val="1"/>
      <w:numFmt w:val="lowerLetter"/>
      <w:lvlText w:val="%5."/>
      <w:lvlJc w:val="left"/>
      <w:pPr>
        <w:ind w:left="4095" w:hanging="360"/>
      </w:pPr>
    </w:lvl>
    <w:lvl w:ilvl="5" w:tplc="E6028FC4">
      <w:start w:val="1"/>
      <w:numFmt w:val="lowerRoman"/>
      <w:lvlText w:val="%6."/>
      <w:lvlJc w:val="right"/>
      <w:pPr>
        <w:ind w:left="4815" w:hanging="180"/>
      </w:pPr>
    </w:lvl>
    <w:lvl w:ilvl="6" w:tplc="FD565484">
      <w:start w:val="1"/>
      <w:numFmt w:val="decimal"/>
      <w:lvlText w:val="%7."/>
      <w:lvlJc w:val="left"/>
      <w:pPr>
        <w:ind w:left="5535" w:hanging="360"/>
      </w:pPr>
    </w:lvl>
    <w:lvl w:ilvl="7" w:tplc="D6C83E50">
      <w:start w:val="1"/>
      <w:numFmt w:val="lowerLetter"/>
      <w:lvlText w:val="%8."/>
      <w:lvlJc w:val="left"/>
      <w:pPr>
        <w:ind w:left="6255" w:hanging="360"/>
      </w:pPr>
    </w:lvl>
    <w:lvl w:ilvl="8" w:tplc="FB0EF83C">
      <w:start w:val="1"/>
      <w:numFmt w:val="lowerRoman"/>
      <w:lvlText w:val="%9."/>
      <w:lvlJc w:val="right"/>
      <w:pPr>
        <w:ind w:left="6975" w:hanging="180"/>
      </w:pPr>
    </w:lvl>
  </w:abstractNum>
  <w:abstractNum w:abstractNumId="24" w15:restartNumberingAfterBreak="0">
    <w:nsid w:val="340137F2"/>
    <w:multiLevelType w:val="hybridMultilevel"/>
    <w:tmpl w:val="82A6A724"/>
    <w:lvl w:ilvl="0" w:tplc="A3545AB4">
      <w:start w:val="1"/>
      <w:numFmt w:val="decimal"/>
      <w:lvlText w:val="%1."/>
      <w:lvlJc w:val="left"/>
      <w:pPr>
        <w:ind w:left="927" w:hanging="360"/>
      </w:pPr>
    </w:lvl>
    <w:lvl w:ilvl="1" w:tplc="13ACFBB0">
      <w:start w:val="1"/>
      <w:numFmt w:val="lowerLetter"/>
      <w:lvlText w:val="%2."/>
      <w:lvlJc w:val="left"/>
      <w:pPr>
        <w:ind w:left="1647" w:hanging="360"/>
      </w:pPr>
    </w:lvl>
    <w:lvl w:ilvl="2" w:tplc="1B8E5DA6">
      <w:start w:val="1"/>
      <w:numFmt w:val="lowerRoman"/>
      <w:lvlText w:val="%3."/>
      <w:lvlJc w:val="right"/>
      <w:pPr>
        <w:ind w:left="2367" w:hanging="180"/>
      </w:pPr>
    </w:lvl>
    <w:lvl w:ilvl="3" w:tplc="00B6B40C">
      <w:start w:val="1"/>
      <w:numFmt w:val="decimal"/>
      <w:lvlText w:val="%4."/>
      <w:lvlJc w:val="left"/>
      <w:pPr>
        <w:ind w:left="3087" w:hanging="360"/>
      </w:pPr>
    </w:lvl>
    <w:lvl w:ilvl="4" w:tplc="B81238A8">
      <w:start w:val="1"/>
      <w:numFmt w:val="lowerLetter"/>
      <w:lvlText w:val="%5."/>
      <w:lvlJc w:val="left"/>
      <w:pPr>
        <w:ind w:left="3807" w:hanging="360"/>
      </w:pPr>
    </w:lvl>
    <w:lvl w:ilvl="5" w:tplc="E8F0DC44">
      <w:start w:val="1"/>
      <w:numFmt w:val="lowerRoman"/>
      <w:lvlText w:val="%6."/>
      <w:lvlJc w:val="right"/>
      <w:pPr>
        <w:ind w:left="4527" w:hanging="180"/>
      </w:pPr>
    </w:lvl>
    <w:lvl w:ilvl="6" w:tplc="98AC7D3E">
      <w:start w:val="1"/>
      <w:numFmt w:val="decimal"/>
      <w:lvlText w:val="%7."/>
      <w:lvlJc w:val="left"/>
      <w:pPr>
        <w:ind w:left="5247" w:hanging="360"/>
      </w:pPr>
    </w:lvl>
    <w:lvl w:ilvl="7" w:tplc="420A0576">
      <w:start w:val="1"/>
      <w:numFmt w:val="lowerLetter"/>
      <w:lvlText w:val="%8."/>
      <w:lvlJc w:val="left"/>
      <w:pPr>
        <w:ind w:left="5967" w:hanging="360"/>
      </w:pPr>
    </w:lvl>
    <w:lvl w:ilvl="8" w:tplc="DA0CA40C">
      <w:start w:val="1"/>
      <w:numFmt w:val="lowerRoman"/>
      <w:lvlText w:val="%9."/>
      <w:lvlJc w:val="right"/>
      <w:pPr>
        <w:ind w:left="6687" w:hanging="180"/>
      </w:pPr>
    </w:lvl>
  </w:abstractNum>
  <w:abstractNum w:abstractNumId="25" w15:restartNumberingAfterBreak="0">
    <w:nsid w:val="3CC87D73"/>
    <w:multiLevelType w:val="hybridMultilevel"/>
    <w:tmpl w:val="EE4ED5C0"/>
    <w:lvl w:ilvl="0" w:tplc="7C36892C">
      <w:start w:val="1"/>
      <w:numFmt w:val="decimal"/>
      <w:lvlText w:val="[%1."/>
      <w:lvlJc w:val="left"/>
      <w:pPr>
        <w:ind w:left="753" w:hanging="360"/>
      </w:pPr>
    </w:lvl>
    <w:lvl w:ilvl="1" w:tplc="E244C4C6">
      <w:start w:val="1"/>
      <w:numFmt w:val="lowerLetter"/>
      <w:lvlText w:val="%2."/>
      <w:lvlJc w:val="left"/>
      <w:pPr>
        <w:ind w:left="1473" w:hanging="360"/>
      </w:pPr>
    </w:lvl>
    <w:lvl w:ilvl="2" w:tplc="88D032E6">
      <w:start w:val="1"/>
      <w:numFmt w:val="lowerRoman"/>
      <w:lvlText w:val="%3."/>
      <w:lvlJc w:val="right"/>
      <w:pPr>
        <w:ind w:left="2193" w:hanging="180"/>
      </w:pPr>
    </w:lvl>
    <w:lvl w:ilvl="3" w:tplc="1E6A2424">
      <w:start w:val="1"/>
      <w:numFmt w:val="decimal"/>
      <w:lvlText w:val="%4."/>
      <w:lvlJc w:val="left"/>
      <w:pPr>
        <w:ind w:left="2913" w:hanging="360"/>
      </w:pPr>
    </w:lvl>
    <w:lvl w:ilvl="4" w:tplc="BCE892E8">
      <w:start w:val="1"/>
      <w:numFmt w:val="lowerLetter"/>
      <w:lvlText w:val="%5."/>
      <w:lvlJc w:val="left"/>
      <w:pPr>
        <w:ind w:left="3633" w:hanging="360"/>
      </w:pPr>
    </w:lvl>
    <w:lvl w:ilvl="5" w:tplc="431ACED0">
      <w:start w:val="1"/>
      <w:numFmt w:val="lowerRoman"/>
      <w:lvlText w:val="%6."/>
      <w:lvlJc w:val="right"/>
      <w:pPr>
        <w:ind w:left="4353" w:hanging="180"/>
      </w:pPr>
    </w:lvl>
    <w:lvl w:ilvl="6" w:tplc="AA7E1EEC">
      <w:start w:val="1"/>
      <w:numFmt w:val="decimal"/>
      <w:lvlText w:val="%7."/>
      <w:lvlJc w:val="left"/>
      <w:pPr>
        <w:ind w:left="5073" w:hanging="360"/>
      </w:pPr>
    </w:lvl>
    <w:lvl w:ilvl="7" w:tplc="97040948">
      <w:start w:val="1"/>
      <w:numFmt w:val="lowerLetter"/>
      <w:lvlText w:val="%8."/>
      <w:lvlJc w:val="left"/>
      <w:pPr>
        <w:ind w:left="5793" w:hanging="360"/>
      </w:pPr>
    </w:lvl>
    <w:lvl w:ilvl="8" w:tplc="764E1FD4">
      <w:start w:val="1"/>
      <w:numFmt w:val="lowerRoman"/>
      <w:lvlText w:val="%9."/>
      <w:lvlJc w:val="right"/>
      <w:pPr>
        <w:ind w:left="6513" w:hanging="180"/>
      </w:pPr>
    </w:lvl>
  </w:abstractNum>
  <w:abstractNum w:abstractNumId="26" w15:restartNumberingAfterBreak="0">
    <w:nsid w:val="3FAB3E23"/>
    <w:multiLevelType w:val="hybridMultilevel"/>
    <w:tmpl w:val="244C0240"/>
    <w:lvl w:ilvl="0" w:tplc="43A0C16C">
      <w:numFmt w:val="bullet"/>
      <w:lvlText w:val="-"/>
      <w:lvlJc w:val="left"/>
      <w:pPr>
        <w:ind w:left="2520" w:hanging="360"/>
      </w:pPr>
      <w:rPr>
        <w:rFonts w:ascii="Arial" w:hAnsi="Arial"/>
      </w:rPr>
    </w:lvl>
    <w:lvl w:ilvl="1" w:tplc="C0BA371E">
      <w:start w:val="1"/>
      <w:numFmt w:val="bullet"/>
      <w:lvlText w:val="o"/>
      <w:lvlJc w:val="left"/>
      <w:pPr>
        <w:ind w:left="3240" w:hanging="360"/>
      </w:pPr>
      <w:rPr>
        <w:rFonts w:ascii="Courier New" w:hAnsi="Courier New"/>
      </w:rPr>
    </w:lvl>
    <w:lvl w:ilvl="2" w:tplc="C2F4BB3E">
      <w:start w:val="1"/>
      <w:numFmt w:val="bullet"/>
      <w:lvlText w:val=""/>
      <w:lvlJc w:val="left"/>
      <w:pPr>
        <w:ind w:left="3960" w:hanging="360"/>
      </w:pPr>
      <w:rPr>
        <w:rFonts w:ascii="Wingdings" w:hAnsi="Wingdings"/>
      </w:rPr>
    </w:lvl>
    <w:lvl w:ilvl="3" w:tplc="B9D809C2">
      <w:start w:val="1"/>
      <w:numFmt w:val="bullet"/>
      <w:lvlText w:val=""/>
      <w:lvlJc w:val="left"/>
      <w:pPr>
        <w:ind w:left="4680" w:hanging="360"/>
      </w:pPr>
      <w:rPr>
        <w:rFonts w:ascii="Symbol" w:hAnsi="Symbol"/>
      </w:rPr>
    </w:lvl>
    <w:lvl w:ilvl="4" w:tplc="A788B5B0">
      <w:start w:val="1"/>
      <w:numFmt w:val="bullet"/>
      <w:lvlText w:val="o"/>
      <w:lvlJc w:val="left"/>
      <w:pPr>
        <w:ind w:left="5400" w:hanging="360"/>
      </w:pPr>
      <w:rPr>
        <w:rFonts w:ascii="Courier New" w:hAnsi="Courier New"/>
      </w:rPr>
    </w:lvl>
    <w:lvl w:ilvl="5" w:tplc="AE84977A">
      <w:start w:val="1"/>
      <w:numFmt w:val="bullet"/>
      <w:lvlText w:val=""/>
      <w:lvlJc w:val="left"/>
      <w:pPr>
        <w:ind w:left="6120" w:hanging="360"/>
      </w:pPr>
      <w:rPr>
        <w:rFonts w:ascii="Wingdings" w:hAnsi="Wingdings"/>
      </w:rPr>
    </w:lvl>
    <w:lvl w:ilvl="6" w:tplc="A8904A8E">
      <w:start w:val="1"/>
      <w:numFmt w:val="bullet"/>
      <w:lvlText w:val=""/>
      <w:lvlJc w:val="left"/>
      <w:pPr>
        <w:ind w:left="6840" w:hanging="360"/>
      </w:pPr>
      <w:rPr>
        <w:rFonts w:ascii="Symbol" w:hAnsi="Symbol"/>
      </w:rPr>
    </w:lvl>
    <w:lvl w:ilvl="7" w:tplc="A8C4F2AC">
      <w:start w:val="1"/>
      <w:numFmt w:val="bullet"/>
      <w:lvlText w:val="o"/>
      <w:lvlJc w:val="left"/>
      <w:pPr>
        <w:ind w:left="7560" w:hanging="360"/>
      </w:pPr>
      <w:rPr>
        <w:rFonts w:ascii="Courier New" w:hAnsi="Courier New"/>
      </w:rPr>
    </w:lvl>
    <w:lvl w:ilvl="8" w:tplc="75105324">
      <w:start w:val="1"/>
      <w:numFmt w:val="bullet"/>
      <w:lvlText w:val=""/>
      <w:lvlJc w:val="left"/>
      <w:pPr>
        <w:ind w:left="8280" w:hanging="360"/>
      </w:pPr>
      <w:rPr>
        <w:rFonts w:ascii="Wingdings" w:hAnsi="Wingdings"/>
      </w:rPr>
    </w:lvl>
  </w:abstractNum>
  <w:abstractNum w:abstractNumId="27" w15:restartNumberingAfterBreak="0">
    <w:nsid w:val="4985355F"/>
    <w:multiLevelType w:val="hybridMultilevel"/>
    <w:tmpl w:val="61CE7A32"/>
    <w:lvl w:ilvl="0" w:tplc="0FF45FA4">
      <w:start w:val="1"/>
      <w:numFmt w:val="lowerLetter"/>
      <w:lvlText w:val="(%1)"/>
      <w:lvlJc w:val="left"/>
      <w:pPr>
        <w:ind w:left="720" w:hanging="360"/>
      </w:pPr>
    </w:lvl>
    <w:lvl w:ilvl="1" w:tplc="69623DA2">
      <w:start w:val="1"/>
      <w:numFmt w:val="lowerLetter"/>
      <w:lvlText w:val="%2."/>
      <w:lvlJc w:val="left"/>
      <w:pPr>
        <w:ind w:left="1440" w:hanging="360"/>
      </w:pPr>
    </w:lvl>
    <w:lvl w:ilvl="2" w:tplc="BBD6B220">
      <w:start w:val="1"/>
      <w:numFmt w:val="lowerRoman"/>
      <w:lvlText w:val="%3."/>
      <w:lvlJc w:val="right"/>
      <w:pPr>
        <w:ind w:left="2160" w:hanging="180"/>
      </w:pPr>
    </w:lvl>
    <w:lvl w:ilvl="3" w:tplc="07EAEBA4">
      <w:start w:val="1"/>
      <w:numFmt w:val="decimal"/>
      <w:lvlText w:val="%4."/>
      <w:lvlJc w:val="left"/>
      <w:pPr>
        <w:ind w:left="2880" w:hanging="360"/>
      </w:pPr>
    </w:lvl>
    <w:lvl w:ilvl="4" w:tplc="BBDEDCBE">
      <w:start w:val="1"/>
      <w:numFmt w:val="lowerLetter"/>
      <w:lvlText w:val="%5."/>
      <w:lvlJc w:val="left"/>
      <w:pPr>
        <w:ind w:left="3600" w:hanging="360"/>
      </w:pPr>
    </w:lvl>
    <w:lvl w:ilvl="5" w:tplc="19A6459C">
      <w:start w:val="1"/>
      <w:numFmt w:val="lowerRoman"/>
      <w:lvlText w:val="%6."/>
      <w:lvlJc w:val="right"/>
      <w:pPr>
        <w:ind w:left="4320" w:hanging="180"/>
      </w:pPr>
    </w:lvl>
    <w:lvl w:ilvl="6" w:tplc="DA00DAC2">
      <w:start w:val="1"/>
      <w:numFmt w:val="decimal"/>
      <w:lvlText w:val="%7."/>
      <w:lvlJc w:val="left"/>
      <w:pPr>
        <w:ind w:left="5040" w:hanging="360"/>
      </w:pPr>
    </w:lvl>
    <w:lvl w:ilvl="7" w:tplc="D94A96FE">
      <w:start w:val="1"/>
      <w:numFmt w:val="lowerLetter"/>
      <w:lvlText w:val="%8."/>
      <w:lvlJc w:val="left"/>
      <w:pPr>
        <w:ind w:left="5760" w:hanging="360"/>
      </w:pPr>
    </w:lvl>
    <w:lvl w:ilvl="8" w:tplc="104ED6E6">
      <w:start w:val="1"/>
      <w:numFmt w:val="lowerRoman"/>
      <w:lvlText w:val="%9."/>
      <w:lvlJc w:val="right"/>
      <w:pPr>
        <w:ind w:left="6480" w:hanging="180"/>
      </w:pPr>
    </w:lvl>
  </w:abstractNum>
  <w:abstractNum w:abstractNumId="28" w15:restartNumberingAfterBreak="0">
    <w:nsid w:val="4C077CFC"/>
    <w:multiLevelType w:val="hybridMultilevel"/>
    <w:tmpl w:val="17DE11F2"/>
    <w:lvl w:ilvl="0" w:tplc="1286FFD8">
      <w:start w:val="1"/>
      <w:numFmt w:val="lowerRoman"/>
      <w:lvlText w:val="(%1)"/>
      <w:lvlJc w:val="left"/>
      <w:pPr>
        <w:ind w:left="1702" w:hanging="720"/>
      </w:pPr>
    </w:lvl>
    <w:lvl w:ilvl="1" w:tplc="84CE50FC">
      <w:start w:val="1"/>
      <w:numFmt w:val="lowerLetter"/>
      <w:lvlText w:val="%2."/>
      <w:lvlJc w:val="left"/>
      <w:pPr>
        <w:ind w:left="2062" w:hanging="360"/>
      </w:pPr>
    </w:lvl>
    <w:lvl w:ilvl="2" w:tplc="63F8A03E">
      <w:start w:val="1"/>
      <w:numFmt w:val="lowerRoman"/>
      <w:lvlText w:val="%3."/>
      <w:lvlJc w:val="right"/>
      <w:pPr>
        <w:ind w:left="2782" w:hanging="180"/>
      </w:pPr>
    </w:lvl>
    <w:lvl w:ilvl="3" w:tplc="E2CE9408">
      <w:start w:val="1"/>
      <w:numFmt w:val="decimal"/>
      <w:lvlText w:val="%4."/>
      <w:lvlJc w:val="left"/>
      <w:pPr>
        <w:ind w:left="3502" w:hanging="360"/>
      </w:pPr>
    </w:lvl>
    <w:lvl w:ilvl="4" w:tplc="914C91B6">
      <w:start w:val="1"/>
      <w:numFmt w:val="lowerLetter"/>
      <w:lvlText w:val="%5."/>
      <w:lvlJc w:val="left"/>
      <w:pPr>
        <w:ind w:left="4222" w:hanging="360"/>
      </w:pPr>
    </w:lvl>
    <w:lvl w:ilvl="5" w:tplc="686A1B00">
      <w:start w:val="1"/>
      <w:numFmt w:val="lowerRoman"/>
      <w:lvlText w:val="%6."/>
      <w:lvlJc w:val="right"/>
      <w:pPr>
        <w:ind w:left="4942" w:hanging="180"/>
      </w:pPr>
    </w:lvl>
    <w:lvl w:ilvl="6" w:tplc="4FC232C4">
      <w:start w:val="1"/>
      <w:numFmt w:val="decimal"/>
      <w:lvlText w:val="%7."/>
      <w:lvlJc w:val="left"/>
      <w:pPr>
        <w:ind w:left="5662" w:hanging="360"/>
      </w:pPr>
    </w:lvl>
    <w:lvl w:ilvl="7" w:tplc="F99C7E7C">
      <w:start w:val="1"/>
      <w:numFmt w:val="lowerLetter"/>
      <w:lvlText w:val="%8."/>
      <w:lvlJc w:val="left"/>
      <w:pPr>
        <w:ind w:left="6382" w:hanging="360"/>
      </w:pPr>
    </w:lvl>
    <w:lvl w:ilvl="8" w:tplc="C542F9CE">
      <w:start w:val="1"/>
      <w:numFmt w:val="lowerRoman"/>
      <w:lvlText w:val="%9."/>
      <w:lvlJc w:val="right"/>
      <w:pPr>
        <w:ind w:left="7102" w:hanging="180"/>
      </w:pPr>
    </w:lvl>
  </w:abstractNum>
  <w:abstractNum w:abstractNumId="29" w15:restartNumberingAfterBreak="0">
    <w:nsid w:val="4EC51094"/>
    <w:multiLevelType w:val="hybridMultilevel"/>
    <w:tmpl w:val="71320B88"/>
    <w:lvl w:ilvl="0" w:tplc="A2E498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EE853E7"/>
    <w:multiLevelType w:val="hybridMultilevel"/>
    <w:tmpl w:val="055CF20A"/>
    <w:lvl w:ilvl="0" w:tplc="F22C409A">
      <w:start w:val="1"/>
      <w:numFmt w:val="decimal"/>
      <w:lvlText w:val="%1."/>
      <w:lvlJc w:val="left"/>
      <w:pPr>
        <w:ind w:left="1215" w:hanging="360"/>
      </w:pPr>
    </w:lvl>
    <w:lvl w:ilvl="1" w:tplc="D0780D66">
      <w:start w:val="1"/>
      <w:numFmt w:val="lowerLetter"/>
      <w:lvlText w:val="%2."/>
      <w:lvlJc w:val="left"/>
      <w:pPr>
        <w:ind w:left="1935" w:hanging="360"/>
      </w:pPr>
    </w:lvl>
    <w:lvl w:ilvl="2" w:tplc="4E428A9E">
      <w:start w:val="1"/>
      <w:numFmt w:val="lowerRoman"/>
      <w:lvlText w:val="%3."/>
      <w:lvlJc w:val="right"/>
      <w:pPr>
        <w:ind w:left="2655" w:hanging="180"/>
      </w:pPr>
    </w:lvl>
    <w:lvl w:ilvl="3" w:tplc="72D2577C">
      <w:start w:val="1"/>
      <w:numFmt w:val="decimal"/>
      <w:lvlText w:val="%4."/>
      <w:lvlJc w:val="left"/>
      <w:pPr>
        <w:ind w:left="3375" w:hanging="360"/>
      </w:pPr>
    </w:lvl>
    <w:lvl w:ilvl="4" w:tplc="CD04D188">
      <w:start w:val="1"/>
      <w:numFmt w:val="lowerLetter"/>
      <w:lvlText w:val="%5."/>
      <w:lvlJc w:val="left"/>
      <w:pPr>
        <w:ind w:left="4095" w:hanging="360"/>
      </w:pPr>
    </w:lvl>
    <w:lvl w:ilvl="5" w:tplc="D8FA81E2">
      <w:start w:val="1"/>
      <w:numFmt w:val="lowerRoman"/>
      <w:lvlText w:val="%6."/>
      <w:lvlJc w:val="right"/>
      <w:pPr>
        <w:ind w:left="4815" w:hanging="180"/>
      </w:pPr>
    </w:lvl>
    <w:lvl w:ilvl="6" w:tplc="1C309F4A">
      <w:start w:val="1"/>
      <w:numFmt w:val="decimal"/>
      <w:lvlText w:val="%7."/>
      <w:lvlJc w:val="left"/>
      <w:pPr>
        <w:ind w:left="5535" w:hanging="360"/>
      </w:pPr>
    </w:lvl>
    <w:lvl w:ilvl="7" w:tplc="56BCD9E0">
      <w:start w:val="1"/>
      <w:numFmt w:val="lowerLetter"/>
      <w:lvlText w:val="%8."/>
      <w:lvlJc w:val="left"/>
      <w:pPr>
        <w:ind w:left="6255" w:hanging="360"/>
      </w:pPr>
    </w:lvl>
    <w:lvl w:ilvl="8" w:tplc="0C32295C">
      <w:start w:val="1"/>
      <w:numFmt w:val="lowerRoman"/>
      <w:lvlText w:val="%9."/>
      <w:lvlJc w:val="right"/>
      <w:pPr>
        <w:ind w:left="6975" w:hanging="180"/>
      </w:pPr>
    </w:lvl>
  </w:abstractNum>
  <w:abstractNum w:abstractNumId="31" w15:restartNumberingAfterBreak="0">
    <w:nsid w:val="4F5A62AB"/>
    <w:multiLevelType w:val="hybridMultilevel"/>
    <w:tmpl w:val="67884222"/>
    <w:lvl w:ilvl="0" w:tplc="8A82078E">
      <w:start w:val="1"/>
      <w:numFmt w:val="decimal"/>
      <w:lvlText w:val="%1."/>
      <w:lvlJc w:val="left"/>
      <w:pPr>
        <w:ind w:left="1872" w:hanging="360"/>
      </w:pPr>
      <w:rPr>
        <w:rFonts w:ascii="Arial" w:hAnsi="Arial"/>
        <w:b/>
      </w:rPr>
    </w:lvl>
    <w:lvl w:ilvl="1" w:tplc="561A73D6">
      <w:start w:val="1"/>
      <w:numFmt w:val="lowerLetter"/>
      <w:lvlText w:val="%2."/>
      <w:lvlJc w:val="left"/>
      <w:pPr>
        <w:ind w:left="2592" w:hanging="360"/>
      </w:pPr>
    </w:lvl>
    <w:lvl w:ilvl="2" w:tplc="35E2692E">
      <w:start w:val="1"/>
      <w:numFmt w:val="lowerRoman"/>
      <w:lvlText w:val="%3."/>
      <w:lvlJc w:val="right"/>
      <w:pPr>
        <w:ind w:left="3312" w:hanging="180"/>
      </w:pPr>
    </w:lvl>
    <w:lvl w:ilvl="3" w:tplc="6564151A">
      <w:start w:val="1"/>
      <w:numFmt w:val="decimal"/>
      <w:lvlText w:val="%4."/>
      <w:lvlJc w:val="left"/>
      <w:pPr>
        <w:ind w:left="4032" w:hanging="360"/>
      </w:pPr>
    </w:lvl>
    <w:lvl w:ilvl="4" w:tplc="D6169916">
      <w:start w:val="1"/>
      <w:numFmt w:val="lowerLetter"/>
      <w:lvlText w:val="%5."/>
      <w:lvlJc w:val="left"/>
      <w:pPr>
        <w:ind w:left="4752" w:hanging="360"/>
      </w:pPr>
    </w:lvl>
    <w:lvl w:ilvl="5" w:tplc="60866FB8">
      <w:start w:val="1"/>
      <w:numFmt w:val="lowerRoman"/>
      <w:lvlText w:val="%6."/>
      <w:lvlJc w:val="right"/>
      <w:pPr>
        <w:ind w:left="5472" w:hanging="180"/>
      </w:pPr>
    </w:lvl>
    <w:lvl w:ilvl="6" w:tplc="5044CD58">
      <w:start w:val="1"/>
      <w:numFmt w:val="decimal"/>
      <w:lvlText w:val="%7."/>
      <w:lvlJc w:val="left"/>
      <w:pPr>
        <w:ind w:left="6192" w:hanging="360"/>
      </w:pPr>
    </w:lvl>
    <w:lvl w:ilvl="7" w:tplc="5F9AF31E">
      <w:start w:val="1"/>
      <w:numFmt w:val="lowerLetter"/>
      <w:lvlText w:val="%8."/>
      <w:lvlJc w:val="left"/>
      <w:pPr>
        <w:ind w:left="6912" w:hanging="360"/>
      </w:pPr>
    </w:lvl>
    <w:lvl w:ilvl="8" w:tplc="69D0BF9C">
      <w:start w:val="1"/>
      <w:numFmt w:val="lowerRoman"/>
      <w:lvlText w:val="%9."/>
      <w:lvlJc w:val="right"/>
      <w:pPr>
        <w:ind w:left="7632" w:hanging="180"/>
      </w:pPr>
    </w:lvl>
  </w:abstractNum>
  <w:abstractNum w:abstractNumId="32" w15:restartNumberingAfterBreak="0">
    <w:nsid w:val="52E4291A"/>
    <w:multiLevelType w:val="hybridMultilevel"/>
    <w:tmpl w:val="68445F50"/>
    <w:lvl w:ilvl="0" w:tplc="D97E456C">
      <w:start w:val="1"/>
      <w:numFmt w:val="decimal"/>
      <w:lvlText w:val="%1."/>
      <w:lvlJc w:val="left"/>
      <w:pPr>
        <w:ind w:left="1440" w:hanging="360"/>
      </w:pPr>
    </w:lvl>
    <w:lvl w:ilvl="1" w:tplc="B08A50BC">
      <w:start w:val="1"/>
      <w:numFmt w:val="lowerLetter"/>
      <w:lvlText w:val="%2."/>
      <w:lvlJc w:val="left"/>
      <w:pPr>
        <w:ind w:left="2160" w:hanging="360"/>
      </w:pPr>
    </w:lvl>
    <w:lvl w:ilvl="2" w:tplc="90DA9832">
      <w:start w:val="1"/>
      <w:numFmt w:val="lowerRoman"/>
      <w:lvlText w:val="%3."/>
      <w:lvlJc w:val="right"/>
      <w:pPr>
        <w:ind w:left="2880" w:hanging="180"/>
      </w:pPr>
    </w:lvl>
    <w:lvl w:ilvl="3" w:tplc="553C51AC">
      <w:start w:val="1"/>
      <w:numFmt w:val="decimal"/>
      <w:lvlText w:val="%4."/>
      <w:lvlJc w:val="left"/>
      <w:pPr>
        <w:ind w:left="3600" w:hanging="360"/>
      </w:pPr>
    </w:lvl>
    <w:lvl w:ilvl="4" w:tplc="91AC21EA">
      <w:start w:val="1"/>
      <w:numFmt w:val="lowerLetter"/>
      <w:lvlText w:val="%5."/>
      <w:lvlJc w:val="left"/>
      <w:pPr>
        <w:ind w:left="4320" w:hanging="360"/>
      </w:pPr>
    </w:lvl>
    <w:lvl w:ilvl="5" w:tplc="5CF8EAC8">
      <w:start w:val="1"/>
      <w:numFmt w:val="lowerRoman"/>
      <w:lvlText w:val="%6."/>
      <w:lvlJc w:val="right"/>
      <w:pPr>
        <w:ind w:left="5040" w:hanging="180"/>
      </w:pPr>
    </w:lvl>
    <w:lvl w:ilvl="6" w:tplc="81E4A8A4">
      <w:start w:val="1"/>
      <w:numFmt w:val="decimal"/>
      <w:lvlText w:val="%7."/>
      <w:lvlJc w:val="left"/>
      <w:pPr>
        <w:ind w:left="5760" w:hanging="360"/>
      </w:pPr>
    </w:lvl>
    <w:lvl w:ilvl="7" w:tplc="0B505466">
      <w:start w:val="1"/>
      <w:numFmt w:val="lowerLetter"/>
      <w:lvlText w:val="%8."/>
      <w:lvlJc w:val="left"/>
      <w:pPr>
        <w:ind w:left="6480" w:hanging="360"/>
      </w:pPr>
    </w:lvl>
    <w:lvl w:ilvl="8" w:tplc="66E61FF8">
      <w:start w:val="1"/>
      <w:numFmt w:val="lowerRoman"/>
      <w:lvlText w:val="%9."/>
      <w:lvlJc w:val="right"/>
      <w:pPr>
        <w:ind w:left="7200" w:hanging="180"/>
      </w:pPr>
    </w:lvl>
  </w:abstractNum>
  <w:abstractNum w:abstractNumId="33" w15:restartNumberingAfterBreak="0">
    <w:nsid w:val="543F4199"/>
    <w:multiLevelType w:val="hybridMultilevel"/>
    <w:tmpl w:val="84E4B3E6"/>
    <w:lvl w:ilvl="0" w:tplc="A2E498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8B30D05"/>
    <w:multiLevelType w:val="hybridMultilevel"/>
    <w:tmpl w:val="D41CF4CC"/>
    <w:lvl w:ilvl="0" w:tplc="C33EB164">
      <w:start w:val="1"/>
      <w:numFmt w:val="decimal"/>
      <w:lvlText w:val="(%1)"/>
      <w:lvlJc w:val="left"/>
      <w:pPr>
        <w:ind w:left="1211" w:hanging="360"/>
      </w:pPr>
    </w:lvl>
    <w:lvl w:ilvl="1" w:tplc="E24AD66C">
      <w:start w:val="1"/>
      <w:numFmt w:val="lowerLetter"/>
      <w:lvlText w:val="%2."/>
      <w:lvlJc w:val="left"/>
      <w:pPr>
        <w:ind w:left="1931" w:hanging="360"/>
      </w:pPr>
    </w:lvl>
    <w:lvl w:ilvl="2" w:tplc="A886C75E">
      <w:start w:val="1"/>
      <w:numFmt w:val="lowerRoman"/>
      <w:lvlText w:val="%3."/>
      <w:lvlJc w:val="right"/>
      <w:pPr>
        <w:ind w:left="2651" w:hanging="180"/>
      </w:pPr>
    </w:lvl>
    <w:lvl w:ilvl="3" w:tplc="F5041B62">
      <w:start w:val="1"/>
      <w:numFmt w:val="decimal"/>
      <w:lvlText w:val="%4."/>
      <w:lvlJc w:val="left"/>
      <w:pPr>
        <w:ind w:left="3371" w:hanging="360"/>
      </w:pPr>
    </w:lvl>
    <w:lvl w:ilvl="4" w:tplc="E73C769A">
      <w:start w:val="1"/>
      <w:numFmt w:val="lowerLetter"/>
      <w:lvlText w:val="%5."/>
      <w:lvlJc w:val="left"/>
      <w:pPr>
        <w:ind w:left="4091" w:hanging="360"/>
      </w:pPr>
    </w:lvl>
    <w:lvl w:ilvl="5" w:tplc="5A1427BA">
      <w:start w:val="1"/>
      <w:numFmt w:val="lowerRoman"/>
      <w:lvlText w:val="%6."/>
      <w:lvlJc w:val="right"/>
      <w:pPr>
        <w:ind w:left="4811" w:hanging="180"/>
      </w:pPr>
    </w:lvl>
    <w:lvl w:ilvl="6" w:tplc="5EAA3AA4">
      <w:start w:val="1"/>
      <w:numFmt w:val="decimal"/>
      <w:lvlText w:val="%7."/>
      <w:lvlJc w:val="left"/>
      <w:pPr>
        <w:ind w:left="5531" w:hanging="360"/>
      </w:pPr>
    </w:lvl>
    <w:lvl w:ilvl="7" w:tplc="02049F7C">
      <w:start w:val="1"/>
      <w:numFmt w:val="lowerLetter"/>
      <w:lvlText w:val="%8."/>
      <w:lvlJc w:val="left"/>
      <w:pPr>
        <w:ind w:left="6251" w:hanging="360"/>
      </w:pPr>
    </w:lvl>
    <w:lvl w:ilvl="8" w:tplc="C0D07FF6">
      <w:start w:val="1"/>
      <w:numFmt w:val="lowerRoman"/>
      <w:lvlText w:val="%9."/>
      <w:lvlJc w:val="right"/>
      <w:pPr>
        <w:ind w:left="6971" w:hanging="180"/>
      </w:pPr>
    </w:lvl>
  </w:abstractNum>
  <w:abstractNum w:abstractNumId="35" w15:restartNumberingAfterBreak="0">
    <w:nsid w:val="60E16D27"/>
    <w:multiLevelType w:val="hybridMultilevel"/>
    <w:tmpl w:val="B0C64720"/>
    <w:lvl w:ilvl="0" w:tplc="5AD8A26E">
      <w:numFmt w:val="bullet"/>
      <w:lvlText w:val="-"/>
      <w:lvlJc w:val="left"/>
      <w:pPr>
        <w:ind w:left="2520" w:hanging="360"/>
      </w:pPr>
      <w:rPr>
        <w:rFonts w:ascii="Arial" w:hAnsi="Arial"/>
      </w:rPr>
    </w:lvl>
    <w:lvl w:ilvl="1" w:tplc="D5CC855C">
      <w:start w:val="1"/>
      <w:numFmt w:val="bullet"/>
      <w:lvlText w:val="o"/>
      <w:lvlJc w:val="left"/>
      <w:pPr>
        <w:ind w:left="3240" w:hanging="360"/>
      </w:pPr>
      <w:rPr>
        <w:rFonts w:ascii="Courier New" w:hAnsi="Courier New"/>
      </w:rPr>
    </w:lvl>
    <w:lvl w:ilvl="2" w:tplc="87D6C638">
      <w:start w:val="1"/>
      <w:numFmt w:val="bullet"/>
      <w:lvlText w:val=""/>
      <w:lvlJc w:val="left"/>
      <w:pPr>
        <w:ind w:left="3960" w:hanging="360"/>
      </w:pPr>
      <w:rPr>
        <w:rFonts w:ascii="Wingdings" w:hAnsi="Wingdings"/>
      </w:rPr>
    </w:lvl>
    <w:lvl w:ilvl="3" w:tplc="0C7082AA">
      <w:start w:val="1"/>
      <w:numFmt w:val="bullet"/>
      <w:lvlText w:val=""/>
      <w:lvlJc w:val="left"/>
      <w:pPr>
        <w:ind w:left="4680" w:hanging="360"/>
      </w:pPr>
      <w:rPr>
        <w:rFonts w:ascii="Symbol" w:hAnsi="Symbol"/>
      </w:rPr>
    </w:lvl>
    <w:lvl w:ilvl="4" w:tplc="1222F36E">
      <w:start w:val="1"/>
      <w:numFmt w:val="bullet"/>
      <w:lvlText w:val="o"/>
      <w:lvlJc w:val="left"/>
      <w:pPr>
        <w:ind w:left="5400" w:hanging="360"/>
      </w:pPr>
      <w:rPr>
        <w:rFonts w:ascii="Courier New" w:hAnsi="Courier New"/>
      </w:rPr>
    </w:lvl>
    <w:lvl w:ilvl="5" w:tplc="7F52D15C">
      <w:start w:val="1"/>
      <w:numFmt w:val="bullet"/>
      <w:lvlText w:val=""/>
      <w:lvlJc w:val="left"/>
      <w:pPr>
        <w:ind w:left="6120" w:hanging="360"/>
      </w:pPr>
      <w:rPr>
        <w:rFonts w:ascii="Wingdings" w:hAnsi="Wingdings"/>
      </w:rPr>
    </w:lvl>
    <w:lvl w:ilvl="6" w:tplc="5330BB46">
      <w:start w:val="1"/>
      <w:numFmt w:val="bullet"/>
      <w:lvlText w:val=""/>
      <w:lvlJc w:val="left"/>
      <w:pPr>
        <w:ind w:left="6840" w:hanging="360"/>
      </w:pPr>
      <w:rPr>
        <w:rFonts w:ascii="Symbol" w:hAnsi="Symbol"/>
      </w:rPr>
    </w:lvl>
    <w:lvl w:ilvl="7" w:tplc="10026DC0">
      <w:start w:val="1"/>
      <w:numFmt w:val="bullet"/>
      <w:lvlText w:val="o"/>
      <w:lvlJc w:val="left"/>
      <w:pPr>
        <w:ind w:left="7560" w:hanging="360"/>
      </w:pPr>
      <w:rPr>
        <w:rFonts w:ascii="Courier New" w:hAnsi="Courier New"/>
      </w:rPr>
    </w:lvl>
    <w:lvl w:ilvl="8" w:tplc="BBF64B96">
      <w:start w:val="1"/>
      <w:numFmt w:val="bullet"/>
      <w:lvlText w:val=""/>
      <w:lvlJc w:val="left"/>
      <w:pPr>
        <w:ind w:left="8280" w:hanging="360"/>
      </w:pPr>
      <w:rPr>
        <w:rFonts w:ascii="Wingdings" w:hAnsi="Wingdings"/>
      </w:rPr>
    </w:lvl>
  </w:abstractNum>
  <w:abstractNum w:abstractNumId="36" w15:restartNumberingAfterBreak="0">
    <w:nsid w:val="62D255EC"/>
    <w:multiLevelType w:val="hybridMultilevel"/>
    <w:tmpl w:val="4D4E15D8"/>
    <w:lvl w:ilvl="0" w:tplc="448048B8">
      <w:start w:val="1"/>
      <w:numFmt w:val="decimal"/>
      <w:lvlText w:val="%1."/>
      <w:lvlJc w:val="left"/>
      <w:pPr>
        <w:ind w:left="720" w:hanging="360"/>
      </w:pPr>
    </w:lvl>
    <w:lvl w:ilvl="1" w:tplc="1E32BC00">
      <w:start w:val="1"/>
      <w:numFmt w:val="lowerLetter"/>
      <w:lvlText w:val="%2."/>
      <w:lvlJc w:val="left"/>
      <w:pPr>
        <w:ind w:left="1440" w:hanging="360"/>
      </w:pPr>
    </w:lvl>
    <w:lvl w:ilvl="2" w:tplc="BCB63732">
      <w:start w:val="1"/>
      <w:numFmt w:val="lowerRoman"/>
      <w:lvlText w:val="%3."/>
      <w:lvlJc w:val="right"/>
      <w:pPr>
        <w:ind w:left="2160" w:hanging="180"/>
      </w:pPr>
    </w:lvl>
    <w:lvl w:ilvl="3" w:tplc="C8282C5E">
      <w:start w:val="1"/>
      <w:numFmt w:val="decimal"/>
      <w:lvlText w:val="%4."/>
      <w:lvlJc w:val="left"/>
      <w:pPr>
        <w:ind w:left="2880" w:hanging="360"/>
      </w:pPr>
    </w:lvl>
    <w:lvl w:ilvl="4" w:tplc="A23C8722">
      <w:start w:val="1"/>
      <w:numFmt w:val="lowerLetter"/>
      <w:lvlText w:val="%5."/>
      <w:lvlJc w:val="left"/>
      <w:pPr>
        <w:ind w:left="3600" w:hanging="360"/>
      </w:pPr>
    </w:lvl>
    <w:lvl w:ilvl="5" w:tplc="A5E6F6B4">
      <w:start w:val="1"/>
      <w:numFmt w:val="lowerRoman"/>
      <w:lvlText w:val="%6."/>
      <w:lvlJc w:val="right"/>
      <w:pPr>
        <w:ind w:left="4320" w:hanging="180"/>
      </w:pPr>
    </w:lvl>
    <w:lvl w:ilvl="6" w:tplc="0B88D4AA">
      <w:start w:val="1"/>
      <w:numFmt w:val="decimal"/>
      <w:lvlText w:val="%7."/>
      <w:lvlJc w:val="left"/>
      <w:pPr>
        <w:ind w:left="5040" w:hanging="360"/>
      </w:pPr>
    </w:lvl>
    <w:lvl w:ilvl="7" w:tplc="1C04352C">
      <w:start w:val="1"/>
      <w:numFmt w:val="lowerLetter"/>
      <w:lvlText w:val="%8."/>
      <w:lvlJc w:val="left"/>
      <w:pPr>
        <w:ind w:left="5760" w:hanging="360"/>
      </w:pPr>
    </w:lvl>
    <w:lvl w:ilvl="8" w:tplc="334EAD4E">
      <w:start w:val="1"/>
      <w:numFmt w:val="lowerRoman"/>
      <w:lvlText w:val="%9."/>
      <w:lvlJc w:val="right"/>
      <w:pPr>
        <w:ind w:left="6480" w:hanging="180"/>
      </w:pPr>
    </w:lvl>
  </w:abstractNum>
  <w:abstractNum w:abstractNumId="37" w15:restartNumberingAfterBreak="0">
    <w:nsid w:val="633F26C2"/>
    <w:multiLevelType w:val="hybridMultilevel"/>
    <w:tmpl w:val="D27C94FE"/>
    <w:lvl w:ilvl="0" w:tplc="1E726904">
      <w:start w:val="1"/>
      <w:numFmt w:val="lowerLetter"/>
      <w:lvlText w:val="(%1)"/>
      <w:lvlJc w:val="left"/>
      <w:pPr>
        <w:ind w:left="1473" w:hanging="360"/>
      </w:pPr>
    </w:lvl>
    <w:lvl w:ilvl="1" w:tplc="16BA3050">
      <w:start w:val="1"/>
      <w:numFmt w:val="lowerLetter"/>
      <w:lvlText w:val="%2."/>
      <w:lvlJc w:val="left"/>
      <w:pPr>
        <w:ind w:left="2193" w:hanging="360"/>
      </w:pPr>
    </w:lvl>
    <w:lvl w:ilvl="2" w:tplc="F6C8D82A">
      <w:start w:val="1"/>
      <w:numFmt w:val="lowerRoman"/>
      <w:lvlText w:val="%3."/>
      <w:lvlJc w:val="right"/>
      <w:pPr>
        <w:ind w:left="2913" w:hanging="180"/>
      </w:pPr>
    </w:lvl>
    <w:lvl w:ilvl="3" w:tplc="4348AEF8">
      <w:start w:val="1"/>
      <w:numFmt w:val="decimal"/>
      <w:lvlText w:val="%4."/>
      <w:lvlJc w:val="left"/>
      <w:pPr>
        <w:ind w:left="3633" w:hanging="360"/>
      </w:pPr>
    </w:lvl>
    <w:lvl w:ilvl="4" w:tplc="F7CCDCCC">
      <w:start w:val="1"/>
      <w:numFmt w:val="lowerLetter"/>
      <w:lvlText w:val="%5."/>
      <w:lvlJc w:val="left"/>
      <w:pPr>
        <w:ind w:left="4353" w:hanging="360"/>
      </w:pPr>
    </w:lvl>
    <w:lvl w:ilvl="5" w:tplc="F66AE0E6">
      <w:start w:val="1"/>
      <w:numFmt w:val="lowerRoman"/>
      <w:lvlText w:val="%6."/>
      <w:lvlJc w:val="right"/>
      <w:pPr>
        <w:ind w:left="5073" w:hanging="180"/>
      </w:pPr>
    </w:lvl>
    <w:lvl w:ilvl="6" w:tplc="51C20EF0">
      <w:start w:val="1"/>
      <w:numFmt w:val="decimal"/>
      <w:lvlText w:val="%7."/>
      <w:lvlJc w:val="left"/>
      <w:pPr>
        <w:ind w:left="5793" w:hanging="360"/>
      </w:pPr>
    </w:lvl>
    <w:lvl w:ilvl="7" w:tplc="84A0941E">
      <w:start w:val="1"/>
      <w:numFmt w:val="lowerLetter"/>
      <w:lvlText w:val="%8."/>
      <w:lvlJc w:val="left"/>
      <w:pPr>
        <w:ind w:left="6513" w:hanging="360"/>
      </w:pPr>
    </w:lvl>
    <w:lvl w:ilvl="8" w:tplc="E9EA550A">
      <w:start w:val="1"/>
      <w:numFmt w:val="lowerRoman"/>
      <w:lvlText w:val="%9."/>
      <w:lvlJc w:val="right"/>
      <w:pPr>
        <w:ind w:left="7233" w:hanging="180"/>
      </w:pPr>
    </w:lvl>
  </w:abstractNum>
  <w:abstractNum w:abstractNumId="38" w15:restartNumberingAfterBreak="0">
    <w:nsid w:val="6619173D"/>
    <w:multiLevelType w:val="hybridMultilevel"/>
    <w:tmpl w:val="87929282"/>
    <w:lvl w:ilvl="0" w:tplc="149E355E">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760096A"/>
    <w:multiLevelType w:val="hybridMultilevel"/>
    <w:tmpl w:val="A2E6E4D8"/>
    <w:lvl w:ilvl="0" w:tplc="149E355E">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BDD557A"/>
    <w:multiLevelType w:val="hybridMultilevel"/>
    <w:tmpl w:val="A08469AE"/>
    <w:lvl w:ilvl="0" w:tplc="E96463CA">
      <w:start w:val="1"/>
      <w:numFmt w:val="bullet"/>
      <w:lvlText w:val=""/>
      <w:lvlJc w:val="left"/>
      <w:pPr>
        <w:ind w:left="2880" w:hanging="360"/>
      </w:pPr>
      <w:rPr>
        <w:rFonts w:ascii="Symbol" w:hAnsi="Symbol"/>
      </w:rPr>
    </w:lvl>
    <w:lvl w:ilvl="1" w:tplc="B844AD06">
      <w:start w:val="1"/>
      <w:numFmt w:val="bullet"/>
      <w:lvlText w:val="o"/>
      <w:lvlJc w:val="left"/>
      <w:pPr>
        <w:ind w:left="1440" w:hanging="360"/>
      </w:pPr>
      <w:rPr>
        <w:rFonts w:ascii="Courier New" w:hAnsi="Courier New"/>
      </w:rPr>
    </w:lvl>
    <w:lvl w:ilvl="2" w:tplc="455071DA">
      <w:start w:val="1"/>
      <w:numFmt w:val="bullet"/>
      <w:lvlText w:val=""/>
      <w:lvlJc w:val="left"/>
      <w:pPr>
        <w:ind w:left="2160" w:hanging="360"/>
      </w:pPr>
      <w:rPr>
        <w:rFonts w:ascii="Wingdings" w:hAnsi="Wingdings"/>
      </w:rPr>
    </w:lvl>
    <w:lvl w:ilvl="3" w:tplc="26FE41C6">
      <w:start w:val="1"/>
      <w:numFmt w:val="bullet"/>
      <w:lvlText w:val=""/>
      <w:lvlJc w:val="left"/>
      <w:pPr>
        <w:ind w:left="2880" w:hanging="360"/>
      </w:pPr>
      <w:rPr>
        <w:rFonts w:ascii="Symbol" w:hAnsi="Symbol"/>
      </w:rPr>
    </w:lvl>
    <w:lvl w:ilvl="4" w:tplc="CF14E91E">
      <w:start w:val="1"/>
      <w:numFmt w:val="bullet"/>
      <w:lvlText w:val="o"/>
      <w:lvlJc w:val="left"/>
      <w:pPr>
        <w:ind w:left="3600" w:hanging="360"/>
      </w:pPr>
      <w:rPr>
        <w:rFonts w:ascii="Courier New" w:hAnsi="Courier New"/>
      </w:rPr>
    </w:lvl>
    <w:lvl w:ilvl="5" w:tplc="A07651AE">
      <w:start w:val="1"/>
      <w:numFmt w:val="bullet"/>
      <w:lvlText w:val=""/>
      <w:lvlJc w:val="left"/>
      <w:pPr>
        <w:ind w:left="4320" w:hanging="360"/>
      </w:pPr>
      <w:rPr>
        <w:rFonts w:ascii="Wingdings" w:hAnsi="Wingdings"/>
      </w:rPr>
    </w:lvl>
    <w:lvl w:ilvl="6" w:tplc="E7146A9C">
      <w:start w:val="1"/>
      <w:numFmt w:val="bullet"/>
      <w:lvlText w:val=""/>
      <w:lvlJc w:val="left"/>
      <w:pPr>
        <w:ind w:left="5040" w:hanging="360"/>
      </w:pPr>
      <w:rPr>
        <w:rFonts w:ascii="Symbol" w:hAnsi="Symbol"/>
      </w:rPr>
    </w:lvl>
    <w:lvl w:ilvl="7" w:tplc="5E320D82">
      <w:start w:val="1"/>
      <w:numFmt w:val="bullet"/>
      <w:lvlText w:val="o"/>
      <w:lvlJc w:val="left"/>
      <w:pPr>
        <w:ind w:left="5760" w:hanging="360"/>
      </w:pPr>
      <w:rPr>
        <w:rFonts w:ascii="Courier New" w:hAnsi="Courier New"/>
      </w:rPr>
    </w:lvl>
    <w:lvl w:ilvl="8" w:tplc="91E44AE2">
      <w:start w:val="1"/>
      <w:numFmt w:val="bullet"/>
      <w:lvlText w:val=""/>
      <w:lvlJc w:val="left"/>
      <w:pPr>
        <w:ind w:left="6480" w:hanging="360"/>
      </w:pPr>
      <w:rPr>
        <w:rFonts w:ascii="Wingdings" w:hAnsi="Wingdings"/>
      </w:rPr>
    </w:lvl>
  </w:abstractNum>
  <w:abstractNum w:abstractNumId="41" w15:restartNumberingAfterBreak="0">
    <w:nsid w:val="6CB9449F"/>
    <w:multiLevelType w:val="hybridMultilevel"/>
    <w:tmpl w:val="B16C0100"/>
    <w:lvl w:ilvl="0" w:tplc="65A8577E">
      <w:start w:val="1"/>
      <w:numFmt w:val="lowerLetter"/>
      <w:lvlText w:val="(%1)"/>
      <w:lvlJc w:val="left"/>
      <w:pPr>
        <w:ind w:left="1215" w:hanging="360"/>
      </w:pPr>
    </w:lvl>
    <w:lvl w:ilvl="1" w:tplc="D93676A0">
      <w:start w:val="1"/>
      <w:numFmt w:val="lowerLetter"/>
      <w:lvlText w:val="%2."/>
      <w:lvlJc w:val="left"/>
      <w:pPr>
        <w:ind w:left="1935" w:hanging="360"/>
      </w:pPr>
    </w:lvl>
    <w:lvl w:ilvl="2" w:tplc="6F5EE17C">
      <w:start w:val="1"/>
      <w:numFmt w:val="lowerRoman"/>
      <w:lvlText w:val="%3."/>
      <w:lvlJc w:val="right"/>
      <w:pPr>
        <w:ind w:left="2655" w:hanging="180"/>
      </w:pPr>
    </w:lvl>
    <w:lvl w:ilvl="3" w:tplc="02AAB612">
      <w:start w:val="1"/>
      <w:numFmt w:val="decimal"/>
      <w:lvlText w:val="%4."/>
      <w:lvlJc w:val="left"/>
      <w:pPr>
        <w:ind w:left="3375" w:hanging="360"/>
      </w:pPr>
    </w:lvl>
    <w:lvl w:ilvl="4" w:tplc="5A468400">
      <w:start w:val="1"/>
      <w:numFmt w:val="lowerLetter"/>
      <w:lvlText w:val="%5."/>
      <w:lvlJc w:val="left"/>
      <w:pPr>
        <w:ind w:left="4095" w:hanging="360"/>
      </w:pPr>
    </w:lvl>
    <w:lvl w:ilvl="5" w:tplc="55A04154">
      <w:start w:val="1"/>
      <w:numFmt w:val="lowerRoman"/>
      <w:lvlText w:val="%6."/>
      <w:lvlJc w:val="right"/>
      <w:pPr>
        <w:ind w:left="4815" w:hanging="180"/>
      </w:pPr>
    </w:lvl>
    <w:lvl w:ilvl="6" w:tplc="90CEAA38">
      <w:start w:val="1"/>
      <w:numFmt w:val="decimal"/>
      <w:lvlText w:val="%7."/>
      <w:lvlJc w:val="left"/>
      <w:pPr>
        <w:ind w:left="5535" w:hanging="360"/>
      </w:pPr>
    </w:lvl>
    <w:lvl w:ilvl="7" w:tplc="930CC060">
      <w:start w:val="1"/>
      <w:numFmt w:val="lowerLetter"/>
      <w:lvlText w:val="%8."/>
      <w:lvlJc w:val="left"/>
      <w:pPr>
        <w:ind w:left="6255" w:hanging="360"/>
      </w:pPr>
    </w:lvl>
    <w:lvl w:ilvl="8" w:tplc="D9926A80">
      <w:start w:val="1"/>
      <w:numFmt w:val="lowerRoman"/>
      <w:lvlText w:val="%9."/>
      <w:lvlJc w:val="right"/>
      <w:pPr>
        <w:ind w:left="6975" w:hanging="180"/>
      </w:pPr>
    </w:lvl>
  </w:abstractNum>
  <w:abstractNum w:abstractNumId="42" w15:restartNumberingAfterBreak="0">
    <w:nsid w:val="74232825"/>
    <w:multiLevelType w:val="hybridMultilevel"/>
    <w:tmpl w:val="752C82DC"/>
    <w:lvl w:ilvl="0" w:tplc="576ADEB0">
      <w:start w:val="1"/>
      <w:numFmt w:val="decimal"/>
      <w:lvlText w:val="[%1]"/>
      <w:lvlJc w:val="left"/>
      <w:pPr>
        <w:ind w:left="720" w:hanging="360"/>
      </w:pPr>
      <w:rPr>
        <w:rFonts w:hint="default"/>
        <w:i w:val="0"/>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4385621"/>
    <w:multiLevelType w:val="hybridMultilevel"/>
    <w:tmpl w:val="DD221C64"/>
    <w:lvl w:ilvl="0" w:tplc="F3C223C0">
      <w:start w:val="1"/>
      <w:numFmt w:val="lowerLetter"/>
      <w:lvlText w:val="%1."/>
      <w:lvlJc w:val="left"/>
      <w:pPr>
        <w:ind w:left="1440" w:hanging="360"/>
      </w:pPr>
    </w:lvl>
    <w:lvl w:ilvl="1" w:tplc="F878AEF2">
      <w:start w:val="1"/>
      <w:numFmt w:val="lowerLetter"/>
      <w:lvlText w:val="%2."/>
      <w:lvlJc w:val="left"/>
      <w:pPr>
        <w:ind w:left="2160" w:hanging="360"/>
      </w:pPr>
    </w:lvl>
    <w:lvl w:ilvl="2" w:tplc="FC062544">
      <w:start w:val="1"/>
      <w:numFmt w:val="lowerRoman"/>
      <w:lvlText w:val="%3."/>
      <w:lvlJc w:val="right"/>
      <w:pPr>
        <w:ind w:left="2880" w:hanging="180"/>
      </w:pPr>
    </w:lvl>
    <w:lvl w:ilvl="3" w:tplc="2BA485C8">
      <w:start w:val="1"/>
      <w:numFmt w:val="decimal"/>
      <w:lvlText w:val="%4."/>
      <w:lvlJc w:val="left"/>
      <w:pPr>
        <w:ind w:left="3600" w:hanging="360"/>
      </w:pPr>
    </w:lvl>
    <w:lvl w:ilvl="4" w:tplc="E3AAA608">
      <w:start w:val="1"/>
      <w:numFmt w:val="lowerLetter"/>
      <w:lvlText w:val="%5."/>
      <w:lvlJc w:val="left"/>
      <w:pPr>
        <w:ind w:left="4320" w:hanging="360"/>
      </w:pPr>
    </w:lvl>
    <w:lvl w:ilvl="5" w:tplc="2814F27C">
      <w:start w:val="1"/>
      <w:numFmt w:val="lowerRoman"/>
      <w:lvlText w:val="%6."/>
      <w:lvlJc w:val="right"/>
      <w:pPr>
        <w:ind w:left="5040" w:hanging="180"/>
      </w:pPr>
    </w:lvl>
    <w:lvl w:ilvl="6" w:tplc="2EF27956">
      <w:start w:val="1"/>
      <w:numFmt w:val="decimal"/>
      <w:lvlText w:val="%7."/>
      <w:lvlJc w:val="left"/>
      <w:pPr>
        <w:ind w:left="5760" w:hanging="360"/>
      </w:pPr>
    </w:lvl>
    <w:lvl w:ilvl="7" w:tplc="56F8FF14">
      <w:start w:val="1"/>
      <w:numFmt w:val="lowerLetter"/>
      <w:lvlText w:val="%8."/>
      <w:lvlJc w:val="left"/>
      <w:pPr>
        <w:ind w:left="6480" w:hanging="360"/>
      </w:pPr>
    </w:lvl>
    <w:lvl w:ilvl="8" w:tplc="6E6A41F8">
      <w:start w:val="1"/>
      <w:numFmt w:val="lowerRoman"/>
      <w:lvlText w:val="%9."/>
      <w:lvlJc w:val="right"/>
      <w:pPr>
        <w:ind w:left="7200" w:hanging="180"/>
      </w:pPr>
    </w:lvl>
  </w:abstractNum>
  <w:abstractNum w:abstractNumId="44" w15:restartNumberingAfterBreak="0">
    <w:nsid w:val="744B3CB0"/>
    <w:multiLevelType w:val="hybridMultilevel"/>
    <w:tmpl w:val="10E225CA"/>
    <w:lvl w:ilvl="0" w:tplc="114CF59C">
      <w:start w:val="1"/>
      <w:numFmt w:val="lowerRoman"/>
      <w:lvlText w:val="%1)"/>
      <w:lvlJc w:val="left"/>
      <w:pPr>
        <w:ind w:left="1575" w:hanging="720"/>
      </w:pPr>
    </w:lvl>
    <w:lvl w:ilvl="1" w:tplc="2A74038A">
      <w:start w:val="1"/>
      <w:numFmt w:val="lowerLetter"/>
      <w:lvlText w:val="%2."/>
      <w:lvlJc w:val="left"/>
      <w:pPr>
        <w:ind w:left="1935" w:hanging="360"/>
      </w:pPr>
    </w:lvl>
    <w:lvl w:ilvl="2" w:tplc="2AF44FF0">
      <w:start w:val="1"/>
      <w:numFmt w:val="lowerRoman"/>
      <w:lvlText w:val="%3."/>
      <w:lvlJc w:val="right"/>
      <w:pPr>
        <w:ind w:left="2655" w:hanging="180"/>
      </w:pPr>
    </w:lvl>
    <w:lvl w:ilvl="3" w:tplc="40B6D256">
      <w:start w:val="1"/>
      <w:numFmt w:val="decimal"/>
      <w:lvlText w:val="%4."/>
      <w:lvlJc w:val="left"/>
      <w:pPr>
        <w:ind w:left="3375" w:hanging="360"/>
      </w:pPr>
    </w:lvl>
    <w:lvl w:ilvl="4" w:tplc="A6EE9BDA">
      <w:start w:val="1"/>
      <w:numFmt w:val="lowerLetter"/>
      <w:lvlText w:val="%5."/>
      <w:lvlJc w:val="left"/>
      <w:pPr>
        <w:ind w:left="4095" w:hanging="360"/>
      </w:pPr>
    </w:lvl>
    <w:lvl w:ilvl="5" w:tplc="95788D42">
      <w:start w:val="1"/>
      <w:numFmt w:val="lowerRoman"/>
      <w:lvlText w:val="%6."/>
      <w:lvlJc w:val="right"/>
      <w:pPr>
        <w:ind w:left="4815" w:hanging="180"/>
      </w:pPr>
    </w:lvl>
    <w:lvl w:ilvl="6" w:tplc="ABC4E89C">
      <w:start w:val="1"/>
      <w:numFmt w:val="decimal"/>
      <w:lvlText w:val="%7."/>
      <w:lvlJc w:val="left"/>
      <w:pPr>
        <w:ind w:left="5535" w:hanging="360"/>
      </w:pPr>
    </w:lvl>
    <w:lvl w:ilvl="7" w:tplc="39DC2814">
      <w:start w:val="1"/>
      <w:numFmt w:val="lowerLetter"/>
      <w:lvlText w:val="%8."/>
      <w:lvlJc w:val="left"/>
      <w:pPr>
        <w:ind w:left="6255" w:hanging="360"/>
      </w:pPr>
    </w:lvl>
    <w:lvl w:ilvl="8" w:tplc="F18C4D24">
      <w:start w:val="1"/>
      <w:numFmt w:val="lowerRoman"/>
      <w:lvlText w:val="%9."/>
      <w:lvlJc w:val="right"/>
      <w:pPr>
        <w:ind w:left="6975" w:hanging="180"/>
      </w:pPr>
    </w:lvl>
  </w:abstractNum>
  <w:abstractNum w:abstractNumId="45" w15:restartNumberingAfterBreak="0">
    <w:nsid w:val="745955DD"/>
    <w:multiLevelType w:val="hybridMultilevel"/>
    <w:tmpl w:val="8E700516"/>
    <w:lvl w:ilvl="0" w:tplc="149E355E">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4B4664D"/>
    <w:multiLevelType w:val="hybridMultilevel"/>
    <w:tmpl w:val="805CACC2"/>
    <w:lvl w:ilvl="0" w:tplc="3EB410EE">
      <w:start w:val="1"/>
      <w:numFmt w:val="lowerLetter"/>
      <w:lvlText w:val="(%1)"/>
      <w:lvlJc w:val="left"/>
      <w:pPr>
        <w:ind w:left="1215" w:hanging="360"/>
      </w:pPr>
    </w:lvl>
    <w:lvl w:ilvl="1" w:tplc="DECCC652">
      <w:start w:val="1"/>
      <w:numFmt w:val="lowerLetter"/>
      <w:lvlText w:val="%2."/>
      <w:lvlJc w:val="left"/>
      <w:pPr>
        <w:ind w:left="1935" w:hanging="360"/>
      </w:pPr>
    </w:lvl>
    <w:lvl w:ilvl="2" w:tplc="B60800F8">
      <w:start w:val="1"/>
      <w:numFmt w:val="lowerRoman"/>
      <w:lvlText w:val="%3."/>
      <w:lvlJc w:val="right"/>
      <w:pPr>
        <w:ind w:left="2655" w:hanging="180"/>
      </w:pPr>
    </w:lvl>
    <w:lvl w:ilvl="3" w:tplc="88BC2F20">
      <w:start w:val="1"/>
      <w:numFmt w:val="decimal"/>
      <w:lvlText w:val="%4."/>
      <w:lvlJc w:val="left"/>
      <w:pPr>
        <w:ind w:left="3375" w:hanging="360"/>
      </w:pPr>
    </w:lvl>
    <w:lvl w:ilvl="4" w:tplc="33F81318">
      <w:start w:val="1"/>
      <w:numFmt w:val="lowerLetter"/>
      <w:lvlText w:val="%5."/>
      <w:lvlJc w:val="left"/>
      <w:pPr>
        <w:ind w:left="4095" w:hanging="360"/>
      </w:pPr>
    </w:lvl>
    <w:lvl w:ilvl="5" w:tplc="C89ECA94">
      <w:start w:val="1"/>
      <w:numFmt w:val="lowerRoman"/>
      <w:lvlText w:val="%6."/>
      <w:lvlJc w:val="right"/>
      <w:pPr>
        <w:ind w:left="4815" w:hanging="180"/>
      </w:pPr>
    </w:lvl>
    <w:lvl w:ilvl="6" w:tplc="18445DF2">
      <w:start w:val="1"/>
      <w:numFmt w:val="decimal"/>
      <w:lvlText w:val="%7."/>
      <w:lvlJc w:val="left"/>
      <w:pPr>
        <w:ind w:left="5535" w:hanging="360"/>
      </w:pPr>
    </w:lvl>
    <w:lvl w:ilvl="7" w:tplc="68FAAF96">
      <w:start w:val="1"/>
      <w:numFmt w:val="lowerLetter"/>
      <w:lvlText w:val="%8."/>
      <w:lvlJc w:val="left"/>
      <w:pPr>
        <w:ind w:left="6255" w:hanging="360"/>
      </w:pPr>
    </w:lvl>
    <w:lvl w:ilvl="8" w:tplc="817E3F68">
      <w:start w:val="1"/>
      <w:numFmt w:val="lowerRoman"/>
      <w:lvlText w:val="%9."/>
      <w:lvlJc w:val="right"/>
      <w:pPr>
        <w:ind w:left="6975" w:hanging="180"/>
      </w:pPr>
    </w:lvl>
  </w:abstractNum>
  <w:abstractNum w:abstractNumId="47" w15:restartNumberingAfterBreak="0">
    <w:nsid w:val="79743B10"/>
    <w:multiLevelType w:val="hybridMultilevel"/>
    <w:tmpl w:val="82A6A724"/>
    <w:lvl w:ilvl="0" w:tplc="5988140E">
      <w:start w:val="1"/>
      <w:numFmt w:val="decimal"/>
      <w:lvlText w:val="%1."/>
      <w:lvlJc w:val="left"/>
      <w:pPr>
        <w:ind w:left="927" w:hanging="360"/>
      </w:pPr>
    </w:lvl>
    <w:lvl w:ilvl="1" w:tplc="E3246E4E">
      <w:start w:val="1"/>
      <w:numFmt w:val="lowerLetter"/>
      <w:lvlText w:val="%2."/>
      <w:lvlJc w:val="left"/>
      <w:pPr>
        <w:ind w:left="1647" w:hanging="360"/>
      </w:pPr>
    </w:lvl>
    <w:lvl w:ilvl="2" w:tplc="38D48A9A">
      <w:start w:val="1"/>
      <w:numFmt w:val="lowerRoman"/>
      <w:lvlText w:val="%3."/>
      <w:lvlJc w:val="right"/>
      <w:pPr>
        <w:ind w:left="2367" w:hanging="180"/>
      </w:pPr>
    </w:lvl>
    <w:lvl w:ilvl="3" w:tplc="A5203A76">
      <w:start w:val="1"/>
      <w:numFmt w:val="decimal"/>
      <w:lvlText w:val="%4."/>
      <w:lvlJc w:val="left"/>
      <w:pPr>
        <w:ind w:left="3087" w:hanging="360"/>
      </w:pPr>
    </w:lvl>
    <w:lvl w:ilvl="4" w:tplc="27183870">
      <w:start w:val="1"/>
      <w:numFmt w:val="lowerLetter"/>
      <w:lvlText w:val="%5."/>
      <w:lvlJc w:val="left"/>
      <w:pPr>
        <w:ind w:left="3807" w:hanging="360"/>
      </w:pPr>
    </w:lvl>
    <w:lvl w:ilvl="5" w:tplc="82C07A9E">
      <w:start w:val="1"/>
      <w:numFmt w:val="lowerRoman"/>
      <w:lvlText w:val="%6."/>
      <w:lvlJc w:val="right"/>
      <w:pPr>
        <w:ind w:left="4527" w:hanging="180"/>
      </w:pPr>
    </w:lvl>
    <w:lvl w:ilvl="6" w:tplc="8CF8A0A4">
      <w:start w:val="1"/>
      <w:numFmt w:val="decimal"/>
      <w:lvlText w:val="%7."/>
      <w:lvlJc w:val="left"/>
      <w:pPr>
        <w:ind w:left="5247" w:hanging="360"/>
      </w:pPr>
    </w:lvl>
    <w:lvl w:ilvl="7" w:tplc="3ECEF712">
      <w:start w:val="1"/>
      <w:numFmt w:val="lowerLetter"/>
      <w:lvlText w:val="%8."/>
      <w:lvlJc w:val="left"/>
      <w:pPr>
        <w:ind w:left="5967" w:hanging="360"/>
      </w:pPr>
    </w:lvl>
    <w:lvl w:ilvl="8" w:tplc="3132D8C4">
      <w:start w:val="1"/>
      <w:numFmt w:val="lowerRoman"/>
      <w:lvlText w:val="%9."/>
      <w:lvlJc w:val="right"/>
      <w:pPr>
        <w:ind w:left="6687" w:hanging="180"/>
      </w:pPr>
    </w:lvl>
  </w:abstractNum>
  <w:num w:numId="1">
    <w:abstractNumId w:val="25"/>
  </w:num>
  <w:num w:numId="2">
    <w:abstractNumId w:val="36"/>
  </w:num>
  <w:num w:numId="3">
    <w:abstractNumId w:val="20"/>
  </w:num>
  <w:num w:numId="4">
    <w:abstractNumId w:val="19"/>
  </w:num>
  <w:num w:numId="5">
    <w:abstractNumId w:val="17"/>
  </w:num>
  <w:num w:numId="6">
    <w:abstractNumId w:val="0"/>
  </w:num>
  <w:num w:numId="7">
    <w:abstractNumId w:val="46"/>
  </w:num>
  <w:num w:numId="8">
    <w:abstractNumId w:val="41"/>
  </w:num>
  <w:num w:numId="9">
    <w:abstractNumId w:val="7"/>
  </w:num>
  <w:num w:numId="10">
    <w:abstractNumId w:val="11"/>
  </w:num>
  <w:num w:numId="11">
    <w:abstractNumId w:val="11"/>
  </w:num>
  <w:num w:numId="12">
    <w:abstractNumId w:val="11"/>
  </w:num>
  <w:num w:numId="13">
    <w:abstractNumId w:val="31"/>
  </w:num>
  <w:num w:numId="14">
    <w:abstractNumId w:val="22"/>
  </w:num>
  <w:num w:numId="15">
    <w:abstractNumId w:val="37"/>
  </w:num>
  <w:num w:numId="16">
    <w:abstractNumId w:val="16"/>
  </w:num>
  <w:num w:numId="17">
    <w:abstractNumId w:val="14"/>
  </w:num>
  <w:num w:numId="18">
    <w:abstractNumId w:val="15"/>
  </w:num>
  <w:num w:numId="19">
    <w:abstractNumId w:val="43"/>
  </w:num>
  <w:num w:numId="20">
    <w:abstractNumId w:val="18"/>
  </w:num>
  <w:num w:numId="21">
    <w:abstractNumId w:val="21"/>
  </w:num>
  <w:num w:numId="22">
    <w:abstractNumId w:val="28"/>
  </w:num>
  <w:num w:numId="23">
    <w:abstractNumId w:val="27"/>
  </w:num>
  <w:num w:numId="24">
    <w:abstractNumId w:val="34"/>
  </w:num>
  <w:num w:numId="25">
    <w:abstractNumId w:val="3"/>
  </w:num>
  <w:num w:numId="26">
    <w:abstractNumId w:val="6"/>
  </w:num>
  <w:num w:numId="27">
    <w:abstractNumId w:val="32"/>
  </w:num>
  <w:num w:numId="28">
    <w:abstractNumId w:val="23"/>
  </w:num>
  <w:num w:numId="29">
    <w:abstractNumId w:val="44"/>
  </w:num>
  <w:num w:numId="30">
    <w:abstractNumId w:val="30"/>
  </w:num>
  <w:num w:numId="31">
    <w:abstractNumId w:val="40"/>
  </w:num>
  <w:num w:numId="32">
    <w:abstractNumId w:val="26"/>
  </w:num>
  <w:num w:numId="33">
    <w:abstractNumId w:val="35"/>
  </w:num>
  <w:num w:numId="34">
    <w:abstractNumId w:val="1"/>
  </w:num>
  <w:num w:numId="35">
    <w:abstractNumId w:val="9"/>
  </w:num>
  <w:num w:numId="36">
    <w:abstractNumId w:val="4"/>
  </w:num>
  <w:num w:numId="37">
    <w:abstractNumId w:val="5"/>
  </w:num>
  <w:num w:numId="38">
    <w:abstractNumId w:val="2"/>
  </w:num>
  <w:num w:numId="39">
    <w:abstractNumId w:val="10"/>
  </w:num>
  <w:num w:numId="40">
    <w:abstractNumId w:val="13"/>
  </w:num>
  <w:num w:numId="41">
    <w:abstractNumId w:val="24"/>
  </w:num>
  <w:num w:numId="42">
    <w:abstractNumId w:val="29"/>
  </w:num>
  <w:num w:numId="43">
    <w:abstractNumId w:val="12"/>
  </w:num>
  <w:num w:numId="44">
    <w:abstractNumId w:val="33"/>
  </w:num>
  <w:num w:numId="45">
    <w:abstractNumId w:val="47"/>
  </w:num>
  <w:num w:numId="46">
    <w:abstractNumId w:val="42"/>
  </w:num>
  <w:num w:numId="47">
    <w:abstractNumId w:val="39"/>
  </w:num>
  <w:num w:numId="48">
    <w:abstractNumId w:val="45"/>
  </w:num>
  <w:num w:numId="49">
    <w:abstractNumId w:val="38"/>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12"/>
    <w:rsid w:val="00002415"/>
    <w:rsid w:val="00002DBB"/>
    <w:rsid w:val="00003964"/>
    <w:rsid w:val="000056DD"/>
    <w:rsid w:val="00010634"/>
    <w:rsid w:val="000109F7"/>
    <w:rsid w:val="00011295"/>
    <w:rsid w:val="000114D6"/>
    <w:rsid w:val="00011BE4"/>
    <w:rsid w:val="00012D8E"/>
    <w:rsid w:val="00012F9A"/>
    <w:rsid w:val="0001381A"/>
    <w:rsid w:val="00014936"/>
    <w:rsid w:val="00014C1B"/>
    <w:rsid w:val="0001606C"/>
    <w:rsid w:val="00017960"/>
    <w:rsid w:val="000203EA"/>
    <w:rsid w:val="00022738"/>
    <w:rsid w:val="00022DF5"/>
    <w:rsid w:val="0002414A"/>
    <w:rsid w:val="000261BE"/>
    <w:rsid w:val="00026D2D"/>
    <w:rsid w:val="00026E7F"/>
    <w:rsid w:val="00027493"/>
    <w:rsid w:val="000316CF"/>
    <w:rsid w:val="00033303"/>
    <w:rsid w:val="000335A8"/>
    <w:rsid w:val="0003398A"/>
    <w:rsid w:val="000349E2"/>
    <w:rsid w:val="0003606E"/>
    <w:rsid w:val="00041473"/>
    <w:rsid w:val="00041C7A"/>
    <w:rsid w:val="00042093"/>
    <w:rsid w:val="00042266"/>
    <w:rsid w:val="000435E6"/>
    <w:rsid w:val="000443C2"/>
    <w:rsid w:val="00044866"/>
    <w:rsid w:val="000472CA"/>
    <w:rsid w:val="00047DE1"/>
    <w:rsid w:val="000517EE"/>
    <w:rsid w:val="000539F9"/>
    <w:rsid w:val="00053E84"/>
    <w:rsid w:val="00053F8E"/>
    <w:rsid w:val="00054C04"/>
    <w:rsid w:val="00055898"/>
    <w:rsid w:val="0006191B"/>
    <w:rsid w:val="00065103"/>
    <w:rsid w:val="00071968"/>
    <w:rsid w:val="00072608"/>
    <w:rsid w:val="000732C9"/>
    <w:rsid w:val="00076C7F"/>
    <w:rsid w:val="00077622"/>
    <w:rsid w:val="00077C37"/>
    <w:rsid w:val="00080620"/>
    <w:rsid w:val="00081435"/>
    <w:rsid w:val="0008226F"/>
    <w:rsid w:val="0008337A"/>
    <w:rsid w:val="000844B6"/>
    <w:rsid w:val="00084988"/>
    <w:rsid w:val="00090FCB"/>
    <w:rsid w:val="000950EE"/>
    <w:rsid w:val="0009530A"/>
    <w:rsid w:val="000A352D"/>
    <w:rsid w:val="000A468E"/>
    <w:rsid w:val="000A67C8"/>
    <w:rsid w:val="000B1ACE"/>
    <w:rsid w:val="000B37BB"/>
    <w:rsid w:val="000B54B4"/>
    <w:rsid w:val="000B648D"/>
    <w:rsid w:val="000C06DF"/>
    <w:rsid w:val="000C0C30"/>
    <w:rsid w:val="000C10BA"/>
    <w:rsid w:val="000C17C9"/>
    <w:rsid w:val="000C2B11"/>
    <w:rsid w:val="000C319E"/>
    <w:rsid w:val="000C3BB8"/>
    <w:rsid w:val="000C42F7"/>
    <w:rsid w:val="000C466D"/>
    <w:rsid w:val="000C47DD"/>
    <w:rsid w:val="000C4ED6"/>
    <w:rsid w:val="000C5935"/>
    <w:rsid w:val="000C5B5C"/>
    <w:rsid w:val="000C5DD2"/>
    <w:rsid w:val="000C6921"/>
    <w:rsid w:val="000C705B"/>
    <w:rsid w:val="000D3777"/>
    <w:rsid w:val="000D3D5D"/>
    <w:rsid w:val="000D4DB9"/>
    <w:rsid w:val="000E06A7"/>
    <w:rsid w:val="000E32E8"/>
    <w:rsid w:val="000E4ACE"/>
    <w:rsid w:val="000E7CF5"/>
    <w:rsid w:val="000F05D6"/>
    <w:rsid w:val="000F130E"/>
    <w:rsid w:val="000F360F"/>
    <w:rsid w:val="000F4FD9"/>
    <w:rsid w:val="000F5E2D"/>
    <w:rsid w:val="000F5E43"/>
    <w:rsid w:val="000F6519"/>
    <w:rsid w:val="0010034D"/>
    <w:rsid w:val="0010087E"/>
    <w:rsid w:val="0010149F"/>
    <w:rsid w:val="001015D5"/>
    <w:rsid w:val="001018D5"/>
    <w:rsid w:val="0010217A"/>
    <w:rsid w:val="00102D32"/>
    <w:rsid w:val="00106FF0"/>
    <w:rsid w:val="001110C4"/>
    <w:rsid w:val="00115AD8"/>
    <w:rsid w:val="00115BED"/>
    <w:rsid w:val="00115F0A"/>
    <w:rsid w:val="0012066B"/>
    <w:rsid w:val="001229C4"/>
    <w:rsid w:val="00123B7D"/>
    <w:rsid w:val="001244BA"/>
    <w:rsid w:val="00124758"/>
    <w:rsid w:val="001256EC"/>
    <w:rsid w:val="001267BA"/>
    <w:rsid w:val="00130992"/>
    <w:rsid w:val="00131D79"/>
    <w:rsid w:val="0013493D"/>
    <w:rsid w:val="00135D84"/>
    <w:rsid w:val="00136208"/>
    <w:rsid w:val="00136719"/>
    <w:rsid w:val="00137F33"/>
    <w:rsid w:val="00140AFD"/>
    <w:rsid w:val="001418D1"/>
    <w:rsid w:val="001428E5"/>
    <w:rsid w:val="00143550"/>
    <w:rsid w:val="00143ACD"/>
    <w:rsid w:val="00145F71"/>
    <w:rsid w:val="00146D3C"/>
    <w:rsid w:val="001520D7"/>
    <w:rsid w:val="0015481C"/>
    <w:rsid w:val="001553F0"/>
    <w:rsid w:val="00155556"/>
    <w:rsid w:val="00156079"/>
    <w:rsid w:val="00160B72"/>
    <w:rsid w:val="0016185A"/>
    <w:rsid w:val="00161904"/>
    <w:rsid w:val="00161D63"/>
    <w:rsid w:val="0016358C"/>
    <w:rsid w:val="001644ED"/>
    <w:rsid w:val="00170026"/>
    <w:rsid w:val="00171FCD"/>
    <w:rsid w:val="0017208C"/>
    <w:rsid w:val="00172435"/>
    <w:rsid w:val="001730F0"/>
    <w:rsid w:val="0017353E"/>
    <w:rsid w:val="00175C15"/>
    <w:rsid w:val="00183D79"/>
    <w:rsid w:val="00190E9E"/>
    <w:rsid w:val="0019122B"/>
    <w:rsid w:val="00191A8B"/>
    <w:rsid w:val="00193E77"/>
    <w:rsid w:val="001961F4"/>
    <w:rsid w:val="001973B0"/>
    <w:rsid w:val="001A035F"/>
    <w:rsid w:val="001A0D97"/>
    <w:rsid w:val="001A0FBB"/>
    <w:rsid w:val="001A1C7D"/>
    <w:rsid w:val="001A4F7E"/>
    <w:rsid w:val="001A6DE8"/>
    <w:rsid w:val="001A7049"/>
    <w:rsid w:val="001A77BC"/>
    <w:rsid w:val="001B037C"/>
    <w:rsid w:val="001B5479"/>
    <w:rsid w:val="001B5B52"/>
    <w:rsid w:val="001B6E21"/>
    <w:rsid w:val="001C5FBE"/>
    <w:rsid w:val="001C72F3"/>
    <w:rsid w:val="001C748D"/>
    <w:rsid w:val="001D0702"/>
    <w:rsid w:val="001D0E27"/>
    <w:rsid w:val="001D0FC8"/>
    <w:rsid w:val="001D1CB4"/>
    <w:rsid w:val="001D35DD"/>
    <w:rsid w:val="001E0ABD"/>
    <w:rsid w:val="001E1A29"/>
    <w:rsid w:val="001E1CE1"/>
    <w:rsid w:val="001E1E59"/>
    <w:rsid w:val="001E2A5C"/>
    <w:rsid w:val="001E3FC8"/>
    <w:rsid w:val="001E79CD"/>
    <w:rsid w:val="001F05B2"/>
    <w:rsid w:val="001F4247"/>
    <w:rsid w:val="002001E4"/>
    <w:rsid w:val="00201D64"/>
    <w:rsid w:val="0020510D"/>
    <w:rsid w:val="002052EE"/>
    <w:rsid w:val="00206A27"/>
    <w:rsid w:val="002079F7"/>
    <w:rsid w:val="00212D44"/>
    <w:rsid w:val="0021378C"/>
    <w:rsid w:val="00215A0D"/>
    <w:rsid w:val="0021625B"/>
    <w:rsid w:val="002163B4"/>
    <w:rsid w:val="00226504"/>
    <w:rsid w:val="00226D3A"/>
    <w:rsid w:val="00227AF5"/>
    <w:rsid w:val="00227E14"/>
    <w:rsid w:val="00230A5D"/>
    <w:rsid w:val="002315EE"/>
    <w:rsid w:val="00232CEF"/>
    <w:rsid w:val="00233593"/>
    <w:rsid w:val="002371CD"/>
    <w:rsid w:val="00237CE1"/>
    <w:rsid w:val="00240071"/>
    <w:rsid w:val="00243E18"/>
    <w:rsid w:val="00244FA6"/>
    <w:rsid w:val="00246A1C"/>
    <w:rsid w:val="00250A30"/>
    <w:rsid w:val="0025125F"/>
    <w:rsid w:val="00253192"/>
    <w:rsid w:val="0025330F"/>
    <w:rsid w:val="002551B4"/>
    <w:rsid w:val="00255D6D"/>
    <w:rsid w:val="0025730F"/>
    <w:rsid w:val="0026172A"/>
    <w:rsid w:val="00261BCF"/>
    <w:rsid w:val="00261E4D"/>
    <w:rsid w:val="0026325F"/>
    <w:rsid w:val="0026498E"/>
    <w:rsid w:val="00265AC1"/>
    <w:rsid w:val="00265AF1"/>
    <w:rsid w:val="00265BB4"/>
    <w:rsid w:val="00266306"/>
    <w:rsid w:val="00266F58"/>
    <w:rsid w:val="00270C55"/>
    <w:rsid w:val="00271D28"/>
    <w:rsid w:val="00275E18"/>
    <w:rsid w:val="0027621D"/>
    <w:rsid w:val="00276980"/>
    <w:rsid w:val="00276DF6"/>
    <w:rsid w:val="00280AD9"/>
    <w:rsid w:val="0028553D"/>
    <w:rsid w:val="002907EA"/>
    <w:rsid w:val="0029393D"/>
    <w:rsid w:val="00294DB2"/>
    <w:rsid w:val="002A0C41"/>
    <w:rsid w:val="002A14A3"/>
    <w:rsid w:val="002A24F1"/>
    <w:rsid w:val="002A679D"/>
    <w:rsid w:val="002B178C"/>
    <w:rsid w:val="002B3980"/>
    <w:rsid w:val="002B571E"/>
    <w:rsid w:val="002B6884"/>
    <w:rsid w:val="002B6EDF"/>
    <w:rsid w:val="002C04BD"/>
    <w:rsid w:val="002C215D"/>
    <w:rsid w:val="002C3677"/>
    <w:rsid w:val="002C50CA"/>
    <w:rsid w:val="002C5EE0"/>
    <w:rsid w:val="002C60F9"/>
    <w:rsid w:val="002C61C3"/>
    <w:rsid w:val="002C7FC6"/>
    <w:rsid w:val="002D2B44"/>
    <w:rsid w:val="002D2F38"/>
    <w:rsid w:val="002D43A9"/>
    <w:rsid w:val="002D4FB4"/>
    <w:rsid w:val="002D588A"/>
    <w:rsid w:val="002E0196"/>
    <w:rsid w:val="002E1F23"/>
    <w:rsid w:val="002E39AB"/>
    <w:rsid w:val="002E7879"/>
    <w:rsid w:val="002E7DA7"/>
    <w:rsid w:val="002F3C81"/>
    <w:rsid w:val="002F7D3A"/>
    <w:rsid w:val="002F7DC2"/>
    <w:rsid w:val="003002B3"/>
    <w:rsid w:val="00301DEC"/>
    <w:rsid w:val="00303749"/>
    <w:rsid w:val="0030383D"/>
    <w:rsid w:val="00303BAB"/>
    <w:rsid w:val="00304077"/>
    <w:rsid w:val="003049DB"/>
    <w:rsid w:val="00306FAB"/>
    <w:rsid w:val="003075C0"/>
    <w:rsid w:val="00310F84"/>
    <w:rsid w:val="00312D39"/>
    <w:rsid w:val="00313C44"/>
    <w:rsid w:val="00313EFC"/>
    <w:rsid w:val="003149A2"/>
    <w:rsid w:val="00315690"/>
    <w:rsid w:val="00317D01"/>
    <w:rsid w:val="003219FB"/>
    <w:rsid w:val="00322D83"/>
    <w:rsid w:val="003243BC"/>
    <w:rsid w:val="003247E0"/>
    <w:rsid w:val="00324C23"/>
    <w:rsid w:val="003273E7"/>
    <w:rsid w:val="003301DB"/>
    <w:rsid w:val="003315AC"/>
    <w:rsid w:val="00331FED"/>
    <w:rsid w:val="003329B8"/>
    <w:rsid w:val="003336E3"/>
    <w:rsid w:val="003367F5"/>
    <w:rsid w:val="00336CF9"/>
    <w:rsid w:val="0033730D"/>
    <w:rsid w:val="003415AB"/>
    <w:rsid w:val="0034163C"/>
    <w:rsid w:val="003424F0"/>
    <w:rsid w:val="00343FD9"/>
    <w:rsid w:val="00345847"/>
    <w:rsid w:val="003471C7"/>
    <w:rsid w:val="003527E0"/>
    <w:rsid w:val="0035463F"/>
    <w:rsid w:val="003555C6"/>
    <w:rsid w:val="0035728F"/>
    <w:rsid w:val="0035740A"/>
    <w:rsid w:val="00360E00"/>
    <w:rsid w:val="003611DE"/>
    <w:rsid w:val="00361EBA"/>
    <w:rsid w:val="00365571"/>
    <w:rsid w:val="00366980"/>
    <w:rsid w:val="0036701F"/>
    <w:rsid w:val="00371870"/>
    <w:rsid w:val="0038405D"/>
    <w:rsid w:val="00387680"/>
    <w:rsid w:val="00387C9E"/>
    <w:rsid w:val="00390931"/>
    <w:rsid w:val="0039163E"/>
    <w:rsid w:val="00391820"/>
    <w:rsid w:val="00391890"/>
    <w:rsid w:val="00392A95"/>
    <w:rsid w:val="003939EF"/>
    <w:rsid w:val="003948C9"/>
    <w:rsid w:val="003957F7"/>
    <w:rsid w:val="00396DFF"/>
    <w:rsid w:val="0039733A"/>
    <w:rsid w:val="003A04A7"/>
    <w:rsid w:val="003A0BBD"/>
    <w:rsid w:val="003A292A"/>
    <w:rsid w:val="003A2D54"/>
    <w:rsid w:val="003A5D74"/>
    <w:rsid w:val="003A7174"/>
    <w:rsid w:val="003B061F"/>
    <w:rsid w:val="003B306C"/>
    <w:rsid w:val="003B45FF"/>
    <w:rsid w:val="003B5A28"/>
    <w:rsid w:val="003B6172"/>
    <w:rsid w:val="003B62CE"/>
    <w:rsid w:val="003C1F45"/>
    <w:rsid w:val="003C2010"/>
    <w:rsid w:val="003C29EB"/>
    <w:rsid w:val="003C2D83"/>
    <w:rsid w:val="003C2DCF"/>
    <w:rsid w:val="003C3692"/>
    <w:rsid w:val="003C5129"/>
    <w:rsid w:val="003C7640"/>
    <w:rsid w:val="003D0750"/>
    <w:rsid w:val="003D485B"/>
    <w:rsid w:val="003D508C"/>
    <w:rsid w:val="003D590B"/>
    <w:rsid w:val="003D713A"/>
    <w:rsid w:val="003D7C0A"/>
    <w:rsid w:val="003E07B6"/>
    <w:rsid w:val="003E232A"/>
    <w:rsid w:val="003E2D8E"/>
    <w:rsid w:val="003E43E0"/>
    <w:rsid w:val="003E52E0"/>
    <w:rsid w:val="003F4FC7"/>
    <w:rsid w:val="003F6E03"/>
    <w:rsid w:val="003F7EC2"/>
    <w:rsid w:val="00402032"/>
    <w:rsid w:val="00402CC1"/>
    <w:rsid w:val="00402D08"/>
    <w:rsid w:val="004031E3"/>
    <w:rsid w:val="004032A5"/>
    <w:rsid w:val="00410830"/>
    <w:rsid w:val="0041226C"/>
    <w:rsid w:val="004131AD"/>
    <w:rsid w:val="0041472C"/>
    <w:rsid w:val="0041486A"/>
    <w:rsid w:val="00415D6D"/>
    <w:rsid w:val="00416416"/>
    <w:rsid w:val="004169A7"/>
    <w:rsid w:val="00416A40"/>
    <w:rsid w:val="0041753C"/>
    <w:rsid w:val="0041775A"/>
    <w:rsid w:val="00417F23"/>
    <w:rsid w:val="0042034A"/>
    <w:rsid w:val="00420A3B"/>
    <w:rsid w:val="00421BB0"/>
    <w:rsid w:val="004232FB"/>
    <w:rsid w:val="0042367D"/>
    <w:rsid w:val="00424549"/>
    <w:rsid w:val="00424C80"/>
    <w:rsid w:val="00427AB7"/>
    <w:rsid w:val="00427BC7"/>
    <w:rsid w:val="00430CF7"/>
    <w:rsid w:val="00430E24"/>
    <w:rsid w:val="00433BA2"/>
    <w:rsid w:val="004351FE"/>
    <w:rsid w:val="004371E5"/>
    <w:rsid w:val="00437763"/>
    <w:rsid w:val="004412F6"/>
    <w:rsid w:val="00443C1E"/>
    <w:rsid w:val="004475AF"/>
    <w:rsid w:val="00450A85"/>
    <w:rsid w:val="00452EC5"/>
    <w:rsid w:val="0045561C"/>
    <w:rsid w:val="00455681"/>
    <w:rsid w:val="0045604A"/>
    <w:rsid w:val="0045728B"/>
    <w:rsid w:val="00457FE9"/>
    <w:rsid w:val="00461936"/>
    <w:rsid w:val="00462D45"/>
    <w:rsid w:val="00463530"/>
    <w:rsid w:val="00463A77"/>
    <w:rsid w:val="00465752"/>
    <w:rsid w:val="00465EAB"/>
    <w:rsid w:val="00466144"/>
    <w:rsid w:val="00466472"/>
    <w:rsid w:val="00466B87"/>
    <w:rsid w:val="004703E9"/>
    <w:rsid w:val="0047305B"/>
    <w:rsid w:val="00473332"/>
    <w:rsid w:val="004753E7"/>
    <w:rsid w:val="00476B7A"/>
    <w:rsid w:val="00477E30"/>
    <w:rsid w:val="00480323"/>
    <w:rsid w:val="00480802"/>
    <w:rsid w:val="00481243"/>
    <w:rsid w:val="0048209A"/>
    <w:rsid w:val="004833C8"/>
    <w:rsid w:val="00486796"/>
    <w:rsid w:val="00493F6B"/>
    <w:rsid w:val="0049474F"/>
    <w:rsid w:val="0049484B"/>
    <w:rsid w:val="0049624D"/>
    <w:rsid w:val="00497861"/>
    <w:rsid w:val="004A3483"/>
    <w:rsid w:val="004A4CE8"/>
    <w:rsid w:val="004A686F"/>
    <w:rsid w:val="004B04AA"/>
    <w:rsid w:val="004B0695"/>
    <w:rsid w:val="004B0EA3"/>
    <w:rsid w:val="004B1C5D"/>
    <w:rsid w:val="004B438D"/>
    <w:rsid w:val="004B4EF9"/>
    <w:rsid w:val="004B5645"/>
    <w:rsid w:val="004C0BB9"/>
    <w:rsid w:val="004C4A7C"/>
    <w:rsid w:val="004C543A"/>
    <w:rsid w:val="004C7704"/>
    <w:rsid w:val="004C7C08"/>
    <w:rsid w:val="004C7CBC"/>
    <w:rsid w:val="004C7D12"/>
    <w:rsid w:val="004D0315"/>
    <w:rsid w:val="004D0E88"/>
    <w:rsid w:val="004D406E"/>
    <w:rsid w:val="004D43B1"/>
    <w:rsid w:val="004D4A53"/>
    <w:rsid w:val="004D4BA4"/>
    <w:rsid w:val="004D4E61"/>
    <w:rsid w:val="004E1D79"/>
    <w:rsid w:val="004E31CC"/>
    <w:rsid w:val="004E3AB6"/>
    <w:rsid w:val="004E49F9"/>
    <w:rsid w:val="004E62C2"/>
    <w:rsid w:val="004E7D39"/>
    <w:rsid w:val="004F26C6"/>
    <w:rsid w:val="004F55D7"/>
    <w:rsid w:val="004F5B0B"/>
    <w:rsid w:val="004F602A"/>
    <w:rsid w:val="004F6376"/>
    <w:rsid w:val="004F66F0"/>
    <w:rsid w:val="00500CF6"/>
    <w:rsid w:val="00501DBC"/>
    <w:rsid w:val="00504ADF"/>
    <w:rsid w:val="00505DB7"/>
    <w:rsid w:val="0050634E"/>
    <w:rsid w:val="00506886"/>
    <w:rsid w:val="00506A8D"/>
    <w:rsid w:val="005116CA"/>
    <w:rsid w:val="0051410B"/>
    <w:rsid w:val="005142F8"/>
    <w:rsid w:val="00514A73"/>
    <w:rsid w:val="00514B86"/>
    <w:rsid w:val="00516007"/>
    <w:rsid w:val="00517CBE"/>
    <w:rsid w:val="00520066"/>
    <w:rsid w:val="0052054C"/>
    <w:rsid w:val="00521C27"/>
    <w:rsid w:val="005225C0"/>
    <w:rsid w:val="0052383A"/>
    <w:rsid w:val="00524358"/>
    <w:rsid w:val="005259DF"/>
    <w:rsid w:val="00526B25"/>
    <w:rsid w:val="00530D38"/>
    <w:rsid w:val="00531CFE"/>
    <w:rsid w:val="00532870"/>
    <w:rsid w:val="005336E0"/>
    <w:rsid w:val="0053480E"/>
    <w:rsid w:val="00536B47"/>
    <w:rsid w:val="00537D66"/>
    <w:rsid w:val="005425B1"/>
    <w:rsid w:val="00542939"/>
    <w:rsid w:val="005450C4"/>
    <w:rsid w:val="005452E0"/>
    <w:rsid w:val="00545BB4"/>
    <w:rsid w:val="005460B2"/>
    <w:rsid w:val="00546821"/>
    <w:rsid w:val="005470DD"/>
    <w:rsid w:val="005505BF"/>
    <w:rsid w:val="00553368"/>
    <w:rsid w:val="00554852"/>
    <w:rsid w:val="00556530"/>
    <w:rsid w:val="005567D2"/>
    <w:rsid w:val="0056197A"/>
    <w:rsid w:val="00562877"/>
    <w:rsid w:val="00562DAF"/>
    <w:rsid w:val="00564AA1"/>
    <w:rsid w:val="00570109"/>
    <w:rsid w:val="00571446"/>
    <w:rsid w:val="005716EF"/>
    <w:rsid w:val="00571E47"/>
    <w:rsid w:val="0057394D"/>
    <w:rsid w:val="00573B8D"/>
    <w:rsid w:val="00574177"/>
    <w:rsid w:val="0057584D"/>
    <w:rsid w:val="00576BE4"/>
    <w:rsid w:val="005809E8"/>
    <w:rsid w:val="00582258"/>
    <w:rsid w:val="00582912"/>
    <w:rsid w:val="00584196"/>
    <w:rsid w:val="00584D9D"/>
    <w:rsid w:val="0058633C"/>
    <w:rsid w:val="00590769"/>
    <w:rsid w:val="005928EF"/>
    <w:rsid w:val="00594B41"/>
    <w:rsid w:val="00595166"/>
    <w:rsid w:val="005A05FB"/>
    <w:rsid w:val="005A1219"/>
    <w:rsid w:val="005A3C62"/>
    <w:rsid w:val="005A45C9"/>
    <w:rsid w:val="005A4B69"/>
    <w:rsid w:val="005A513F"/>
    <w:rsid w:val="005A5FEE"/>
    <w:rsid w:val="005A7C79"/>
    <w:rsid w:val="005A7EB6"/>
    <w:rsid w:val="005A7FE2"/>
    <w:rsid w:val="005B1E14"/>
    <w:rsid w:val="005B1FB0"/>
    <w:rsid w:val="005B3EEC"/>
    <w:rsid w:val="005B3FC9"/>
    <w:rsid w:val="005B4527"/>
    <w:rsid w:val="005B4999"/>
    <w:rsid w:val="005B69A4"/>
    <w:rsid w:val="005C1A60"/>
    <w:rsid w:val="005C1F85"/>
    <w:rsid w:val="005C2370"/>
    <w:rsid w:val="005C23A4"/>
    <w:rsid w:val="005C3548"/>
    <w:rsid w:val="005C443D"/>
    <w:rsid w:val="005C6E3F"/>
    <w:rsid w:val="005C73D6"/>
    <w:rsid w:val="005D078E"/>
    <w:rsid w:val="005D16C6"/>
    <w:rsid w:val="005D49C7"/>
    <w:rsid w:val="005D4F18"/>
    <w:rsid w:val="005D56B9"/>
    <w:rsid w:val="005D5D82"/>
    <w:rsid w:val="005D6041"/>
    <w:rsid w:val="005D6157"/>
    <w:rsid w:val="005D68F4"/>
    <w:rsid w:val="005E122A"/>
    <w:rsid w:val="005E1390"/>
    <w:rsid w:val="005E1D15"/>
    <w:rsid w:val="005E226F"/>
    <w:rsid w:val="005E293F"/>
    <w:rsid w:val="005E30D5"/>
    <w:rsid w:val="005E3BDD"/>
    <w:rsid w:val="005E44E0"/>
    <w:rsid w:val="005E5164"/>
    <w:rsid w:val="005E5558"/>
    <w:rsid w:val="005F09C5"/>
    <w:rsid w:val="005F4236"/>
    <w:rsid w:val="005F5A2F"/>
    <w:rsid w:val="005F6E98"/>
    <w:rsid w:val="005F7B9F"/>
    <w:rsid w:val="006001C9"/>
    <w:rsid w:val="00601565"/>
    <w:rsid w:val="006018B8"/>
    <w:rsid w:val="00602EE5"/>
    <w:rsid w:val="0060360B"/>
    <w:rsid w:val="00604BAC"/>
    <w:rsid w:val="006054AE"/>
    <w:rsid w:val="00607B89"/>
    <w:rsid w:val="00612E72"/>
    <w:rsid w:val="00613061"/>
    <w:rsid w:val="00614883"/>
    <w:rsid w:val="0061692F"/>
    <w:rsid w:val="006170FA"/>
    <w:rsid w:val="00617288"/>
    <w:rsid w:val="0062101D"/>
    <w:rsid w:val="00622C19"/>
    <w:rsid w:val="00623666"/>
    <w:rsid w:val="0062630C"/>
    <w:rsid w:val="00627995"/>
    <w:rsid w:val="00632E2B"/>
    <w:rsid w:val="00633C95"/>
    <w:rsid w:val="00634C12"/>
    <w:rsid w:val="00636BF3"/>
    <w:rsid w:val="00637397"/>
    <w:rsid w:val="00641BB2"/>
    <w:rsid w:val="00643D96"/>
    <w:rsid w:val="00644649"/>
    <w:rsid w:val="00644E35"/>
    <w:rsid w:val="00650463"/>
    <w:rsid w:val="006506DE"/>
    <w:rsid w:val="00650A66"/>
    <w:rsid w:val="00650C8F"/>
    <w:rsid w:val="00653993"/>
    <w:rsid w:val="0065412C"/>
    <w:rsid w:val="00661D4C"/>
    <w:rsid w:val="00662DFC"/>
    <w:rsid w:val="006727F7"/>
    <w:rsid w:val="00675A32"/>
    <w:rsid w:val="00676B06"/>
    <w:rsid w:val="00677512"/>
    <w:rsid w:val="00681FF7"/>
    <w:rsid w:val="006826B1"/>
    <w:rsid w:val="00684649"/>
    <w:rsid w:val="00686283"/>
    <w:rsid w:val="006912BC"/>
    <w:rsid w:val="00693C7D"/>
    <w:rsid w:val="006965DA"/>
    <w:rsid w:val="0069694F"/>
    <w:rsid w:val="006A3321"/>
    <w:rsid w:val="006A6CB3"/>
    <w:rsid w:val="006B19FE"/>
    <w:rsid w:val="006B38CA"/>
    <w:rsid w:val="006B6797"/>
    <w:rsid w:val="006B79BD"/>
    <w:rsid w:val="006C0B77"/>
    <w:rsid w:val="006C0FFA"/>
    <w:rsid w:val="006C1587"/>
    <w:rsid w:val="006C3CEC"/>
    <w:rsid w:val="006C484C"/>
    <w:rsid w:val="006C5E68"/>
    <w:rsid w:val="006C7A25"/>
    <w:rsid w:val="006D018F"/>
    <w:rsid w:val="006D03E1"/>
    <w:rsid w:val="006D20CA"/>
    <w:rsid w:val="006D2C1B"/>
    <w:rsid w:val="006D2E2E"/>
    <w:rsid w:val="006D3049"/>
    <w:rsid w:val="006D3584"/>
    <w:rsid w:val="006D3879"/>
    <w:rsid w:val="006D3E09"/>
    <w:rsid w:val="006D43AF"/>
    <w:rsid w:val="006D4893"/>
    <w:rsid w:val="006D68CB"/>
    <w:rsid w:val="006E1EC9"/>
    <w:rsid w:val="006E48D4"/>
    <w:rsid w:val="006F08C4"/>
    <w:rsid w:val="006F0CCC"/>
    <w:rsid w:val="006F3128"/>
    <w:rsid w:val="006F36EA"/>
    <w:rsid w:val="006F3AEF"/>
    <w:rsid w:val="006F5BBA"/>
    <w:rsid w:val="006F7024"/>
    <w:rsid w:val="006F7CA3"/>
    <w:rsid w:val="007008DD"/>
    <w:rsid w:val="00701900"/>
    <w:rsid w:val="00701AFE"/>
    <w:rsid w:val="00702D7A"/>
    <w:rsid w:val="0070591C"/>
    <w:rsid w:val="00714A3E"/>
    <w:rsid w:val="00714AE4"/>
    <w:rsid w:val="00715713"/>
    <w:rsid w:val="007179FA"/>
    <w:rsid w:val="00720E88"/>
    <w:rsid w:val="007210E7"/>
    <w:rsid w:val="007244A1"/>
    <w:rsid w:val="00724718"/>
    <w:rsid w:val="00725429"/>
    <w:rsid w:val="0073022B"/>
    <w:rsid w:val="00730884"/>
    <w:rsid w:val="00731790"/>
    <w:rsid w:val="00733969"/>
    <w:rsid w:val="00733AEA"/>
    <w:rsid w:val="00737051"/>
    <w:rsid w:val="0074070F"/>
    <w:rsid w:val="0074091C"/>
    <w:rsid w:val="00740DDB"/>
    <w:rsid w:val="0074214F"/>
    <w:rsid w:val="007428E7"/>
    <w:rsid w:val="00742D7B"/>
    <w:rsid w:val="00745E19"/>
    <w:rsid w:val="00746321"/>
    <w:rsid w:val="00747033"/>
    <w:rsid w:val="00747452"/>
    <w:rsid w:val="00750C8D"/>
    <w:rsid w:val="00750CE9"/>
    <w:rsid w:val="007544E9"/>
    <w:rsid w:val="00755867"/>
    <w:rsid w:val="00755F41"/>
    <w:rsid w:val="00757AEC"/>
    <w:rsid w:val="00761274"/>
    <w:rsid w:val="00761A96"/>
    <w:rsid w:val="007638D2"/>
    <w:rsid w:val="007651AE"/>
    <w:rsid w:val="00770F19"/>
    <w:rsid w:val="007718F3"/>
    <w:rsid w:val="0077369C"/>
    <w:rsid w:val="00780905"/>
    <w:rsid w:val="007815F8"/>
    <w:rsid w:val="00781DCE"/>
    <w:rsid w:val="00782C41"/>
    <w:rsid w:val="007835BC"/>
    <w:rsid w:val="00783B4B"/>
    <w:rsid w:val="007848A8"/>
    <w:rsid w:val="00785CB7"/>
    <w:rsid w:val="00786E13"/>
    <w:rsid w:val="00790A3D"/>
    <w:rsid w:val="00790ACC"/>
    <w:rsid w:val="007910D4"/>
    <w:rsid w:val="007916C0"/>
    <w:rsid w:val="00791EE9"/>
    <w:rsid w:val="00793278"/>
    <w:rsid w:val="0079362D"/>
    <w:rsid w:val="00797DAC"/>
    <w:rsid w:val="007A2B24"/>
    <w:rsid w:val="007A37E0"/>
    <w:rsid w:val="007B109A"/>
    <w:rsid w:val="007B190C"/>
    <w:rsid w:val="007B70D9"/>
    <w:rsid w:val="007B7756"/>
    <w:rsid w:val="007B7858"/>
    <w:rsid w:val="007C09B3"/>
    <w:rsid w:val="007C29F3"/>
    <w:rsid w:val="007C3BF5"/>
    <w:rsid w:val="007C49A0"/>
    <w:rsid w:val="007C5693"/>
    <w:rsid w:val="007C77A1"/>
    <w:rsid w:val="007D275A"/>
    <w:rsid w:val="007D378A"/>
    <w:rsid w:val="007D38BD"/>
    <w:rsid w:val="007D4484"/>
    <w:rsid w:val="007D6AFF"/>
    <w:rsid w:val="007D6B2E"/>
    <w:rsid w:val="007E0A0A"/>
    <w:rsid w:val="007E0FA9"/>
    <w:rsid w:val="007E1992"/>
    <w:rsid w:val="007E1B4D"/>
    <w:rsid w:val="007E28A4"/>
    <w:rsid w:val="007E30AF"/>
    <w:rsid w:val="007E3D7E"/>
    <w:rsid w:val="007E5147"/>
    <w:rsid w:val="007E5F7E"/>
    <w:rsid w:val="007F4953"/>
    <w:rsid w:val="007F571B"/>
    <w:rsid w:val="007F5A28"/>
    <w:rsid w:val="007F6CDC"/>
    <w:rsid w:val="007F7C79"/>
    <w:rsid w:val="00801BDD"/>
    <w:rsid w:val="00802327"/>
    <w:rsid w:val="00802710"/>
    <w:rsid w:val="00803568"/>
    <w:rsid w:val="00804B4B"/>
    <w:rsid w:val="0080731A"/>
    <w:rsid w:val="00807D73"/>
    <w:rsid w:val="00810B85"/>
    <w:rsid w:val="0081282D"/>
    <w:rsid w:val="00813FFF"/>
    <w:rsid w:val="00814BD5"/>
    <w:rsid w:val="008150BE"/>
    <w:rsid w:val="00815DBD"/>
    <w:rsid w:val="00816C7C"/>
    <w:rsid w:val="008210AA"/>
    <w:rsid w:val="00822C36"/>
    <w:rsid w:val="00824366"/>
    <w:rsid w:val="00824B38"/>
    <w:rsid w:val="0082734E"/>
    <w:rsid w:val="00830495"/>
    <w:rsid w:val="008307F0"/>
    <w:rsid w:val="0083100A"/>
    <w:rsid w:val="00834BA0"/>
    <w:rsid w:val="008361D2"/>
    <w:rsid w:val="008367BA"/>
    <w:rsid w:val="008405F6"/>
    <w:rsid w:val="00843158"/>
    <w:rsid w:val="0084392E"/>
    <w:rsid w:val="00844150"/>
    <w:rsid w:val="00845AAB"/>
    <w:rsid w:val="008465D8"/>
    <w:rsid w:val="00850843"/>
    <w:rsid w:val="00850DB4"/>
    <w:rsid w:val="0085123B"/>
    <w:rsid w:val="0085420D"/>
    <w:rsid w:val="008544F7"/>
    <w:rsid w:val="00861369"/>
    <w:rsid w:val="00862316"/>
    <w:rsid w:val="00864139"/>
    <w:rsid w:val="0087223D"/>
    <w:rsid w:val="00872D0D"/>
    <w:rsid w:val="00873BA9"/>
    <w:rsid w:val="0087504D"/>
    <w:rsid w:val="00875AF7"/>
    <w:rsid w:val="0087739C"/>
    <w:rsid w:val="00882821"/>
    <w:rsid w:val="00882B13"/>
    <w:rsid w:val="00882EF4"/>
    <w:rsid w:val="00884740"/>
    <w:rsid w:val="0088573F"/>
    <w:rsid w:val="00890360"/>
    <w:rsid w:val="008924CD"/>
    <w:rsid w:val="008928B2"/>
    <w:rsid w:val="00894756"/>
    <w:rsid w:val="0089510E"/>
    <w:rsid w:val="0089610E"/>
    <w:rsid w:val="00896FBE"/>
    <w:rsid w:val="008A0A03"/>
    <w:rsid w:val="008A219F"/>
    <w:rsid w:val="008A2375"/>
    <w:rsid w:val="008A44A3"/>
    <w:rsid w:val="008A5810"/>
    <w:rsid w:val="008A7F39"/>
    <w:rsid w:val="008B022F"/>
    <w:rsid w:val="008B0909"/>
    <w:rsid w:val="008B1CE5"/>
    <w:rsid w:val="008B1DDD"/>
    <w:rsid w:val="008B3362"/>
    <w:rsid w:val="008B4716"/>
    <w:rsid w:val="008B4EAA"/>
    <w:rsid w:val="008B54E5"/>
    <w:rsid w:val="008B5A1A"/>
    <w:rsid w:val="008B5A99"/>
    <w:rsid w:val="008C2293"/>
    <w:rsid w:val="008C40B2"/>
    <w:rsid w:val="008C45D3"/>
    <w:rsid w:val="008C654D"/>
    <w:rsid w:val="008C713B"/>
    <w:rsid w:val="008D1BE3"/>
    <w:rsid w:val="008D2E35"/>
    <w:rsid w:val="008D3130"/>
    <w:rsid w:val="008D3745"/>
    <w:rsid w:val="008D6785"/>
    <w:rsid w:val="008D6CE9"/>
    <w:rsid w:val="008D7AE9"/>
    <w:rsid w:val="008E0490"/>
    <w:rsid w:val="008E2863"/>
    <w:rsid w:val="008E3877"/>
    <w:rsid w:val="008F0AB1"/>
    <w:rsid w:val="008F204B"/>
    <w:rsid w:val="008F248C"/>
    <w:rsid w:val="008F42AE"/>
    <w:rsid w:val="008F4D8D"/>
    <w:rsid w:val="008F5BB6"/>
    <w:rsid w:val="008F6477"/>
    <w:rsid w:val="008F6F82"/>
    <w:rsid w:val="008F6F91"/>
    <w:rsid w:val="008F6FDC"/>
    <w:rsid w:val="008F7837"/>
    <w:rsid w:val="0090070E"/>
    <w:rsid w:val="00903448"/>
    <w:rsid w:val="0090365D"/>
    <w:rsid w:val="009043DA"/>
    <w:rsid w:val="00904C40"/>
    <w:rsid w:val="00913323"/>
    <w:rsid w:val="00913840"/>
    <w:rsid w:val="009148D3"/>
    <w:rsid w:val="0091585A"/>
    <w:rsid w:val="009173BB"/>
    <w:rsid w:val="009227A5"/>
    <w:rsid w:val="00924364"/>
    <w:rsid w:val="0092684A"/>
    <w:rsid w:val="00926E7A"/>
    <w:rsid w:val="00932A5C"/>
    <w:rsid w:val="0093340C"/>
    <w:rsid w:val="009349F1"/>
    <w:rsid w:val="00935347"/>
    <w:rsid w:val="00935A3D"/>
    <w:rsid w:val="00935DA8"/>
    <w:rsid w:val="009369BE"/>
    <w:rsid w:val="00936D44"/>
    <w:rsid w:val="00940115"/>
    <w:rsid w:val="0094126C"/>
    <w:rsid w:val="009419C5"/>
    <w:rsid w:val="00942C4A"/>
    <w:rsid w:val="00943CCD"/>
    <w:rsid w:val="009444FB"/>
    <w:rsid w:val="009454C9"/>
    <w:rsid w:val="009457EA"/>
    <w:rsid w:val="009468B2"/>
    <w:rsid w:val="00957E6F"/>
    <w:rsid w:val="0096003C"/>
    <w:rsid w:val="00961848"/>
    <w:rsid w:val="00961F24"/>
    <w:rsid w:val="009667DD"/>
    <w:rsid w:val="009669A1"/>
    <w:rsid w:val="009672D4"/>
    <w:rsid w:val="00970B6B"/>
    <w:rsid w:val="00970C5B"/>
    <w:rsid w:val="009714F4"/>
    <w:rsid w:val="00971F56"/>
    <w:rsid w:val="00973284"/>
    <w:rsid w:val="00974078"/>
    <w:rsid w:val="00974EE1"/>
    <w:rsid w:val="00975E1C"/>
    <w:rsid w:val="009767DB"/>
    <w:rsid w:val="009774B0"/>
    <w:rsid w:val="009779F9"/>
    <w:rsid w:val="00980347"/>
    <w:rsid w:val="00980D02"/>
    <w:rsid w:val="0098213F"/>
    <w:rsid w:val="00986991"/>
    <w:rsid w:val="00986B01"/>
    <w:rsid w:val="009912A2"/>
    <w:rsid w:val="009915E4"/>
    <w:rsid w:val="00991EBF"/>
    <w:rsid w:val="00994787"/>
    <w:rsid w:val="00994D07"/>
    <w:rsid w:val="00995EEF"/>
    <w:rsid w:val="00995FBD"/>
    <w:rsid w:val="009A1FC6"/>
    <w:rsid w:val="009A2652"/>
    <w:rsid w:val="009A2E1E"/>
    <w:rsid w:val="009A4953"/>
    <w:rsid w:val="009A4E3D"/>
    <w:rsid w:val="009A665B"/>
    <w:rsid w:val="009A7019"/>
    <w:rsid w:val="009B30C3"/>
    <w:rsid w:val="009B56E0"/>
    <w:rsid w:val="009B5A23"/>
    <w:rsid w:val="009B67AB"/>
    <w:rsid w:val="009C08F6"/>
    <w:rsid w:val="009C386D"/>
    <w:rsid w:val="009C3A10"/>
    <w:rsid w:val="009C4504"/>
    <w:rsid w:val="009D0D24"/>
    <w:rsid w:val="009D3434"/>
    <w:rsid w:val="009D3C06"/>
    <w:rsid w:val="009D3D25"/>
    <w:rsid w:val="009D4253"/>
    <w:rsid w:val="009D452B"/>
    <w:rsid w:val="009D606F"/>
    <w:rsid w:val="009D67D7"/>
    <w:rsid w:val="009E2B08"/>
    <w:rsid w:val="009E4C73"/>
    <w:rsid w:val="009E6637"/>
    <w:rsid w:val="009E70DD"/>
    <w:rsid w:val="009F27E7"/>
    <w:rsid w:val="009F5BCD"/>
    <w:rsid w:val="00A0048C"/>
    <w:rsid w:val="00A004B6"/>
    <w:rsid w:val="00A01EDB"/>
    <w:rsid w:val="00A024C6"/>
    <w:rsid w:val="00A030FF"/>
    <w:rsid w:val="00A0340C"/>
    <w:rsid w:val="00A0358C"/>
    <w:rsid w:val="00A04655"/>
    <w:rsid w:val="00A047B4"/>
    <w:rsid w:val="00A04A4C"/>
    <w:rsid w:val="00A05465"/>
    <w:rsid w:val="00A07233"/>
    <w:rsid w:val="00A1081F"/>
    <w:rsid w:val="00A10949"/>
    <w:rsid w:val="00A109B8"/>
    <w:rsid w:val="00A15EC6"/>
    <w:rsid w:val="00A16EE1"/>
    <w:rsid w:val="00A20A70"/>
    <w:rsid w:val="00A23F5B"/>
    <w:rsid w:val="00A25230"/>
    <w:rsid w:val="00A32629"/>
    <w:rsid w:val="00A329AC"/>
    <w:rsid w:val="00A35600"/>
    <w:rsid w:val="00A365C8"/>
    <w:rsid w:val="00A36904"/>
    <w:rsid w:val="00A37432"/>
    <w:rsid w:val="00A400B2"/>
    <w:rsid w:val="00A400B5"/>
    <w:rsid w:val="00A41231"/>
    <w:rsid w:val="00A42646"/>
    <w:rsid w:val="00A42702"/>
    <w:rsid w:val="00A435E8"/>
    <w:rsid w:val="00A43BCB"/>
    <w:rsid w:val="00A43C74"/>
    <w:rsid w:val="00A43E98"/>
    <w:rsid w:val="00A45502"/>
    <w:rsid w:val="00A455D2"/>
    <w:rsid w:val="00A45705"/>
    <w:rsid w:val="00A460B4"/>
    <w:rsid w:val="00A46231"/>
    <w:rsid w:val="00A5021B"/>
    <w:rsid w:val="00A54EAF"/>
    <w:rsid w:val="00A553D6"/>
    <w:rsid w:val="00A556BF"/>
    <w:rsid w:val="00A5583D"/>
    <w:rsid w:val="00A56DA6"/>
    <w:rsid w:val="00A57C26"/>
    <w:rsid w:val="00A62583"/>
    <w:rsid w:val="00A6310D"/>
    <w:rsid w:val="00A64F99"/>
    <w:rsid w:val="00A704ED"/>
    <w:rsid w:val="00A712E6"/>
    <w:rsid w:val="00A716D1"/>
    <w:rsid w:val="00A717CB"/>
    <w:rsid w:val="00A719C3"/>
    <w:rsid w:val="00A7280E"/>
    <w:rsid w:val="00A74887"/>
    <w:rsid w:val="00A77937"/>
    <w:rsid w:val="00A779B1"/>
    <w:rsid w:val="00A77BED"/>
    <w:rsid w:val="00A800EC"/>
    <w:rsid w:val="00A806BB"/>
    <w:rsid w:val="00A831EA"/>
    <w:rsid w:val="00A8388C"/>
    <w:rsid w:val="00A83C06"/>
    <w:rsid w:val="00A849BA"/>
    <w:rsid w:val="00A8571D"/>
    <w:rsid w:val="00A86358"/>
    <w:rsid w:val="00A92859"/>
    <w:rsid w:val="00A92F2D"/>
    <w:rsid w:val="00A9567F"/>
    <w:rsid w:val="00A95AA3"/>
    <w:rsid w:val="00A95BFD"/>
    <w:rsid w:val="00A96F63"/>
    <w:rsid w:val="00AA0078"/>
    <w:rsid w:val="00AA7F1B"/>
    <w:rsid w:val="00AB0D7E"/>
    <w:rsid w:val="00AB117F"/>
    <w:rsid w:val="00AB13BF"/>
    <w:rsid w:val="00AB5115"/>
    <w:rsid w:val="00AB7A32"/>
    <w:rsid w:val="00AC03FB"/>
    <w:rsid w:val="00AC05A7"/>
    <w:rsid w:val="00AC08C2"/>
    <w:rsid w:val="00AC128A"/>
    <w:rsid w:val="00AC1826"/>
    <w:rsid w:val="00AC1C3C"/>
    <w:rsid w:val="00AC2B93"/>
    <w:rsid w:val="00AC6836"/>
    <w:rsid w:val="00AC6A9B"/>
    <w:rsid w:val="00AD014B"/>
    <w:rsid w:val="00AD03D5"/>
    <w:rsid w:val="00AD0B54"/>
    <w:rsid w:val="00AD0F64"/>
    <w:rsid w:val="00AD3B65"/>
    <w:rsid w:val="00AD3FBD"/>
    <w:rsid w:val="00AD5720"/>
    <w:rsid w:val="00AE19CF"/>
    <w:rsid w:val="00AE20C0"/>
    <w:rsid w:val="00AE47D9"/>
    <w:rsid w:val="00AE533C"/>
    <w:rsid w:val="00AE561C"/>
    <w:rsid w:val="00AE6F27"/>
    <w:rsid w:val="00AE72C4"/>
    <w:rsid w:val="00AE7816"/>
    <w:rsid w:val="00AF3343"/>
    <w:rsid w:val="00AF4296"/>
    <w:rsid w:val="00AF43A6"/>
    <w:rsid w:val="00AF553C"/>
    <w:rsid w:val="00AF65BA"/>
    <w:rsid w:val="00B00F96"/>
    <w:rsid w:val="00B05DBA"/>
    <w:rsid w:val="00B10AAC"/>
    <w:rsid w:val="00B11039"/>
    <w:rsid w:val="00B1135A"/>
    <w:rsid w:val="00B12AC7"/>
    <w:rsid w:val="00B14237"/>
    <w:rsid w:val="00B1744E"/>
    <w:rsid w:val="00B21290"/>
    <w:rsid w:val="00B212FB"/>
    <w:rsid w:val="00B2271E"/>
    <w:rsid w:val="00B23D1E"/>
    <w:rsid w:val="00B241EA"/>
    <w:rsid w:val="00B24854"/>
    <w:rsid w:val="00B266CC"/>
    <w:rsid w:val="00B26DFF"/>
    <w:rsid w:val="00B27395"/>
    <w:rsid w:val="00B308C2"/>
    <w:rsid w:val="00B33182"/>
    <w:rsid w:val="00B33370"/>
    <w:rsid w:val="00B33CC6"/>
    <w:rsid w:val="00B342B6"/>
    <w:rsid w:val="00B352D0"/>
    <w:rsid w:val="00B35862"/>
    <w:rsid w:val="00B35B0B"/>
    <w:rsid w:val="00B3640B"/>
    <w:rsid w:val="00B40D37"/>
    <w:rsid w:val="00B40FDF"/>
    <w:rsid w:val="00B41D64"/>
    <w:rsid w:val="00B4276E"/>
    <w:rsid w:val="00B43C5D"/>
    <w:rsid w:val="00B453CB"/>
    <w:rsid w:val="00B466C2"/>
    <w:rsid w:val="00B508CB"/>
    <w:rsid w:val="00B51A51"/>
    <w:rsid w:val="00B538A6"/>
    <w:rsid w:val="00B56278"/>
    <w:rsid w:val="00B56727"/>
    <w:rsid w:val="00B60B72"/>
    <w:rsid w:val="00B6177F"/>
    <w:rsid w:val="00B617AB"/>
    <w:rsid w:val="00B62138"/>
    <w:rsid w:val="00B62ACC"/>
    <w:rsid w:val="00B62C82"/>
    <w:rsid w:val="00B63973"/>
    <w:rsid w:val="00B63A87"/>
    <w:rsid w:val="00B6794C"/>
    <w:rsid w:val="00B7012B"/>
    <w:rsid w:val="00B7017A"/>
    <w:rsid w:val="00B710AF"/>
    <w:rsid w:val="00B728E7"/>
    <w:rsid w:val="00B7307F"/>
    <w:rsid w:val="00B73B8E"/>
    <w:rsid w:val="00B7409A"/>
    <w:rsid w:val="00B74507"/>
    <w:rsid w:val="00B761C3"/>
    <w:rsid w:val="00B765FF"/>
    <w:rsid w:val="00B77F9B"/>
    <w:rsid w:val="00B80A8D"/>
    <w:rsid w:val="00B8322C"/>
    <w:rsid w:val="00B90814"/>
    <w:rsid w:val="00B90F4D"/>
    <w:rsid w:val="00B93602"/>
    <w:rsid w:val="00B944E5"/>
    <w:rsid w:val="00B95143"/>
    <w:rsid w:val="00B96A0C"/>
    <w:rsid w:val="00B970D4"/>
    <w:rsid w:val="00B97980"/>
    <w:rsid w:val="00BA04C2"/>
    <w:rsid w:val="00BA1B27"/>
    <w:rsid w:val="00BA2238"/>
    <w:rsid w:val="00BA2B56"/>
    <w:rsid w:val="00BA2E16"/>
    <w:rsid w:val="00BA2E73"/>
    <w:rsid w:val="00BA412B"/>
    <w:rsid w:val="00BA52DD"/>
    <w:rsid w:val="00BA6E85"/>
    <w:rsid w:val="00BA739E"/>
    <w:rsid w:val="00BA750B"/>
    <w:rsid w:val="00BA7D96"/>
    <w:rsid w:val="00BB0033"/>
    <w:rsid w:val="00BB0F32"/>
    <w:rsid w:val="00BB1648"/>
    <w:rsid w:val="00BB24BC"/>
    <w:rsid w:val="00BB3F52"/>
    <w:rsid w:val="00BB458D"/>
    <w:rsid w:val="00BB4CCF"/>
    <w:rsid w:val="00BC08DE"/>
    <w:rsid w:val="00BC1000"/>
    <w:rsid w:val="00BC15F7"/>
    <w:rsid w:val="00BC2269"/>
    <w:rsid w:val="00BC3311"/>
    <w:rsid w:val="00BC41C5"/>
    <w:rsid w:val="00BC46FC"/>
    <w:rsid w:val="00BC7031"/>
    <w:rsid w:val="00BD0DF3"/>
    <w:rsid w:val="00BD1862"/>
    <w:rsid w:val="00BD2D2F"/>
    <w:rsid w:val="00BD5547"/>
    <w:rsid w:val="00BD720A"/>
    <w:rsid w:val="00BE01C1"/>
    <w:rsid w:val="00BE022D"/>
    <w:rsid w:val="00BE1C13"/>
    <w:rsid w:val="00BE1CF9"/>
    <w:rsid w:val="00BE1E76"/>
    <w:rsid w:val="00BE3226"/>
    <w:rsid w:val="00BE444F"/>
    <w:rsid w:val="00BE66E8"/>
    <w:rsid w:val="00BE7916"/>
    <w:rsid w:val="00BE7EC7"/>
    <w:rsid w:val="00BF14BC"/>
    <w:rsid w:val="00BF39AE"/>
    <w:rsid w:val="00BF4329"/>
    <w:rsid w:val="00BF49E3"/>
    <w:rsid w:val="00C00FD7"/>
    <w:rsid w:val="00C02E1E"/>
    <w:rsid w:val="00C03AC8"/>
    <w:rsid w:val="00C03D6F"/>
    <w:rsid w:val="00C0529C"/>
    <w:rsid w:val="00C05B33"/>
    <w:rsid w:val="00C06A6C"/>
    <w:rsid w:val="00C0759C"/>
    <w:rsid w:val="00C11AA3"/>
    <w:rsid w:val="00C12FE2"/>
    <w:rsid w:val="00C133A3"/>
    <w:rsid w:val="00C13593"/>
    <w:rsid w:val="00C13FBD"/>
    <w:rsid w:val="00C14F65"/>
    <w:rsid w:val="00C15948"/>
    <w:rsid w:val="00C17CCF"/>
    <w:rsid w:val="00C219D4"/>
    <w:rsid w:val="00C24409"/>
    <w:rsid w:val="00C258B3"/>
    <w:rsid w:val="00C25BC8"/>
    <w:rsid w:val="00C262EE"/>
    <w:rsid w:val="00C2672E"/>
    <w:rsid w:val="00C306A2"/>
    <w:rsid w:val="00C352FA"/>
    <w:rsid w:val="00C36598"/>
    <w:rsid w:val="00C36886"/>
    <w:rsid w:val="00C36ACD"/>
    <w:rsid w:val="00C41248"/>
    <w:rsid w:val="00C41F19"/>
    <w:rsid w:val="00C4263C"/>
    <w:rsid w:val="00C466C5"/>
    <w:rsid w:val="00C4694F"/>
    <w:rsid w:val="00C47601"/>
    <w:rsid w:val="00C47BE0"/>
    <w:rsid w:val="00C50848"/>
    <w:rsid w:val="00C52A75"/>
    <w:rsid w:val="00C55060"/>
    <w:rsid w:val="00C55736"/>
    <w:rsid w:val="00C55A37"/>
    <w:rsid w:val="00C57677"/>
    <w:rsid w:val="00C57F0A"/>
    <w:rsid w:val="00C6140A"/>
    <w:rsid w:val="00C6238D"/>
    <w:rsid w:val="00C62A40"/>
    <w:rsid w:val="00C63EEB"/>
    <w:rsid w:val="00C648E9"/>
    <w:rsid w:val="00C64A3B"/>
    <w:rsid w:val="00C65EB0"/>
    <w:rsid w:val="00C7055B"/>
    <w:rsid w:val="00C71A4E"/>
    <w:rsid w:val="00C720E7"/>
    <w:rsid w:val="00C7250C"/>
    <w:rsid w:val="00C72938"/>
    <w:rsid w:val="00C739C6"/>
    <w:rsid w:val="00C73A90"/>
    <w:rsid w:val="00C75400"/>
    <w:rsid w:val="00C760EB"/>
    <w:rsid w:val="00C76D7E"/>
    <w:rsid w:val="00C77602"/>
    <w:rsid w:val="00C77F5E"/>
    <w:rsid w:val="00C83142"/>
    <w:rsid w:val="00C83AA7"/>
    <w:rsid w:val="00C853F4"/>
    <w:rsid w:val="00C870FB"/>
    <w:rsid w:val="00C878CC"/>
    <w:rsid w:val="00C8791A"/>
    <w:rsid w:val="00C91107"/>
    <w:rsid w:val="00C92C8B"/>
    <w:rsid w:val="00C9494A"/>
    <w:rsid w:val="00C950D6"/>
    <w:rsid w:val="00C954B5"/>
    <w:rsid w:val="00C95E03"/>
    <w:rsid w:val="00C95FD8"/>
    <w:rsid w:val="00CB0991"/>
    <w:rsid w:val="00CB1104"/>
    <w:rsid w:val="00CB2AF3"/>
    <w:rsid w:val="00CB3B61"/>
    <w:rsid w:val="00CB3BD9"/>
    <w:rsid w:val="00CB4970"/>
    <w:rsid w:val="00CB5359"/>
    <w:rsid w:val="00CB55CF"/>
    <w:rsid w:val="00CC0765"/>
    <w:rsid w:val="00CC3827"/>
    <w:rsid w:val="00CD16B0"/>
    <w:rsid w:val="00CD5C4C"/>
    <w:rsid w:val="00CD6E80"/>
    <w:rsid w:val="00CE1489"/>
    <w:rsid w:val="00CE1A05"/>
    <w:rsid w:val="00CE264E"/>
    <w:rsid w:val="00CE3CDB"/>
    <w:rsid w:val="00CE6F5E"/>
    <w:rsid w:val="00CF3230"/>
    <w:rsid w:val="00CF67F2"/>
    <w:rsid w:val="00CF70D4"/>
    <w:rsid w:val="00CF7206"/>
    <w:rsid w:val="00D003D1"/>
    <w:rsid w:val="00D00931"/>
    <w:rsid w:val="00D025A7"/>
    <w:rsid w:val="00D033C2"/>
    <w:rsid w:val="00D03CC8"/>
    <w:rsid w:val="00D04BA7"/>
    <w:rsid w:val="00D1223E"/>
    <w:rsid w:val="00D16478"/>
    <w:rsid w:val="00D17327"/>
    <w:rsid w:val="00D20AAB"/>
    <w:rsid w:val="00D21CC3"/>
    <w:rsid w:val="00D223C2"/>
    <w:rsid w:val="00D224C7"/>
    <w:rsid w:val="00D225E4"/>
    <w:rsid w:val="00D24BD5"/>
    <w:rsid w:val="00D25C6D"/>
    <w:rsid w:val="00D25DEB"/>
    <w:rsid w:val="00D27139"/>
    <w:rsid w:val="00D276B9"/>
    <w:rsid w:val="00D31A3B"/>
    <w:rsid w:val="00D3271C"/>
    <w:rsid w:val="00D35A6F"/>
    <w:rsid w:val="00D36262"/>
    <w:rsid w:val="00D36336"/>
    <w:rsid w:val="00D40D1C"/>
    <w:rsid w:val="00D410EA"/>
    <w:rsid w:val="00D41E7F"/>
    <w:rsid w:val="00D421EC"/>
    <w:rsid w:val="00D4343C"/>
    <w:rsid w:val="00D43FC6"/>
    <w:rsid w:val="00D45F62"/>
    <w:rsid w:val="00D476CF"/>
    <w:rsid w:val="00D501E3"/>
    <w:rsid w:val="00D517EC"/>
    <w:rsid w:val="00D51C6C"/>
    <w:rsid w:val="00D52294"/>
    <w:rsid w:val="00D53799"/>
    <w:rsid w:val="00D539A6"/>
    <w:rsid w:val="00D558AE"/>
    <w:rsid w:val="00D56516"/>
    <w:rsid w:val="00D60170"/>
    <w:rsid w:val="00D623DD"/>
    <w:rsid w:val="00D628A4"/>
    <w:rsid w:val="00D65240"/>
    <w:rsid w:val="00D7159A"/>
    <w:rsid w:val="00D75C24"/>
    <w:rsid w:val="00D75F0D"/>
    <w:rsid w:val="00D81679"/>
    <w:rsid w:val="00D83167"/>
    <w:rsid w:val="00D877CF"/>
    <w:rsid w:val="00D90361"/>
    <w:rsid w:val="00D92977"/>
    <w:rsid w:val="00D93EEE"/>
    <w:rsid w:val="00DA04DB"/>
    <w:rsid w:val="00DA1305"/>
    <w:rsid w:val="00DA4FC6"/>
    <w:rsid w:val="00DA559F"/>
    <w:rsid w:val="00DA67DC"/>
    <w:rsid w:val="00DA71CD"/>
    <w:rsid w:val="00DA77A7"/>
    <w:rsid w:val="00DA7EBB"/>
    <w:rsid w:val="00DB0304"/>
    <w:rsid w:val="00DB103E"/>
    <w:rsid w:val="00DB2A04"/>
    <w:rsid w:val="00DB4AE2"/>
    <w:rsid w:val="00DB6052"/>
    <w:rsid w:val="00DB6253"/>
    <w:rsid w:val="00DC06A8"/>
    <w:rsid w:val="00DC314D"/>
    <w:rsid w:val="00DC3205"/>
    <w:rsid w:val="00DC47AF"/>
    <w:rsid w:val="00DC6849"/>
    <w:rsid w:val="00DC7D27"/>
    <w:rsid w:val="00DD06F8"/>
    <w:rsid w:val="00DD072A"/>
    <w:rsid w:val="00DD1168"/>
    <w:rsid w:val="00DD1933"/>
    <w:rsid w:val="00DD4390"/>
    <w:rsid w:val="00DD4BDF"/>
    <w:rsid w:val="00DD5C00"/>
    <w:rsid w:val="00DD6AF7"/>
    <w:rsid w:val="00DD6DC4"/>
    <w:rsid w:val="00DE0470"/>
    <w:rsid w:val="00DE5E01"/>
    <w:rsid w:val="00DE6D95"/>
    <w:rsid w:val="00DE7494"/>
    <w:rsid w:val="00DF0FFD"/>
    <w:rsid w:val="00DF4388"/>
    <w:rsid w:val="00DF438A"/>
    <w:rsid w:val="00DF44D9"/>
    <w:rsid w:val="00DF4FC1"/>
    <w:rsid w:val="00E01B17"/>
    <w:rsid w:val="00E02D64"/>
    <w:rsid w:val="00E03866"/>
    <w:rsid w:val="00E05862"/>
    <w:rsid w:val="00E05CE1"/>
    <w:rsid w:val="00E07372"/>
    <w:rsid w:val="00E0791F"/>
    <w:rsid w:val="00E11E1D"/>
    <w:rsid w:val="00E12AD3"/>
    <w:rsid w:val="00E1418E"/>
    <w:rsid w:val="00E221D1"/>
    <w:rsid w:val="00E22344"/>
    <w:rsid w:val="00E239EA"/>
    <w:rsid w:val="00E23AEF"/>
    <w:rsid w:val="00E2516B"/>
    <w:rsid w:val="00E2535F"/>
    <w:rsid w:val="00E2585E"/>
    <w:rsid w:val="00E261A4"/>
    <w:rsid w:val="00E27495"/>
    <w:rsid w:val="00E302E4"/>
    <w:rsid w:val="00E3268A"/>
    <w:rsid w:val="00E3362B"/>
    <w:rsid w:val="00E34058"/>
    <w:rsid w:val="00E347E0"/>
    <w:rsid w:val="00E3554F"/>
    <w:rsid w:val="00E36250"/>
    <w:rsid w:val="00E3694A"/>
    <w:rsid w:val="00E37206"/>
    <w:rsid w:val="00E41F9F"/>
    <w:rsid w:val="00E43C3B"/>
    <w:rsid w:val="00E444AF"/>
    <w:rsid w:val="00E44787"/>
    <w:rsid w:val="00E44938"/>
    <w:rsid w:val="00E44E74"/>
    <w:rsid w:val="00E44F60"/>
    <w:rsid w:val="00E4516A"/>
    <w:rsid w:val="00E45407"/>
    <w:rsid w:val="00E4546A"/>
    <w:rsid w:val="00E45AE6"/>
    <w:rsid w:val="00E46E35"/>
    <w:rsid w:val="00E476ED"/>
    <w:rsid w:val="00E5059B"/>
    <w:rsid w:val="00E549CF"/>
    <w:rsid w:val="00E55405"/>
    <w:rsid w:val="00E55E04"/>
    <w:rsid w:val="00E57C03"/>
    <w:rsid w:val="00E60A05"/>
    <w:rsid w:val="00E60CC3"/>
    <w:rsid w:val="00E619AE"/>
    <w:rsid w:val="00E63AE6"/>
    <w:rsid w:val="00E63F8D"/>
    <w:rsid w:val="00E65F55"/>
    <w:rsid w:val="00E67342"/>
    <w:rsid w:val="00E70FD6"/>
    <w:rsid w:val="00E71781"/>
    <w:rsid w:val="00E71DFE"/>
    <w:rsid w:val="00E74CA5"/>
    <w:rsid w:val="00E76555"/>
    <w:rsid w:val="00E80D1C"/>
    <w:rsid w:val="00E82BD1"/>
    <w:rsid w:val="00E83484"/>
    <w:rsid w:val="00E839AA"/>
    <w:rsid w:val="00E86DFE"/>
    <w:rsid w:val="00E9031F"/>
    <w:rsid w:val="00EA0FEB"/>
    <w:rsid w:val="00EA1C5F"/>
    <w:rsid w:val="00EA28E0"/>
    <w:rsid w:val="00EA2F77"/>
    <w:rsid w:val="00EA30E1"/>
    <w:rsid w:val="00EA359D"/>
    <w:rsid w:val="00EA524A"/>
    <w:rsid w:val="00EA688E"/>
    <w:rsid w:val="00EB0259"/>
    <w:rsid w:val="00EB0C5C"/>
    <w:rsid w:val="00EB15BF"/>
    <w:rsid w:val="00EB3F51"/>
    <w:rsid w:val="00EB67CF"/>
    <w:rsid w:val="00EB67E4"/>
    <w:rsid w:val="00EC067D"/>
    <w:rsid w:val="00EC0EF1"/>
    <w:rsid w:val="00EC1E9D"/>
    <w:rsid w:val="00EC2305"/>
    <w:rsid w:val="00EC25C5"/>
    <w:rsid w:val="00EC35E4"/>
    <w:rsid w:val="00EC364A"/>
    <w:rsid w:val="00EC3E0E"/>
    <w:rsid w:val="00EC4D7D"/>
    <w:rsid w:val="00EC5466"/>
    <w:rsid w:val="00ED1BC7"/>
    <w:rsid w:val="00ED1D4B"/>
    <w:rsid w:val="00ED1EA4"/>
    <w:rsid w:val="00ED22AD"/>
    <w:rsid w:val="00ED3082"/>
    <w:rsid w:val="00ED3F12"/>
    <w:rsid w:val="00ED47DC"/>
    <w:rsid w:val="00ED4960"/>
    <w:rsid w:val="00ED78CB"/>
    <w:rsid w:val="00EE139D"/>
    <w:rsid w:val="00EE1F18"/>
    <w:rsid w:val="00EE2279"/>
    <w:rsid w:val="00EE264D"/>
    <w:rsid w:val="00EE2F9F"/>
    <w:rsid w:val="00EE44FB"/>
    <w:rsid w:val="00EE57FF"/>
    <w:rsid w:val="00EE6158"/>
    <w:rsid w:val="00EE6CE4"/>
    <w:rsid w:val="00EF124D"/>
    <w:rsid w:val="00EF129D"/>
    <w:rsid w:val="00EF1EC2"/>
    <w:rsid w:val="00EF22F0"/>
    <w:rsid w:val="00EF346F"/>
    <w:rsid w:val="00EF4642"/>
    <w:rsid w:val="00EF64CA"/>
    <w:rsid w:val="00F00437"/>
    <w:rsid w:val="00F00AD5"/>
    <w:rsid w:val="00F00C32"/>
    <w:rsid w:val="00F02D4D"/>
    <w:rsid w:val="00F03CBD"/>
    <w:rsid w:val="00F04BA6"/>
    <w:rsid w:val="00F06630"/>
    <w:rsid w:val="00F0684B"/>
    <w:rsid w:val="00F10294"/>
    <w:rsid w:val="00F11AA2"/>
    <w:rsid w:val="00F12166"/>
    <w:rsid w:val="00F12948"/>
    <w:rsid w:val="00F12D18"/>
    <w:rsid w:val="00F135E1"/>
    <w:rsid w:val="00F14864"/>
    <w:rsid w:val="00F15DF8"/>
    <w:rsid w:val="00F20135"/>
    <w:rsid w:val="00F203B6"/>
    <w:rsid w:val="00F20785"/>
    <w:rsid w:val="00F20B20"/>
    <w:rsid w:val="00F22C55"/>
    <w:rsid w:val="00F23C14"/>
    <w:rsid w:val="00F27B4F"/>
    <w:rsid w:val="00F301EC"/>
    <w:rsid w:val="00F32AFF"/>
    <w:rsid w:val="00F33815"/>
    <w:rsid w:val="00F33AB7"/>
    <w:rsid w:val="00F34269"/>
    <w:rsid w:val="00F342B7"/>
    <w:rsid w:val="00F35A34"/>
    <w:rsid w:val="00F36668"/>
    <w:rsid w:val="00F36869"/>
    <w:rsid w:val="00F36E77"/>
    <w:rsid w:val="00F41D01"/>
    <w:rsid w:val="00F4295E"/>
    <w:rsid w:val="00F4464B"/>
    <w:rsid w:val="00F44D71"/>
    <w:rsid w:val="00F45BF2"/>
    <w:rsid w:val="00F46C2F"/>
    <w:rsid w:val="00F5063E"/>
    <w:rsid w:val="00F51539"/>
    <w:rsid w:val="00F55429"/>
    <w:rsid w:val="00F62DC2"/>
    <w:rsid w:val="00F62E2B"/>
    <w:rsid w:val="00F64095"/>
    <w:rsid w:val="00F6591B"/>
    <w:rsid w:val="00F711E6"/>
    <w:rsid w:val="00F71565"/>
    <w:rsid w:val="00F724FC"/>
    <w:rsid w:val="00F7287F"/>
    <w:rsid w:val="00F72BEE"/>
    <w:rsid w:val="00F73212"/>
    <w:rsid w:val="00F740A5"/>
    <w:rsid w:val="00F74879"/>
    <w:rsid w:val="00F7516F"/>
    <w:rsid w:val="00F75986"/>
    <w:rsid w:val="00F77238"/>
    <w:rsid w:val="00F84152"/>
    <w:rsid w:val="00F84857"/>
    <w:rsid w:val="00F848BD"/>
    <w:rsid w:val="00F85278"/>
    <w:rsid w:val="00F864F5"/>
    <w:rsid w:val="00F86ABC"/>
    <w:rsid w:val="00F92650"/>
    <w:rsid w:val="00F94148"/>
    <w:rsid w:val="00F94951"/>
    <w:rsid w:val="00F95355"/>
    <w:rsid w:val="00FA1A3C"/>
    <w:rsid w:val="00FA1F52"/>
    <w:rsid w:val="00FA21C3"/>
    <w:rsid w:val="00FA23AB"/>
    <w:rsid w:val="00FA252C"/>
    <w:rsid w:val="00FA4557"/>
    <w:rsid w:val="00FA5050"/>
    <w:rsid w:val="00FA772C"/>
    <w:rsid w:val="00FB1527"/>
    <w:rsid w:val="00FB1B28"/>
    <w:rsid w:val="00FB33C0"/>
    <w:rsid w:val="00FB4174"/>
    <w:rsid w:val="00FB5BEE"/>
    <w:rsid w:val="00FB6661"/>
    <w:rsid w:val="00FB68D5"/>
    <w:rsid w:val="00FB78DB"/>
    <w:rsid w:val="00FC01AB"/>
    <w:rsid w:val="00FC0983"/>
    <w:rsid w:val="00FC6063"/>
    <w:rsid w:val="00FC671B"/>
    <w:rsid w:val="00FC724E"/>
    <w:rsid w:val="00FC756C"/>
    <w:rsid w:val="00FD2B7F"/>
    <w:rsid w:val="00FD3740"/>
    <w:rsid w:val="00FD3D36"/>
    <w:rsid w:val="00FD5FF1"/>
    <w:rsid w:val="00FD6E99"/>
    <w:rsid w:val="00FD7B6F"/>
    <w:rsid w:val="00FE1D67"/>
    <w:rsid w:val="00FE2481"/>
    <w:rsid w:val="00FE25F5"/>
    <w:rsid w:val="00FE266C"/>
    <w:rsid w:val="00FE31B0"/>
    <w:rsid w:val="00FE4061"/>
    <w:rsid w:val="00FE4F59"/>
    <w:rsid w:val="00FE5C68"/>
    <w:rsid w:val="00FE5C98"/>
    <w:rsid w:val="00FE6AA9"/>
    <w:rsid w:val="00FF01D0"/>
    <w:rsid w:val="00FF0B73"/>
    <w:rsid w:val="00FF281F"/>
    <w:rsid w:val="00FF33A8"/>
    <w:rsid w:val="00FF3FB8"/>
    <w:rsid w:val="00FF4712"/>
    <w:rsid w:val="00FF571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7ACD36B-125F-4D23-B8D9-40DA8000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71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F471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F471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F471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FF471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471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F4712"/>
    <w:rPr>
      <w:rFonts w:ascii="Cambria" w:eastAsia="Times New Roman" w:hAnsi="Cambria" w:cs="Times New Roman"/>
      <w:b/>
      <w:bCs/>
      <w:color w:val="4F81BD"/>
      <w:sz w:val="26"/>
      <w:szCs w:val="26"/>
    </w:rPr>
  </w:style>
  <w:style w:type="character" w:customStyle="1" w:styleId="Heading3Char">
    <w:name w:val="Heading 3 Char"/>
    <w:link w:val="Heading3"/>
    <w:uiPriority w:val="9"/>
    <w:rsid w:val="00FF4712"/>
    <w:rPr>
      <w:rFonts w:ascii="Cambria" w:eastAsia="Times New Roman" w:hAnsi="Cambria" w:cs="Times New Roman"/>
      <w:b/>
      <w:bCs/>
      <w:color w:val="4F81BD"/>
    </w:rPr>
  </w:style>
  <w:style w:type="character" w:customStyle="1" w:styleId="Heading4Char">
    <w:name w:val="Heading 4 Char"/>
    <w:link w:val="Heading4"/>
    <w:uiPriority w:val="9"/>
    <w:rsid w:val="00FF4712"/>
    <w:rPr>
      <w:rFonts w:ascii="Cambria" w:eastAsia="Times New Roman" w:hAnsi="Cambria" w:cs="Times New Roman"/>
      <w:b/>
      <w:bCs/>
      <w:i/>
      <w:iCs/>
      <w:color w:val="4F81BD"/>
    </w:rPr>
  </w:style>
  <w:style w:type="table" w:styleId="TableGrid">
    <w:name w:val="Table Grid"/>
    <w:basedOn w:val="TableNormal"/>
    <w:uiPriority w:val="59"/>
    <w:rsid w:val="00FF47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F4712"/>
    <w:pPr>
      <w:ind w:left="720"/>
      <w:contextualSpacing/>
    </w:pPr>
  </w:style>
  <w:style w:type="paragraph" w:styleId="Header">
    <w:name w:val="header"/>
    <w:basedOn w:val="Normal"/>
    <w:link w:val="HeaderChar"/>
    <w:uiPriority w:val="99"/>
    <w:unhideWhenUsed/>
    <w:rsid w:val="00FF4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12"/>
  </w:style>
  <w:style w:type="character" w:customStyle="1" w:styleId="FooterChar">
    <w:name w:val="Footer Char"/>
    <w:basedOn w:val="DefaultParagraphFont"/>
    <w:link w:val="Footer"/>
    <w:uiPriority w:val="99"/>
    <w:rsid w:val="00FF4712"/>
  </w:style>
  <w:style w:type="paragraph" w:styleId="Footer">
    <w:name w:val="footer"/>
    <w:basedOn w:val="Normal"/>
    <w:link w:val="FooterChar"/>
    <w:uiPriority w:val="99"/>
    <w:unhideWhenUsed/>
    <w:rsid w:val="00FF4712"/>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rsid w:val="00FF4712"/>
    <w:pPr>
      <w:spacing w:line="240" w:lineRule="auto"/>
    </w:pPr>
    <w:rPr>
      <w:sz w:val="20"/>
      <w:szCs w:val="20"/>
    </w:rPr>
  </w:style>
  <w:style w:type="character" w:customStyle="1" w:styleId="CommentTextChar">
    <w:name w:val="Comment Text Char"/>
    <w:link w:val="CommentText"/>
    <w:uiPriority w:val="99"/>
    <w:semiHidden/>
    <w:rsid w:val="00FF4712"/>
    <w:rPr>
      <w:sz w:val="20"/>
      <w:szCs w:val="20"/>
    </w:rPr>
  </w:style>
  <w:style w:type="character" w:customStyle="1" w:styleId="CommentSubjectChar">
    <w:name w:val="Comment Subject Char"/>
    <w:link w:val="CommentSubject"/>
    <w:uiPriority w:val="99"/>
    <w:semiHidden/>
    <w:rsid w:val="00FF4712"/>
    <w:rPr>
      <w:b/>
      <w:bCs/>
      <w:sz w:val="20"/>
      <w:szCs w:val="20"/>
    </w:rPr>
  </w:style>
  <w:style w:type="paragraph" w:styleId="CommentSubject">
    <w:name w:val="annotation subject"/>
    <w:basedOn w:val="CommentText"/>
    <w:next w:val="CommentText"/>
    <w:link w:val="CommentSubjectChar"/>
    <w:uiPriority w:val="99"/>
    <w:semiHidden/>
    <w:unhideWhenUsed/>
    <w:rsid w:val="00FF4712"/>
    <w:rPr>
      <w:b/>
      <w:bCs/>
    </w:rPr>
  </w:style>
  <w:style w:type="character" w:customStyle="1" w:styleId="BalloonTextChar">
    <w:name w:val="Balloon Text Char"/>
    <w:link w:val="BalloonText"/>
    <w:uiPriority w:val="99"/>
    <w:semiHidden/>
    <w:rsid w:val="00FF4712"/>
    <w:rPr>
      <w:rFonts w:ascii="Tahoma" w:hAnsi="Tahoma" w:cs="Tahoma"/>
      <w:sz w:val="16"/>
      <w:szCs w:val="16"/>
    </w:rPr>
  </w:style>
  <w:style w:type="paragraph" w:styleId="BalloonText">
    <w:name w:val="Balloon Text"/>
    <w:basedOn w:val="Normal"/>
    <w:link w:val="BalloonTextChar"/>
    <w:uiPriority w:val="99"/>
    <w:semiHidden/>
    <w:unhideWhenUsed/>
    <w:rsid w:val="00FF4712"/>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FF471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F4712"/>
    <w:rPr>
      <w:rFonts w:ascii="Cambria" w:eastAsia="Times New Roman" w:hAnsi="Cambria" w:cs="Times New Roman"/>
      <w:color w:val="17365D"/>
      <w:spacing w:val="5"/>
      <w:kern w:val="28"/>
      <w:sz w:val="52"/>
      <w:szCs w:val="52"/>
    </w:rPr>
  </w:style>
  <w:style w:type="paragraph" w:styleId="NoSpacing">
    <w:name w:val="No Spacing"/>
    <w:uiPriority w:val="1"/>
    <w:qFormat/>
    <w:rsid w:val="00FF4712"/>
    <w:rPr>
      <w:sz w:val="22"/>
      <w:szCs w:val="22"/>
      <w:lang w:val="en-US" w:eastAsia="en-US"/>
    </w:rPr>
  </w:style>
  <w:style w:type="character" w:styleId="Hyperlink">
    <w:name w:val="Hyperlink"/>
    <w:uiPriority w:val="99"/>
    <w:unhideWhenUsed/>
    <w:rsid w:val="00FF4712"/>
    <w:rPr>
      <w:color w:val="0000FF"/>
      <w:u w:val="single"/>
    </w:rPr>
  </w:style>
  <w:style w:type="paragraph" w:styleId="Subtitle">
    <w:name w:val="Subtitle"/>
    <w:basedOn w:val="Normal"/>
    <w:next w:val="Normal"/>
    <w:link w:val="SubtitleChar"/>
    <w:uiPriority w:val="11"/>
    <w:qFormat/>
    <w:rsid w:val="00FF4712"/>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FF4712"/>
    <w:rPr>
      <w:rFonts w:ascii="Cambria" w:eastAsia="Times New Roman" w:hAnsi="Cambria" w:cs="Times New Roman"/>
      <w:i/>
      <w:iCs/>
      <w:color w:val="4F81BD"/>
      <w:spacing w:val="15"/>
      <w:sz w:val="24"/>
      <w:szCs w:val="24"/>
    </w:rPr>
  </w:style>
  <w:style w:type="character" w:styleId="Emphasis">
    <w:name w:val="Emphasis"/>
    <w:uiPriority w:val="20"/>
    <w:qFormat/>
    <w:rsid w:val="00FF4712"/>
    <w:rPr>
      <w:i/>
      <w:iCs/>
    </w:rPr>
  </w:style>
  <w:style w:type="character" w:styleId="Strong">
    <w:name w:val="Strong"/>
    <w:uiPriority w:val="22"/>
    <w:qFormat/>
    <w:rsid w:val="00FF4712"/>
    <w:rPr>
      <w:b/>
      <w:bCs/>
    </w:rPr>
  </w:style>
  <w:style w:type="character" w:styleId="SubtleEmphasis">
    <w:name w:val="Subtle Emphasis"/>
    <w:uiPriority w:val="19"/>
    <w:qFormat/>
    <w:rsid w:val="00FF4712"/>
    <w:rPr>
      <w:i/>
      <w:iCs/>
      <w:color w:val="808080"/>
    </w:rPr>
  </w:style>
  <w:style w:type="character" w:styleId="IntenseEmphasis">
    <w:name w:val="Intense Emphasis"/>
    <w:uiPriority w:val="21"/>
    <w:qFormat/>
    <w:rsid w:val="00FF4712"/>
    <w:rPr>
      <w:b/>
      <w:bCs/>
      <w:i/>
      <w:iCs/>
      <w:color w:val="4F81BD"/>
    </w:rPr>
  </w:style>
  <w:style w:type="paragraph" w:styleId="Quote">
    <w:name w:val="Quote"/>
    <w:basedOn w:val="Normal"/>
    <w:next w:val="Normal"/>
    <w:link w:val="QuoteChar"/>
    <w:uiPriority w:val="29"/>
    <w:qFormat/>
    <w:rsid w:val="00FF4712"/>
    <w:rPr>
      <w:i/>
      <w:iCs/>
      <w:color w:val="000000"/>
    </w:rPr>
  </w:style>
  <w:style w:type="character" w:customStyle="1" w:styleId="QuoteChar">
    <w:name w:val="Quote Char"/>
    <w:link w:val="Quote"/>
    <w:uiPriority w:val="29"/>
    <w:rsid w:val="00FF4712"/>
    <w:rPr>
      <w:i/>
      <w:iCs/>
      <w:color w:val="000000"/>
    </w:rPr>
  </w:style>
  <w:style w:type="character" w:styleId="BookTitle">
    <w:name w:val="Book Title"/>
    <w:uiPriority w:val="33"/>
    <w:qFormat/>
    <w:rsid w:val="00FF4712"/>
    <w:rPr>
      <w:b/>
      <w:bCs/>
      <w:smallCaps/>
      <w:spacing w:val="5"/>
    </w:rPr>
  </w:style>
  <w:style w:type="paragraph" w:styleId="FootnoteText">
    <w:name w:val="footnote text"/>
    <w:basedOn w:val="Normal"/>
    <w:link w:val="FootnoteTextChar"/>
    <w:uiPriority w:val="99"/>
    <w:unhideWhenUsed/>
    <w:rsid w:val="00F74879"/>
    <w:pPr>
      <w:spacing w:after="0" w:line="240" w:lineRule="auto"/>
    </w:pPr>
    <w:rPr>
      <w:sz w:val="20"/>
      <w:szCs w:val="20"/>
    </w:rPr>
  </w:style>
  <w:style w:type="character" w:customStyle="1" w:styleId="FootnoteTextChar">
    <w:name w:val="Footnote Text Char"/>
    <w:link w:val="FootnoteText"/>
    <w:uiPriority w:val="99"/>
    <w:rsid w:val="00F74879"/>
    <w:rPr>
      <w:sz w:val="20"/>
      <w:szCs w:val="20"/>
    </w:rPr>
  </w:style>
  <w:style w:type="character" w:styleId="FootnoteReference">
    <w:name w:val="footnote reference"/>
    <w:uiPriority w:val="99"/>
    <w:unhideWhenUsed/>
    <w:rsid w:val="00F74879"/>
    <w:rPr>
      <w:vertAlign w:val="superscript"/>
    </w:rPr>
  </w:style>
  <w:style w:type="character" w:styleId="CommentReference">
    <w:name w:val="annotation reference"/>
    <w:basedOn w:val="DefaultParagraphFont"/>
    <w:uiPriority w:val="99"/>
    <w:semiHidden/>
    <w:unhideWhenUsed/>
    <w:rsid w:val="00276980"/>
    <w:rPr>
      <w:sz w:val="18"/>
      <w:szCs w:val="18"/>
    </w:rPr>
  </w:style>
  <w:style w:type="paragraph" w:styleId="EndnoteText">
    <w:name w:val="endnote text"/>
    <w:basedOn w:val="Normal"/>
    <w:link w:val="EndnoteTextChar"/>
    <w:uiPriority w:val="99"/>
    <w:semiHidden/>
    <w:unhideWhenUsed/>
    <w:rsid w:val="004560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604A"/>
    <w:rPr>
      <w:lang w:val="en-US" w:eastAsia="en-US"/>
    </w:rPr>
  </w:style>
  <w:style w:type="character" w:styleId="EndnoteReference">
    <w:name w:val="endnote reference"/>
    <w:basedOn w:val="DefaultParagraphFont"/>
    <w:uiPriority w:val="99"/>
    <w:semiHidden/>
    <w:unhideWhenUsed/>
    <w:rsid w:val="0045604A"/>
    <w:rPr>
      <w:vertAlign w:val="superscript"/>
    </w:rPr>
  </w:style>
  <w:style w:type="paragraph" w:styleId="Caption">
    <w:name w:val="caption"/>
    <w:basedOn w:val="Normal"/>
    <w:next w:val="Normal"/>
    <w:qFormat/>
    <w:rsid w:val="00995FBD"/>
    <w:pPr>
      <w:spacing w:after="0" w:line="240" w:lineRule="auto"/>
      <w:jc w:val="center"/>
    </w:pPr>
    <w:rPr>
      <w:rFonts w:ascii="Tahoma" w:eastAsia="Times New Roman" w:hAnsi="Tahoma"/>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624919">
      <w:bodyDiv w:val="1"/>
      <w:marLeft w:val="0"/>
      <w:marRight w:val="0"/>
      <w:marTop w:val="0"/>
      <w:marBottom w:val="0"/>
      <w:divBdr>
        <w:top w:val="none" w:sz="0" w:space="0" w:color="auto"/>
        <w:left w:val="none" w:sz="0" w:space="0" w:color="auto"/>
        <w:bottom w:val="none" w:sz="0" w:space="0" w:color="auto"/>
        <w:right w:val="none" w:sz="0" w:space="0" w:color="auto"/>
      </w:divBdr>
      <w:divsChild>
        <w:div w:id="1475174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25132">
              <w:marLeft w:val="0"/>
              <w:marRight w:val="0"/>
              <w:marTop w:val="0"/>
              <w:marBottom w:val="0"/>
              <w:divBdr>
                <w:top w:val="none" w:sz="0" w:space="0" w:color="auto"/>
                <w:left w:val="none" w:sz="0" w:space="0" w:color="auto"/>
                <w:bottom w:val="none" w:sz="0" w:space="0" w:color="auto"/>
                <w:right w:val="none" w:sz="0" w:space="0" w:color="auto"/>
              </w:divBdr>
              <w:divsChild>
                <w:div w:id="587928087">
                  <w:marLeft w:val="0"/>
                  <w:marRight w:val="0"/>
                  <w:marTop w:val="0"/>
                  <w:marBottom w:val="0"/>
                  <w:divBdr>
                    <w:top w:val="none" w:sz="0" w:space="0" w:color="auto"/>
                    <w:left w:val="none" w:sz="0" w:space="0" w:color="auto"/>
                    <w:bottom w:val="none" w:sz="0" w:space="0" w:color="auto"/>
                    <w:right w:val="none" w:sz="0" w:space="0" w:color="auto"/>
                  </w:divBdr>
                  <w:divsChild>
                    <w:div w:id="441921006">
                      <w:marLeft w:val="0"/>
                      <w:marRight w:val="0"/>
                      <w:marTop w:val="0"/>
                      <w:marBottom w:val="0"/>
                      <w:divBdr>
                        <w:top w:val="none" w:sz="0" w:space="0" w:color="auto"/>
                        <w:left w:val="none" w:sz="0" w:space="0" w:color="auto"/>
                        <w:bottom w:val="none" w:sz="0" w:space="0" w:color="auto"/>
                        <w:right w:val="none" w:sz="0" w:space="0" w:color="auto"/>
                      </w:divBdr>
                      <w:divsChild>
                        <w:div w:id="1195120656">
                          <w:marLeft w:val="0"/>
                          <w:marRight w:val="0"/>
                          <w:marTop w:val="0"/>
                          <w:marBottom w:val="0"/>
                          <w:divBdr>
                            <w:top w:val="none" w:sz="0" w:space="0" w:color="auto"/>
                            <w:left w:val="none" w:sz="0" w:space="0" w:color="auto"/>
                            <w:bottom w:val="none" w:sz="0" w:space="0" w:color="auto"/>
                            <w:right w:val="none" w:sz="0" w:space="0" w:color="auto"/>
                          </w:divBdr>
                          <w:divsChild>
                            <w:div w:id="375392875">
                              <w:marLeft w:val="0"/>
                              <w:marRight w:val="0"/>
                              <w:marTop w:val="0"/>
                              <w:marBottom w:val="0"/>
                              <w:divBdr>
                                <w:top w:val="none" w:sz="0" w:space="0" w:color="auto"/>
                                <w:left w:val="none" w:sz="0" w:space="0" w:color="auto"/>
                                <w:bottom w:val="none" w:sz="0" w:space="0" w:color="auto"/>
                                <w:right w:val="none" w:sz="0" w:space="0" w:color="auto"/>
                              </w:divBdr>
                              <w:divsChild>
                                <w:div w:id="1229268878">
                                  <w:marLeft w:val="0"/>
                                  <w:marRight w:val="0"/>
                                  <w:marTop w:val="0"/>
                                  <w:marBottom w:val="0"/>
                                  <w:divBdr>
                                    <w:top w:val="none" w:sz="0" w:space="0" w:color="auto"/>
                                    <w:left w:val="none" w:sz="0" w:space="0" w:color="auto"/>
                                    <w:bottom w:val="none" w:sz="0" w:space="0" w:color="auto"/>
                                    <w:right w:val="none" w:sz="0" w:space="0" w:color="auto"/>
                                  </w:divBdr>
                                  <w:divsChild>
                                    <w:div w:id="2540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611438">
      <w:bodyDiv w:val="1"/>
      <w:marLeft w:val="0"/>
      <w:marRight w:val="0"/>
      <w:marTop w:val="0"/>
      <w:marBottom w:val="0"/>
      <w:divBdr>
        <w:top w:val="none" w:sz="0" w:space="0" w:color="auto"/>
        <w:left w:val="none" w:sz="0" w:space="0" w:color="auto"/>
        <w:bottom w:val="none" w:sz="0" w:space="0" w:color="auto"/>
        <w:right w:val="none" w:sz="0" w:space="0" w:color="auto"/>
      </w:divBdr>
    </w:div>
    <w:div w:id="1581057231">
      <w:bodyDiv w:val="1"/>
      <w:marLeft w:val="0"/>
      <w:marRight w:val="0"/>
      <w:marTop w:val="0"/>
      <w:marBottom w:val="0"/>
      <w:divBdr>
        <w:top w:val="none" w:sz="0" w:space="0" w:color="auto"/>
        <w:left w:val="none" w:sz="0" w:space="0" w:color="auto"/>
        <w:bottom w:val="none" w:sz="0" w:space="0" w:color="auto"/>
        <w:right w:val="none" w:sz="0" w:space="0" w:color="auto"/>
      </w:divBdr>
      <w:divsChild>
        <w:div w:id="1765152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5698908">
              <w:marLeft w:val="0"/>
              <w:marRight w:val="0"/>
              <w:marTop w:val="0"/>
              <w:marBottom w:val="0"/>
              <w:divBdr>
                <w:top w:val="none" w:sz="0" w:space="0" w:color="auto"/>
                <w:left w:val="none" w:sz="0" w:space="0" w:color="auto"/>
                <w:bottom w:val="none" w:sz="0" w:space="0" w:color="auto"/>
                <w:right w:val="none" w:sz="0" w:space="0" w:color="auto"/>
              </w:divBdr>
              <w:divsChild>
                <w:div w:id="1524780910">
                  <w:marLeft w:val="0"/>
                  <w:marRight w:val="0"/>
                  <w:marTop w:val="0"/>
                  <w:marBottom w:val="0"/>
                  <w:divBdr>
                    <w:top w:val="none" w:sz="0" w:space="0" w:color="auto"/>
                    <w:left w:val="none" w:sz="0" w:space="0" w:color="auto"/>
                    <w:bottom w:val="none" w:sz="0" w:space="0" w:color="auto"/>
                    <w:right w:val="none" w:sz="0" w:space="0" w:color="auto"/>
                  </w:divBdr>
                  <w:divsChild>
                    <w:div w:id="1864708065">
                      <w:marLeft w:val="0"/>
                      <w:marRight w:val="0"/>
                      <w:marTop w:val="0"/>
                      <w:marBottom w:val="0"/>
                      <w:divBdr>
                        <w:top w:val="none" w:sz="0" w:space="0" w:color="auto"/>
                        <w:left w:val="none" w:sz="0" w:space="0" w:color="auto"/>
                        <w:bottom w:val="none" w:sz="0" w:space="0" w:color="auto"/>
                        <w:right w:val="none" w:sz="0" w:space="0" w:color="auto"/>
                      </w:divBdr>
                      <w:divsChild>
                        <w:div w:id="2125076468">
                          <w:marLeft w:val="0"/>
                          <w:marRight w:val="0"/>
                          <w:marTop w:val="0"/>
                          <w:marBottom w:val="0"/>
                          <w:divBdr>
                            <w:top w:val="none" w:sz="0" w:space="0" w:color="auto"/>
                            <w:left w:val="none" w:sz="0" w:space="0" w:color="auto"/>
                            <w:bottom w:val="none" w:sz="0" w:space="0" w:color="auto"/>
                            <w:right w:val="none" w:sz="0" w:space="0" w:color="auto"/>
                          </w:divBdr>
                          <w:divsChild>
                            <w:div w:id="1439565100">
                              <w:marLeft w:val="0"/>
                              <w:marRight w:val="0"/>
                              <w:marTop w:val="0"/>
                              <w:marBottom w:val="0"/>
                              <w:divBdr>
                                <w:top w:val="none" w:sz="0" w:space="0" w:color="auto"/>
                                <w:left w:val="none" w:sz="0" w:space="0" w:color="auto"/>
                                <w:bottom w:val="none" w:sz="0" w:space="0" w:color="auto"/>
                                <w:right w:val="none" w:sz="0" w:space="0" w:color="auto"/>
                              </w:divBdr>
                            </w:div>
                            <w:div w:id="17143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759873">
      <w:bodyDiv w:val="1"/>
      <w:marLeft w:val="0"/>
      <w:marRight w:val="0"/>
      <w:marTop w:val="0"/>
      <w:marBottom w:val="0"/>
      <w:divBdr>
        <w:top w:val="none" w:sz="0" w:space="0" w:color="auto"/>
        <w:left w:val="none" w:sz="0" w:space="0" w:color="auto"/>
        <w:bottom w:val="none" w:sz="0" w:space="0" w:color="auto"/>
        <w:right w:val="none" w:sz="0" w:space="0" w:color="auto"/>
      </w:divBdr>
      <w:divsChild>
        <w:div w:id="606156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486697">
              <w:marLeft w:val="0"/>
              <w:marRight w:val="0"/>
              <w:marTop w:val="0"/>
              <w:marBottom w:val="0"/>
              <w:divBdr>
                <w:top w:val="none" w:sz="0" w:space="0" w:color="auto"/>
                <w:left w:val="none" w:sz="0" w:space="0" w:color="auto"/>
                <w:bottom w:val="none" w:sz="0" w:space="0" w:color="auto"/>
                <w:right w:val="none" w:sz="0" w:space="0" w:color="auto"/>
              </w:divBdr>
              <w:divsChild>
                <w:div w:id="1418596399">
                  <w:marLeft w:val="0"/>
                  <w:marRight w:val="0"/>
                  <w:marTop w:val="0"/>
                  <w:marBottom w:val="0"/>
                  <w:divBdr>
                    <w:top w:val="none" w:sz="0" w:space="0" w:color="auto"/>
                    <w:left w:val="none" w:sz="0" w:space="0" w:color="auto"/>
                    <w:bottom w:val="none" w:sz="0" w:space="0" w:color="auto"/>
                    <w:right w:val="none" w:sz="0" w:space="0" w:color="auto"/>
                  </w:divBdr>
                  <w:divsChild>
                    <w:div w:id="1282415109">
                      <w:marLeft w:val="0"/>
                      <w:marRight w:val="0"/>
                      <w:marTop w:val="0"/>
                      <w:marBottom w:val="0"/>
                      <w:divBdr>
                        <w:top w:val="none" w:sz="0" w:space="0" w:color="auto"/>
                        <w:left w:val="none" w:sz="0" w:space="0" w:color="auto"/>
                        <w:bottom w:val="none" w:sz="0" w:space="0" w:color="auto"/>
                        <w:right w:val="none" w:sz="0" w:space="0" w:color="auto"/>
                      </w:divBdr>
                      <w:divsChild>
                        <w:div w:id="769860472">
                          <w:marLeft w:val="0"/>
                          <w:marRight w:val="0"/>
                          <w:marTop w:val="0"/>
                          <w:marBottom w:val="0"/>
                          <w:divBdr>
                            <w:top w:val="none" w:sz="0" w:space="0" w:color="auto"/>
                            <w:left w:val="none" w:sz="0" w:space="0" w:color="auto"/>
                            <w:bottom w:val="none" w:sz="0" w:space="0" w:color="auto"/>
                            <w:right w:val="none" w:sz="0" w:space="0" w:color="auto"/>
                          </w:divBdr>
                          <w:divsChild>
                            <w:div w:id="26807128">
                              <w:marLeft w:val="0"/>
                              <w:marRight w:val="0"/>
                              <w:marTop w:val="0"/>
                              <w:marBottom w:val="0"/>
                              <w:divBdr>
                                <w:top w:val="none" w:sz="0" w:space="0" w:color="auto"/>
                                <w:left w:val="none" w:sz="0" w:space="0" w:color="auto"/>
                                <w:bottom w:val="none" w:sz="0" w:space="0" w:color="auto"/>
                                <w:right w:val="none" w:sz="0" w:space="0" w:color="auto"/>
                              </w:divBdr>
                              <w:divsChild>
                                <w:div w:id="155850653">
                                  <w:marLeft w:val="0"/>
                                  <w:marRight w:val="0"/>
                                  <w:marTop w:val="0"/>
                                  <w:marBottom w:val="0"/>
                                  <w:divBdr>
                                    <w:top w:val="none" w:sz="0" w:space="0" w:color="auto"/>
                                    <w:left w:val="none" w:sz="0" w:space="0" w:color="auto"/>
                                    <w:bottom w:val="none" w:sz="0" w:space="0" w:color="auto"/>
                                    <w:right w:val="none" w:sz="0" w:space="0" w:color="auto"/>
                                  </w:divBdr>
                                  <w:divsChild>
                                    <w:div w:id="4767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9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2020-06-23T18:30:00+00:00</Judgment_x0020_Date>
    <Year xmlns="63bdd487-88aa-4c54-b893-ddaa81ed2e7c">2020</Year>
  </documentManagement>
</p:properties>
</file>

<file path=customXml/itemProps1.xml><?xml version="1.0" encoding="utf-8"?>
<ds:datastoreItem xmlns:ds="http://schemas.openxmlformats.org/officeDocument/2006/customXml" ds:itemID="{099CE127-13A0-4EBE-8966-C5A14F46AFD0}"/>
</file>

<file path=customXml/itemProps2.xml><?xml version="1.0" encoding="utf-8"?>
<ds:datastoreItem xmlns:ds="http://schemas.openxmlformats.org/officeDocument/2006/customXml" ds:itemID="{F1B1FA18-76FD-48AC-A0AF-9589E61C8EE3}"/>
</file>

<file path=customXml/itemProps3.xml><?xml version="1.0" encoding="utf-8"?>
<ds:datastoreItem xmlns:ds="http://schemas.openxmlformats.org/officeDocument/2006/customXml" ds:itemID="{22A2E637-87FE-4BD4-B77E-7506DF23B936}"/>
</file>

<file path=customXml/itemProps4.xml><?xml version="1.0" encoding="utf-8"?>
<ds:datastoreItem xmlns:ds="http://schemas.openxmlformats.org/officeDocument/2006/customXml" ds:itemID="{2DB8E55F-9BCD-44D3-A511-2C868C2149B9}"/>
</file>

<file path=docProps/app.xml><?xml version="1.0" encoding="utf-8"?>
<Properties xmlns="http://schemas.openxmlformats.org/officeDocument/2006/extended-properties" xmlns:vt="http://schemas.openxmlformats.org/officeDocument/2006/docPropsVTypes">
  <Template>Normal</Template>
  <TotalTime>0</TotalTime>
  <Pages>29</Pages>
  <Words>6357</Words>
  <Characters>36236</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Prosecutor-General v Paulo </dc:title>
  <dc:subject/>
  <dc:creator>ybasson</dc:creator>
  <cp:keywords/>
  <cp:lastModifiedBy>Nicole Januarie</cp:lastModifiedBy>
  <cp:revision>2</cp:revision>
  <cp:lastPrinted>2020-06-24T07:30:00Z</cp:lastPrinted>
  <dcterms:created xsi:type="dcterms:W3CDTF">2020-06-24T08:25:00Z</dcterms:created>
  <dcterms:modified xsi:type="dcterms:W3CDTF">2020-06-24T08:25:00Z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